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OTIC TECHNOLOGIES</w:t>
      </w:r>
    </w:p>
    <w:p>
      <w:pPr>
        <w:pStyle w:val="Title"/>
      </w:pPr>
      <w:r>
        <w:t>WEZA</w:t>
      </w:r>
    </w:p>
    <w:p>
      <w:pPr>
        <w:pStyle w:val="SubtitleX"/>
      </w:pPr>
      <w:r>
        <w:t>Business Requirements Document</w:t>
      </w:r>
    </w:p>
    <w:p>
      <w:pPr>
        <w:pStyle w:val="Callout"/>
      </w:pPr>
      <w:r>
        <w:t>Intelligent Financial Marketplace &amp; Opportunity Network</w:t>
      </w:r>
    </w:p>
    <w:p>
      <w:pPr>
        <w:spacing w:before="40" w:after="120"/>
        <w:pBdr>
          <w:bottom w:val="single" w:sz="8" w:space="1" w:color="C99A3D"/>
        </w:pBdr>
      </w:pPr>
    </w:p>
    <w:p>
      <w:pPr>
        <w:pStyle w:val="Small"/>
      </w:pPr>
      <w:r>
        <w:t>Version 1.0  |  October 2026</w:t>
      </w:r>
    </w:p>
    <w:p>
      <w:pPr>
        <w:pStyle w:val="Small"/>
      </w:pPr>
      <w:r>
        <w:t>Product Owner: Otic Technologies Limited</w:t>
      </w:r>
    </w:p>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WEZA begins with credit, but is architected for financial life.</w:t>
            </w:r>
          </w:p>
        </w:tc>
      </w:tr>
    </w:tbl>
    <w:p>
      <w:pPr>
        <w:spacing w:after="20"/>
      </w:pPr>
    </w:p>
    <w:p/>
    <w:p>
      <w:pPr>
        <w:pStyle w:val="Eyebrow"/>
      </w:pPr>
      <w:r>
        <w:t>Customer proposition</w:t>
      </w:r>
    </w:p>
    <w:p>
      <w:pPr>
        <w:pStyle w:val="Callout"/>
      </w:pPr>
      <w:r>
        <w:t>Tell WEZA what financing you need.</w:t>
      </w:r>
    </w:p>
    <w:p>
      <w:pPr>
        <w:pStyle w:val="Eyebrow"/>
      </w:pPr>
      <w:r>
        <w:t>Institution proposition</w:t>
      </w:r>
    </w:p>
    <w:p>
      <w:pPr>
        <w:pStyle w:val="Callout"/>
      </w:pPr>
      <w:r>
        <w:t>Tell WEZA what customers you want.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880"/>
            <w:shd w:fill="0B1F3A"/>
            <w:tcMar>
              <w:top w:w="100" w:type="dxa"/>
              <w:start w:w="120" w:type="dxa"/>
              <w:bottom w:w="100" w:type="dxa"/>
              <w:end w:w="120" w:type="dxa"/>
            </w:tcMar>
          </w:tcPr>
          <w:p>
            <w:r>
              <w:rPr>
                <w:b/>
                <w:color w:val="FFFFFF"/>
                <w:sz w:val="17"/>
              </w:rPr>
              <w:t>Field</w:t>
            </w:r>
          </w:p>
        </w:tc>
        <w:tc>
          <w:tcPr>
            <w:tcW w:type="dxa" w:w="6912"/>
            <w:shd w:fill="0B1F3A"/>
            <w:tcMar>
              <w:top w:w="100" w:type="dxa"/>
              <w:start w:w="120" w:type="dxa"/>
              <w:bottom w:w="100" w:type="dxa"/>
              <w:end w:w="120" w:type="dxa"/>
            </w:tcMar>
          </w:tcPr>
          <w:p>
            <w:r>
              <w:rPr>
                <w:b/>
                <w:color w:val="FFFFFF"/>
                <w:sz w:val="17"/>
              </w:rPr>
              <w:t>Detail</w:t>
            </w:r>
          </w:p>
        </w:tc>
      </w:tr>
      <w:tr>
        <w:tc>
          <w:tcPr>
            <w:tcW w:type="dxa" w:w="2880"/>
            <w:tcMar>
              <w:top w:w="100" w:type="dxa"/>
              <w:start w:w="120" w:type="dxa"/>
              <w:bottom w:w="100" w:type="dxa"/>
              <w:end w:w="120" w:type="dxa"/>
            </w:tcMar>
            <w:vAlign w:val="center"/>
          </w:tcPr>
          <w:p>
            <w:r>
              <w:rPr>
                <w:sz w:val="16"/>
              </w:rPr>
              <w:t>Document</w:t>
            </w:r>
          </w:p>
        </w:tc>
        <w:tc>
          <w:tcPr>
            <w:tcW w:type="dxa" w:w="6912"/>
            <w:tcMar>
              <w:top w:w="100" w:type="dxa"/>
              <w:start w:w="120" w:type="dxa"/>
              <w:bottom w:w="100" w:type="dxa"/>
              <w:end w:w="120" w:type="dxa"/>
            </w:tcMar>
            <w:vAlign w:val="center"/>
          </w:tcPr>
          <w:p>
            <w:r>
              <w:rPr>
                <w:sz w:val="16"/>
              </w:rPr>
              <w:t>WEZA Business Requirements Document</w:t>
            </w:r>
          </w:p>
        </w:tc>
      </w:tr>
      <w:tr>
        <w:tc>
          <w:tcPr>
            <w:tcW w:type="dxa" w:w="2880"/>
            <w:shd w:fill="F7F9FB"/>
            <w:tcMar>
              <w:top w:w="100" w:type="dxa"/>
              <w:start w:w="120" w:type="dxa"/>
              <w:bottom w:w="100" w:type="dxa"/>
              <w:end w:w="120" w:type="dxa"/>
            </w:tcMar>
            <w:vAlign w:val="center"/>
          </w:tcPr>
          <w:p>
            <w:r>
              <w:rPr>
                <w:sz w:val="16"/>
              </w:rPr>
              <w:t>Version</w:t>
            </w:r>
          </w:p>
        </w:tc>
        <w:tc>
          <w:tcPr>
            <w:tcW w:type="dxa" w:w="6912"/>
            <w:shd w:fill="F7F9FB"/>
            <w:tcMar>
              <w:top w:w="100" w:type="dxa"/>
              <w:start w:w="120" w:type="dxa"/>
              <w:bottom w:w="100" w:type="dxa"/>
              <w:end w:w="120" w:type="dxa"/>
            </w:tcMar>
            <w:vAlign w:val="center"/>
          </w:tcPr>
          <w:p>
            <w:r>
              <w:rPr>
                <w:sz w:val="16"/>
              </w:rPr>
              <w:t>1.0</w:t>
            </w:r>
          </w:p>
        </w:tc>
      </w:tr>
      <w:tr>
        <w:tc>
          <w:tcPr>
            <w:tcW w:type="dxa" w:w="2880"/>
            <w:tcMar>
              <w:top w:w="100" w:type="dxa"/>
              <w:start w:w="120" w:type="dxa"/>
              <w:bottom w:w="100" w:type="dxa"/>
              <w:end w:w="120" w:type="dxa"/>
            </w:tcMar>
            <w:vAlign w:val="center"/>
          </w:tcPr>
          <w:p>
            <w:r>
              <w:rPr>
                <w:sz w:val="16"/>
              </w:rPr>
              <w:t>Date</w:t>
            </w:r>
          </w:p>
        </w:tc>
        <w:tc>
          <w:tcPr>
            <w:tcW w:type="dxa" w:w="6912"/>
            <w:tcMar>
              <w:top w:w="100" w:type="dxa"/>
              <w:start w:w="120" w:type="dxa"/>
              <w:bottom w:w="100" w:type="dxa"/>
              <w:end w:w="120" w:type="dxa"/>
            </w:tcMar>
            <w:vAlign w:val="center"/>
          </w:tcPr>
          <w:p>
            <w:r>
              <w:rPr>
                <w:sz w:val="16"/>
              </w:rPr>
              <w:t>October 2026</w:t>
            </w:r>
          </w:p>
        </w:tc>
      </w:tr>
      <w:tr>
        <w:tc>
          <w:tcPr>
            <w:tcW w:type="dxa" w:w="2880"/>
            <w:shd w:fill="F7F9FB"/>
            <w:tcMar>
              <w:top w:w="100" w:type="dxa"/>
              <w:start w:w="120" w:type="dxa"/>
              <w:bottom w:w="100" w:type="dxa"/>
              <w:end w:w="120" w:type="dxa"/>
            </w:tcMar>
            <w:vAlign w:val="center"/>
          </w:tcPr>
          <w:p>
            <w:r>
              <w:rPr>
                <w:sz w:val="16"/>
              </w:rPr>
              <w:t>Owner</w:t>
            </w:r>
          </w:p>
        </w:tc>
        <w:tc>
          <w:tcPr>
            <w:tcW w:type="dxa" w:w="6912"/>
            <w:shd w:fill="F7F9FB"/>
            <w:tcMar>
              <w:top w:w="100" w:type="dxa"/>
              <w:start w:w="120" w:type="dxa"/>
              <w:bottom w:w="100" w:type="dxa"/>
              <w:end w:w="120" w:type="dxa"/>
            </w:tcMar>
            <w:vAlign w:val="center"/>
          </w:tcPr>
          <w:p>
            <w:r>
              <w:rPr>
                <w:sz w:val="16"/>
              </w:rPr>
              <w:t>Otic Technologies Limited</w:t>
            </w:r>
          </w:p>
        </w:tc>
      </w:tr>
      <w:tr>
        <w:tc>
          <w:tcPr>
            <w:tcW w:type="dxa" w:w="2880"/>
            <w:tcMar>
              <w:top w:w="100" w:type="dxa"/>
              <w:start w:w="120" w:type="dxa"/>
              <w:bottom w:w="100" w:type="dxa"/>
              <w:end w:w="120" w:type="dxa"/>
            </w:tcMar>
            <w:vAlign w:val="center"/>
          </w:tcPr>
          <w:p>
            <w:r>
              <w:rPr>
                <w:sz w:val="16"/>
              </w:rPr>
              <w:t>Initial Product</w:t>
            </w:r>
          </w:p>
        </w:tc>
        <w:tc>
          <w:tcPr>
            <w:tcW w:type="dxa" w:w="6912"/>
            <w:tcMar>
              <w:top w:w="100" w:type="dxa"/>
              <w:start w:w="120" w:type="dxa"/>
              <w:bottom w:w="100" w:type="dxa"/>
              <w:end w:w="120" w:type="dxa"/>
            </w:tcMar>
            <w:vAlign w:val="center"/>
          </w:tcPr>
          <w:p>
            <w:r>
              <w:rPr>
                <w:sz w:val="16"/>
              </w:rPr>
              <w:t>WEZA Credit Marketplace</w:t>
            </w:r>
          </w:p>
        </w:tc>
      </w:tr>
      <w:tr>
        <w:tc>
          <w:tcPr>
            <w:tcW w:type="dxa" w:w="2880"/>
            <w:shd w:fill="F7F9FB"/>
            <w:tcMar>
              <w:top w:w="100" w:type="dxa"/>
              <w:start w:w="120" w:type="dxa"/>
              <w:bottom w:w="100" w:type="dxa"/>
              <w:end w:w="120" w:type="dxa"/>
            </w:tcMar>
            <w:vAlign w:val="center"/>
          </w:tcPr>
          <w:p>
            <w:r>
              <w:rPr>
                <w:sz w:val="16"/>
              </w:rPr>
              <w:t>Primary Customer Channel</w:t>
            </w:r>
          </w:p>
        </w:tc>
        <w:tc>
          <w:tcPr>
            <w:tcW w:type="dxa" w:w="6912"/>
            <w:shd w:fill="F7F9FB"/>
            <w:tcMar>
              <w:top w:w="100" w:type="dxa"/>
              <w:start w:w="120" w:type="dxa"/>
              <w:bottom w:w="100" w:type="dxa"/>
              <w:end w:w="120" w:type="dxa"/>
            </w:tcMar>
            <w:vAlign w:val="center"/>
          </w:tcPr>
          <w:p>
            <w:r>
              <w:rPr>
                <w:sz w:val="16"/>
              </w:rPr>
              <w:t>WhatsApp, supported by web</w:t>
            </w:r>
          </w:p>
        </w:tc>
      </w:tr>
      <w:tr>
        <w:tc>
          <w:tcPr>
            <w:tcW w:type="dxa" w:w="2880"/>
            <w:tcMar>
              <w:top w:w="100" w:type="dxa"/>
              <w:start w:w="120" w:type="dxa"/>
              <w:bottom w:w="100" w:type="dxa"/>
              <w:end w:w="120" w:type="dxa"/>
            </w:tcMar>
            <w:vAlign w:val="center"/>
          </w:tcPr>
          <w:p>
            <w:r>
              <w:rPr>
                <w:sz w:val="16"/>
              </w:rPr>
              <w:t>Institution Model</w:t>
            </w:r>
          </w:p>
        </w:tc>
        <w:tc>
          <w:tcPr>
            <w:tcW w:type="dxa" w:w="6912"/>
            <w:tcMar>
              <w:top w:w="100" w:type="dxa"/>
              <w:start w:w="120" w:type="dxa"/>
              <w:bottom w:w="100" w:type="dxa"/>
              <w:end w:w="120" w:type="dxa"/>
            </w:tcMar>
            <w:vAlign w:val="center"/>
          </w:tcPr>
          <w:p>
            <w:r>
              <w:rPr>
                <w:sz w:val="16"/>
              </w:rPr>
              <w:t>Zero core-system integration required</w:t>
            </w:r>
          </w:p>
        </w:tc>
      </w:tr>
      <w:tr>
        <w:tc>
          <w:tcPr>
            <w:tcW w:type="dxa" w:w="2880"/>
            <w:shd w:fill="F7F9FB"/>
            <w:tcMar>
              <w:top w:w="100" w:type="dxa"/>
              <w:start w:w="120" w:type="dxa"/>
              <w:bottom w:w="100" w:type="dxa"/>
              <w:end w:w="120" w:type="dxa"/>
            </w:tcMar>
            <w:vAlign w:val="center"/>
          </w:tcPr>
          <w:p>
            <w:r>
              <w:rPr>
                <w:sz w:val="16"/>
              </w:rPr>
              <w:t>Status</w:t>
            </w:r>
          </w:p>
        </w:tc>
        <w:tc>
          <w:tcPr>
            <w:tcW w:type="dxa" w:w="6912"/>
            <w:shd w:fill="F7F9FB"/>
            <w:tcMar>
              <w:top w:w="100" w:type="dxa"/>
              <w:start w:w="120" w:type="dxa"/>
              <w:bottom w:w="100" w:type="dxa"/>
              <w:end w:w="120" w:type="dxa"/>
            </w:tcMar>
            <w:vAlign w:val="center"/>
          </w:tcPr>
          <w:p>
            <w:r>
              <w:rPr>
                <w:sz w:val="16"/>
              </w:rPr>
              <w:t>Core BRD for product, engineering, commercial and stakeholder review</w:t>
            </w:r>
          </w:p>
        </w:tc>
      </w:tr>
    </w:tbl>
    <w:p>
      <w:pPr>
        <w:spacing w:after="40"/>
      </w:pPr>
    </w:p>
    <w:p>
      <w:pPr>
        <w:pStyle w:val="Heading1"/>
      </w:pPr>
      <w:r>
        <w:t>1. Executive Summary</w:t>
      </w:r>
    </w:p>
    <w:p>
      <w:r>
        <w:t>WEZA is an AI-powered financial marketplace that connects people and businesses seeking financing with financial institutions seeking qualified customers. It is designed as a two-sided opportunity network: customers express financial need conversationally, while participating banks, SACCOs, microfinance institutions, fintechs and other eligible providers configure the products, customer profiles and risk appetite they want WEZA to find.</w:t>
      </w:r>
    </w:p>
    <w:p>
      <w:r>
        <w:t>WEZA deliberately avoids dependence on integrations into financial institutions' core banking systems, customer databases, transaction databases, loan origination systems or data warehouses. Institutions do not share their existing customer data with WEZA. They join the network, configure their products and appetite, and begin receiving consented, qualified customer opportunities in a secure WEZA Institutional workspace.</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WEZA creates access and opportunity intelligence. The financial institution retains formal KYC, underwriting, approval, contracting and disbursement authority.</w:t>
            </w:r>
          </w:p>
        </w:tc>
      </w:tr>
    </w:tbl>
    <w:p>
      <w:pPr>
        <w:spacing w:after="20"/>
      </w:pPr>
    </w:p>
    <w:p>
      <w:r>
        <w:t>Version 1 focuses on credit. The architecture, however, is based on financial intent so that future releases can support BNPL, utilities, airtime and data, insurance, savings, investments, payments and other regulated financial services without redesigning the core marketplace.</w:t>
      </w:r>
    </w:p>
    <w:p>
      <w:pPr>
        <w:pStyle w:val="Heading1"/>
      </w:pPr>
      <w:r>
        <w:t>2. Business Problem and Opportunity</w:t>
      </w:r>
    </w:p>
    <w:p>
      <w:r>
        <w:t>Customers often know what they want to accomplish but do not know which institution, product or eligibility pathway is appropriate. At the same time, institutions spend significant resources acquiring and screening prospects who may not fit their current lending appetite. WEZA addresses this coordination failure by translating customer need into structured financial demand and matching it against institution-defined products and appetite.</w:t>
      </w:r>
    </w:p>
    <w:p>
      <w:pPr>
        <w:pStyle w:val="ListBullet"/>
        <w:spacing w:after="40"/>
      </w:pPr>
      <w:r>
        <w:t>Customers face fragmented product discovery, repetitive forms, unclear eligibility and slow movement between institutions.</w:t>
      </w:r>
    </w:p>
    <w:p>
      <w:pPr>
        <w:pStyle w:val="ListBullet"/>
        <w:spacing w:after="40"/>
      </w:pPr>
      <w:r>
        <w:t>Institutions face expensive customer acquisition, noisy leads, weak visibility into unmet market demand and limited ability to dynamically express the customers they currently want.</w:t>
      </w:r>
    </w:p>
    <w:p>
      <w:pPr>
        <w:pStyle w:val="ListBullet"/>
        <w:spacing w:after="40"/>
      </w:pPr>
      <w:r>
        <w:t>Traditional marketplace models often stop at product listings. WEZA is designed to qualify, explain, route and track opportunities.</w:t>
      </w:r>
    </w:p>
    <w:p>
      <w:pPr>
        <w:pStyle w:val="ListBullet"/>
        <w:spacing w:after="40"/>
      </w:pPr>
      <w:r>
        <w:t>The zero-integration model reduces technology, data-sharing and implementation friction for participating institutions.</w:t>
      </w:r>
    </w:p>
    <w:p>
      <w:pPr>
        <w:pStyle w:val="Heading1"/>
      </w:pPr>
      <w:r>
        <w:t>3. Vision, Scope and Strategic Principles</w:t>
      </w:r>
    </w:p>
    <w:p>
      <w:pPr>
        <w:pStyle w:val="Heading2"/>
      </w:pPr>
      <w:r>
        <w:t>3.1 Product Vision</w:t>
      </w:r>
    </w:p>
    <w:p>
      <w:r>
        <w:t>WEZA should become an intelligent financial marketplace capable of understanding what a person or business wants to achieve with money and orchestrating an appropriate pathway to eligible providers.</w:t>
      </w:r>
    </w:p>
    <w:p>
      <w:r>
        <w:t>The long-term progression is: Credit → BNPL → Payments &amp; Utilities → Airtime/Data → Insurance → Savings → Investments → Other Financial Services.</w:t>
      </w:r>
    </w:p>
    <w:p>
      <w:pPr>
        <w:pStyle w:val="Heading2"/>
      </w:pPr>
      <w:r>
        <w:t>3.2 Strategic Principles</w:t>
      </w:r>
    </w:p>
    <w:tbl>
      <w:tblPr>
        <w:tblStyle w:val="TableGrid"/>
        <w:tblW w:type="auto" w:w="0"/>
        <w:jc w:val="center"/>
        <w:tblLook w:firstColumn="1" w:firstRow="1" w:lastColumn="0" w:lastRow="0" w:noHBand="0" w:noVBand="1" w:val="04A0"/>
      </w:tblPr>
      <w:tblGrid>
        <w:gridCol w:w="5040"/>
        <w:gridCol w:w="5040"/>
      </w:tblGrid>
      <w:tr>
        <w:tc>
          <w:tcPr>
            <w:tcW w:type="dxa" w:w="2304"/>
            <w:shd w:fill="0B1F3A"/>
            <w:tcMar>
              <w:top w:w="100" w:type="dxa"/>
              <w:start w:w="120" w:type="dxa"/>
              <w:bottom w:w="100" w:type="dxa"/>
              <w:end w:w="120" w:type="dxa"/>
            </w:tcMar>
          </w:tcPr>
          <w:p>
            <w:r>
              <w:rPr>
                <w:b/>
                <w:color w:val="FFFFFF"/>
                <w:sz w:val="17"/>
              </w:rPr>
              <w:t>Principle</w:t>
            </w:r>
          </w:p>
        </w:tc>
        <w:tc>
          <w:tcPr>
            <w:tcW w:type="dxa" w:w="7488"/>
            <w:shd w:fill="0B1F3A"/>
            <w:tcMar>
              <w:top w:w="100" w:type="dxa"/>
              <w:start w:w="120" w:type="dxa"/>
              <w:bottom w:w="100" w:type="dxa"/>
              <w:end w:w="120" w:type="dxa"/>
            </w:tcMar>
          </w:tcPr>
          <w:p>
            <w:r>
              <w:rPr>
                <w:b/>
                <w:color w:val="FFFFFF"/>
                <w:sz w:val="17"/>
              </w:rPr>
              <w:t>Requirement</w:t>
            </w:r>
          </w:p>
        </w:tc>
      </w:tr>
      <w:tr>
        <w:tc>
          <w:tcPr>
            <w:tcW w:type="dxa" w:w="2304"/>
            <w:tcMar>
              <w:top w:w="100" w:type="dxa"/>
              <w:start w:w="120" w:type="dxa"/>
              <w:bottom w:w="100" w:type="dxa"/>
              <w:end w:w="120" w:type="dxa"/>
            </w:tcMar>
            <w:vAlign w:val="center"/>
          </w:tcPr>
          <w:p>
            <w:r>
              <w:rPr>
                <w:sz w:val="16"/>
              </w:rPr>
              <w:t>Zero Core Integration</w:t>
            </w:r>
          </w:p>
        </w:tc>
        <w:tc>
          <w:tcPr>
            <w:tcW w:type="dxa" w:w="7488"/>
            <w:tcMar>
              <w:top w:w="100" w:type="dxa"/>
              <w:start w:w="120" w:type="dxa"/>
              <w:bottom w:w="100" w:type="dxa"/>
              <w:end w:w="120" w:type="dxa"/>
            </w:tcMar>
            <w:vAlign w:val="center"/>
          </w:tcPr>
          <w:p>
            <w:r>
              <w:rPr>
                <w:sz w:val="16"/>
              </w:rPr>
              <w:t>V1 must create value without connecting to institutional core banking, CRM, LOS, transaction or customer databases.</w:t>
            </w:r>
          </w:p>
        </w:tc>
      </w:tr>
      <w:tr>
        <w:tc>
          <w:tcPr>
            <w:tcW w:type="dxa" w:w="2304"/>
            <w:shd w:fill="F7F9FB"/>
            <w:tcMar>
              <w:top w:w="100" w:type="dxa"/>
              <w:start w:w="120" w:type="dxa"/>
              <w:bottom w:w="100" w:type="dxa"/>
              <w:end w:w="120" w:type="dxa"/>
            </w:tcMar>
            <w:vAlign w:val="center"/>
          </w:tcPr>
          <w:p>
            <w:r>
              <w:rPr>
                <w:sz w:val="16"/>
              </w:rPr>
              <w:t>No Institutional Customer Data</w:t>
            </w:r>
          </w:p>
        </w:tc>
        <w:tc>
          <w:tcPr>
            <w:tcW w:type="dxa" w:w="7488"/>
            <w:shd w:fill="F7F9FB"/>
            <w:tcMar>
              <w:top w:w="100" w:type="dxa"/>
              <w:start w:w="120" w:type="dxa"/>
              <w:bottom w:w="100" w:type="dxa"/>
              <w:end w:w="120" w:type="dxa"/>
            </w:tcMar>
            <w:vAlign w:val="center"/>
          </w:tcPr>
          <w:p>
            <w:r>
              <w:rPr>
                <w:sz w:val="16"/>
              </w:rPr>
              <w:t>Institutions contribute products and appetite, not existing customer records.</w:t>
            </w:r>
          </w:p>
        </w:tc>
      </w:tr>
      <w:tr>
        <w:tc>
          <w:tcPr>
            <w:tcW w:type="dxa" w:w="2304"/>
            <w:tcMar>
              <w:top w:w="100" w:type="dxa"/>
              <w:start w:w="120" w:type="dxa"/>
              <w:bottom w:w="100" w:type="dxa"/>
              <w:end w:w="120" w:type="dxa"/>
            </w:tcMar>
            <w:vAlign w:val="center"/>
          </w:tcPr>
          <w:p>
            <w:r>
              <w:rPr>
                <w:sz w:val="16"/>
              </w:rPr>
              <w:t>Customer Consent</w:t>
            </w:r>
          </w:p>
        </w:tc>
        <w:tc>
          <w:tcPr>
            <w:tcW w:type="dxa" w:w="7488"/>
            <w:tcMar>
              <w:top w:w="100" w:type="dxa"/>
              <w:start w:w="120" w:type="dxa"/>
              <w:bottom w:w="100" w:type="dxa"/>
              <w:end w:w="120" w:type="dxa"/>
            </w:tcMar>
            <w:vAlign w:val="center"/>
          </w:tcPr>
          <w:p>
            <w:r>
              <w:rPr>
                <w:sz w:val="16"/>
              </w:rPr>
              <w:t>Customer data is routed only under explicit, auditable consent.</w:t>
            </w:r>
          </w:p>
        </w:tc>
      </w:tr>
      <w:tr>
        <w:tc>
          <w:tcPr>
            <w:tcW w:type="dxa" w:w="2304"/>
            <w:shd w:fill="F7F9FB"/>
            <w:tcMar>
              <w:top w:w="100" w:type="dxa"/>
              <w:start w:w="120" w:type="dxa"/>
              <w:bottom w:w="100" w:type="dxa"/>
              <w:end w:w="120" w:type="dxa"/>
            </w:tcMar>
            <w:vAlign w:val="center"/>
          </w:tcPr>
          <w:p>
            <w:r>
              <w:rPr>
                <w:sz w:val="16"/>
              </w:rPr>
              <w:t>Institutional Authority</w:t>
            </w:r>
          </w:p>
        </w:tc>
        <w:tc>
          <w:tcPr>
            <w:tcW w:type="dxa" w:w="7488"/>
            <w:shd w:fill="F7F9FB"/>
            <w:tcMar>
              <w:top w:w="100" w:type="dxa"/>
              <w:start w:w="120" w:type="dxa"/>
              <w:bottom w:w="100" w:type="dxa"/>
              <w:end w:w="120" w:type="dxa"/>
            </w:tcMar>
            <w:vAlign w:val="center"/>
          </w:tcPr>
          <w:p>
            <w:r>
              <w:rPr>
                <w:sz w:val="16"/>
              </w:rPr>
              <w:t>The provider retains formal KYC, underwriting, pricing, approval, contracting and disbursement authority.</w:t>
            </w:r>
          </w:p>
        </w:tc>
      </w:tr>
      <w:tr>
        <w:tc>
          <w:tcPr>
            <w:tcW w:type="dxa" w:w="2304"/>
            <w:tcMar>
              <w:top w:w="100" w:type="dxa"/>
              <w:start w:w="120" w:type="dxa"/>
              <w:bottom w:w="100" w:type="dxa"/>
              <w:end w:w="120" w:type="dxa"/>
            </w:tcMar>
            <w:vAlign w:val="center"/>
          </w:tcPr>
          <w:p>
            <w:r>
              <w:rPr>
                <w:sz w:val="16"/>
              </w:rPr>
              <w:t>Funds Stay Outside WEZA</w:t>
            </w:r>
          </w:p>
        </w:tc>
        <w:tc>
          <w:tcPr>
            <w:tcW w:type="dxa" w:w="7488"/>
            <w:tcMar>
              <w:top w:w="100" w:type="dxa"/>
              <w:start w:w="120" w:type="dxa"/>
              <w:bottom w:w="100" w:type="dxa"/>
              <w:end w:w="120" w:type="dxa"/>
            </w:tcMar>
            <w:vAlign w:val="center"/>
          </w:tcPr>
          <w:p>
            <w:r>
              <w:rPr>
                <w:sz w:val="16"/>
              </w:rPr>
              <w:t>V1 does not hold, receive or disburse loan funds.</w:t>
            </w:r>
          </w:p>
        </w:tc>
      </w:tr>
      <w:tr>
        <w:tc>
          <w:tcPr>
            <w:tcW w:type="dxa" w:w="2304"/>
            <w:shd w:fill="F7F9FB"/>
            <w:tcMar>
              <w:top w:w="100" w:type="dxa"/>
              <w:start w:w="120" w:type="dxa"/>
              <w:bottom w:w="100" w:type="dxa"/>
              <w:end w:w="120" w:type="dxa"/>
            </w:tcMar>
            <w:vAlign w:val="center"/>
          </w:tcPr>
          <w:p>
            <w:r>
              <w:rPr>
                <w:sz w:val="16"/>
              </w:rPr>
              <w:t>Explainable AI</w:t>
            </w:r>
          </w:p>
        </w:tc>
        <w:tc>
          <w:tcPr>
            <w:tcW w:type="dxa" w:w="7488"/>
            <w:shd w:fill="F7F9FB"/>
            <w:tcMar>
              <w:top w:w="100" w:type="dxa"/>
              <w:start w:w="120" w:type="dxa"/>
              <w:bottom w:w="100" w:type="dxa"/>
              <w:end w:w="120" w:type="dxa"/>
            </w:tcMar>
            <w:vAlign w:val="center"/>
          </w:tcPr>
          <w:p>
            <w:r>
              <w:rPr>
                <w:sz w:val="16"/>
              </w:rPr>
              <w:t>Matches, recommendations and prioritisation must be explainable to relevant users.</w:t>
            </w:r>
          </w:p>
        </w:tc>
      </w:tr>
      <w:tr>
        <w:tc>
          <w:tcPr>
            <w:tcW w:type="dxa" w:w="2304"/>
            <w:tcMar>
              <w:top w:w="100" w:type="dxa"/>
              <w:start w:w="120" w:type="dxa"/>
              <w:bottom w:w="100" w:type="dxa"/>
              <w:end w:w="120" w:type="dxa"/>
            </w:tcMar>
            <w:vAlign w:val="center"/>
          </w:tcPr>
          <w:p>
            <w:r>
              <w:rPr>
                <w:sz w:val="16"/>
              </w:rPr>
              <w:t>Human-Controlled Consequences</w:t>
            </w:r>
          </w:p>
        </w:tc>
        <w:tc>
          <w:tcPr>
            <w:tcW w:type="dxa" w:w="7488"/>
            <w:tcMar>
              <w:top w:w="100" w:type="dxa"/>
              <w:start w:w="120" w:type="dxa"/>
              <w:bottom w:w="100" w:type="dxa"/>
              <w:end w:w="120" w:type="dxa"/>
            </w:tcMar>
            <w:vAlign w:val="center"/>
          </w:tcPr>
          <w:p>
            <w:r>
              <w:rPr>
                <w:sz w:val="16"/>
              </w:rPr>
              <w:t>AI may recommend or simulate; authorised humans approve material institutional rule changes.</w:t>
            </w:r>
          </w:p>
        </w:tc>
      </w:tr>
      <w:tr>
        <w:tc>
          <w:tcPr>
            <w:tcW w:type="dxa" w:w="2304"/>
            <w:shd w:fill="F7F9FB"/>
            <w:tcMar>
              <w:top w:w="100" w:type="dxa"/>
              <w:start w:w="120" w:type="dxa"/>
              <w:bottom w:w="100" w:type="dxa"/>
              <w:end w:w="120" w:type="dxa"/>
            </w:tcMar>
            <w:vAlign w:val="center"/>
          </w:tcPr>
          <w:p>
            <w:r>
              <w:rPr>
                <w:sz w:val="16"/>
              </w:rPr>
              <w:t>Financial-Intent Architecture</w:t>
            </w:r>
          </w:p>
        </w:tc>
        <w:tc>
          <w:tcPr>
            <w:tcW w:type="dxa" w:w="7488"/>
            <w:shd w:fill="F7F9FB"/>
            <w:tcMar>
              <w:top w:w="100" w:type="dxa"/>
              <w:start w:w="120" w:type="dxa"/>
              <w:bottom w:w="100" w:type="dxa"/>
              <w:end w:w="120" w:type="dxa"/>
            </w:tcMar>
            <w:vAlign w:val="center"/>
          </w:tcPr>
          <w:p>
            <w:r>
              <w:rPr>
                <w:sz w:val="16"/>
              </w:rPr>
              <w:t>Core data structures should support future services beyond credit.</w:t>
            </w:r>
          </w:p>
        </w:tc>
      </w:tr>
    </w:tbl>
    <w:p>
      <w:pPr>
        <w:spacing w:after="40"/>
      </w:pPr>
    </w:p>
    <w:p>
      <w:pPr>
        <w:pStyle w:val="Heading1"/>
      </w:pPr>
      <w:r>
        <w:t>4. Product Architecture</w:t>
      </w:r>
    </w:p>
    <w:tbl>
      <w:tblPr>
        <w:tblStyle w:val="TableGrid"/>
        <w:tblW w:type="auto" w:w="0"/>
        <w:jc w:val="center"/>
        <w:tblLook w:firstColumn="1" w:firstRow="1" w:lastColumn="0" w:lastRow="0" w:noHBand="0" w:noVBand="1" w:val="04A0"/>
      </w:tblPr>
      <w:tblGrid>
        <w:gridCol w:w="5040"/>
        <w:gridCol w:w="5040"/>
      </w:tblGrid>
      <w:tr>
        <w:tc>
          <w:tcPr>
            <w:tcW w:type="dxa" w:w="2448"/>
            <w:shd w:fill="0B1F3A"/>
            <w:tcMar>
              <w:top w:w="100" w:type="dxa"/>
              <w:start w:w="120" w:type="dxa"/>
              <w:bottom w:w="100" w:type="dxa"/>
              <w:end w:w="120" w:type="dxa"/>
            </w:tcMar>
          </w:tcPr>
          <w:p>
            <w:r>
              <w:rPr>
                <w:b/>
                <w:color w:val="FFFFFF"/>
                <w:sz w:val="17"/>
              </w:rPr>
              <w:t>Layer</w:t>
            </w:r>
          </w:p>
        </w:tc>
        <w:tc>
          <w:tcPr>
            <w:tcW w:type="dxa" w:w="7344"/>
            <w:shd w:fill="0B1F3A"/>
            <w:tcMar>
              <w:top w:w="100" w:type="dxa"/>
              <w:start w:w="120" w:type="dxa"/>
              <w:bottom w:w="100" w:type="dxa"/>
              <w:end w:w="120" w:type="dxa"/>
            </w:tcMar>
          </w:tcPr>
          <w:p>
            <w:r>
              <w:rPr>
                <w:b/>
                <w:color w:val="FFFFFF"/>
                <w:sz w:val="17"/>
              </w:rPr>
              <w:t>Purpose</w:t>
            </w:r>
          </w:p>
        </w:tc>
      </w:tr>
      <w:tr>
        <w:tc>
          <w:tcPr>
            <w:tcW w:type="dxa" w:w="2448"/>
            <w:tcMar>
              <w:top w:w="100" w:type="dxa"/>
              <w:start w:w="120" w:type="dxa"/>
              <w:bottom w:w="100" w:type="dxa"/>
              <w:end w:w="120" w:type="dxa"/>
            </w:tcMar>
            <w:vAlign w:val="center"/>
          </w:tcPr>
          <w:p>
            <w:r>
              <w:rPr>
                <w:sz w:val="16"/>
              </w:rPr>
              <w:t>WEZA Access</w:t>
            </w:r>
          </w:p>
        </w:tc>
        <w:tc>
          <w:tcPr>
            <w:tcW w:type="dxa" w:w="7344"/>
            <w:tcMar>
              <w:top w:w="100" w:type="dxa"/>
              <w:start w:w="120" w:type="dxa"/>
              <w:bottom w:w="100" w:type="dxa"/>
              <w:end w:w="120" w:type="dxa"/>
            </w:tcMar>
            <w:vAlign w:val="center"/>
          </w:tcPr>
          <w:p>
            <w:r>
              <w:rPr>
                <w:sz w:val="16"/>
              </w:rPr>
              <w:t>Customer discovery, WhatsApp/web conversation, identity, profile, consent and application experience.</w:t>
            </w:r>
          </w:p>
        </w:tc>
      </w:tr>
      <w:tr>
        <w:tc>
          <w:tcPr>
            <w:tcW w:type="dxa" w:w="2448"/>
            <w:shd w:fill="F7F9FB"/>
            <w:tcMar>
              <w:top w:w="100" w:type="dxa"/>
              <w:start w:w="120" w:type="dxa"/>
              <w:bottom w:w="100" w:type="dxa"/>
              <w:end w:w="120" w:type="dxa"/>
            </w:tcMar>
            <w:vAlign w:val="center"/>
          </w:tcPr>
          <w:p>
            <w:r>
              <w:rPr>
                <w:sz w:val="16"/>
              </w:rPr>
              <w:t>WEZA Opportunity Engine</w:t>
            </w:r>
          </w:p>
        </w:tc>
        <w:tc>
          <w:tcPr>
            <w:tcW w:type="dxa" w:w="7344"/>
            <w:shd w:fill="F7F9FB"/>
            <w:tcMar>
              <w:top w:w="100" w:type="dxa"/>
              <w:start w:w="120" w:type="dxa"/>
              <w:bottom w:w="100" w:type="dxa"/>
              <w:end w:w="120" w:type="dxa"/>
            </w:tcMar>
            <w:vAlign w:val="center"/>
          </w:tcPr>
          <w:p>
            <w:r>
              <w:rPr>
                <w:sz w:val="16"/>
              </w:rPr>
              <w:t>Quality assessment, readiness, product eligibility, institution appetite matching, ranking and routing.</w:t>
            </w:r>
          </w:p>
        </w:tc>
      </w:tr>
      <w:tr>
        <w:tc>
          <w:tcPr>
            <w:tcW w:type="dxa" w:w="2448"/>
            <w:tcMar>
              <w:top w:w="100" w:type="dxa"/>
              <w:start w:w="120" w:type="dxa"/>
              <w:bottom w:w="100" w:type="dxa"/>
              <w:end w:w="120" w:type="dxa"/>
            </w:tcMar>
            <w:vAlign w:val="center"/>
          </w:tcPr>
          <w:p>
            <w:r>
              <w:rPr>
                <w:sz w:val="16"/>
              </w:rPr>
              <w:t>WEZA Institutional</w:t>
            </w:r>
          </w:p>
        </w:tc>
        <w:tc>
          <w:tcPr>
            <w:tcW w:type="dxa" w:w="7344"/>
            <w:tcMar>
              <w:top w:w="100" w:type="dxa"/>
              <w:start w:w="120" w:type="dxa"/>
              <w:bottom w:w="100" w:type="dxa"/>
              <w:end w:w="120" w:type="dxa"/>
            </w:tcMar>
            <w:vAlign w:val="center"/>
          </w:tcPr>
          <w:p>
            <w:r>
              <w:rPr>
                <w:sz w:val="16"/>
              </w:rPr>
              <w:t>Institution onboarding, Product Studio, Appetite Studio, opportunity management, teams, notifications and marketplace intelligence.</w:t>
            </w:r>
          </w:p>
        </w:tc>
      </w:tr>
      <w:tr>
        <w:tc>
          <w:tcPr>
            <w:tcW w:type="dxa" w:w="2448"/>
            <w:shd w:fill="F7F9FB"/>
            <w:tcMar>
              <w:top w:w="100" w:type="dxa"/>
              <w:start w:w="120" w:type="dxa"/>
              <w:bottom w:w="100" w:type="dxa"/>
              <w:end w:w="120" w:type="dxa"/>
            </w:tcMar>
            <w:vAlign w:val="center"/>
          </w:tcPr>
          <w:p>
            <w:r>
              <w:rPr>
                <w:sz w:val="16"/>
              </w:rPr>
              <w:t>WEZA Trust Layer</w:t>
            </w:r>
          </w:p>
        </w:tc>
        <w:tc>
          <w:tcPr>
            <w:tcW w:type="dxa" w:w="7344"/>
            <w:shd w:fill="F7F9FB"/>
            <w:tcMar>
              <w:top w:w="100" w:type="dxa"/>
              <w:start w:w="120" w:type="dxa"/>
              <w:bottom w:w="100" w:type="dxa"/>
              <w:end w:w="120" w:type="dxa"/>
            </w:tcMar>
            <w:vAlign w:val="center"/>
          </w:tcPr>
          <w:p>
            <w:r>
              <w:rPr>
                <w:sz w:val="16"/>
              </w:rPr>
              <w:t>Identity, consent, permissions, audit trails, explainability, security and governance.</w:t>
            </w:r>
          </w:p>
        </w:tc>
      </w:tr>
      <w:tr>
        <w:tc>
          <w:tcPr>
            <w:tcW w:type="dxa" w:w="2448"/>
            <w:tcMar>
              <w:top w:w="100" w:type="dxa"/>
              <w:start w:w="120" w:type="dxa"/>
              <w:bottom w:w="100" w:type="dxa"/>
              <w:end w:w="120" w:type="dxa"/>
            </w:tcMar>
            <w:vAlign w:val="center"/>
          </w:tcPr>
          <w:p>
            <w:r>
              <w:rPr>
                <w:sz w:val="16"/>
              </w:rPr>
              <w:t>WEZA Opportunity Graph</w:t>
            </w:r>
          </w:p>
        </w:tc>
        <w:tc>
          <w:tcPr>
            <w:tcW w:type="dxa" w:w="7344"/>
            <w:tcMar>
              <w:top w:w="100" w:type="dxa"/>
              <w:start w:w="120" w:type="dxa"/>
              <w:bottom w:w="100" w:type="dxa"/>
              <w:end w:w="120" w:type="dxa"/>
            </w:tcMar>
            <w:vAlign w:val="center"/>
          </w:tcPr>
          <w:p>
            <w:r>
              <w:rPr>
                <w:sz w:val="16"/>
              </w:rPr>
              <w:t>Long-term relationship model linking need, customer readiness, products, institutions, appetite, geography, sector and outcomes.</w:t>
            </w:r>
          </w:p>
        </w:tc>
      </w:tr>
    </w:tbl>
    <w:p>
      <w:pPr>
        <w:spacing w:after="40"/>
      </w:pPr>
    </w:p>
    <w:p>
      <w:pPr>
        <w:pStyle w:val="Heading1"/>
      </w:pPr>
      <w:r>
        <w:t>5. Customer Discovery and Acquisition</w:t>
      </w:r>
    </w:p>
    <w:p>
      <w:r>
        <w:t>WEZA should not rely on customers already knowing a WhatsApp number. The product must include a deliberate distribution layer.</w:t>
      </w:r>
    </w:p>
    <w:p>
      <w:pPr>
        <w:pStyle w:val="ListBullet"/>
        <w:spacing w:after="40"/>
      </w:pPr>
      <w:r>
        <w:t>WEZA public website and search-engine discovery.</w:t>
      </w:r>
    </w:p>
    <w:p>
      <w:pPr>
        <w:pStyle w:val="ListBullet"/>
        <w:spacing w:after="40"/>
      </w:pPr>
      <w:r>
        <w:t>Click-to-WhatsApp links and QR codes.</w:t>
      </w:r>
    </w:p>
    <w:p>
      <w:pPr>
        <w:pStyle w:val="ListBullet"/>
        <w:spacing w:after="40"/>
      </w:pPr>
      <w:r>
        <w:t>Social media and digital campaigns.</w:t>
      </w:r>
    </w:p>
    <w:p>
      <w:pPr>
        <w:pStyle w:val="ListBullet"/>
        <w:spacing w:after="40"/>
      </w:pPr>
      <w:r>
        <w:t>Participating institution websites, branches and campaigns.</w:t>
      </w:r>
    </w:p>
    <w:p>
      <w:pPr>
        <w:pStyle w:val="ListBullet"/>
        <w:spacing w:after="40"/>
      </w:pPr>
      <w:r>
        <w:t>SACCO unions, cooperatives, SME associations, employers and approved referral partners.</w:t>
      </w:r>
    </w:p>
    <w:p>
      <w:pPr>
        <w:pStyle w:val="ListBullet"/>
        <w:spacing w:after="40"/>
      </w:pPr>
      <w:r>
        <w:t>Physical QR placements at relevant partner touchpoints and events.</w:t>
      </w:r>
    </w:p>
    <w:p>
      <w:pPr>
        <w:pStyle w:val="ListBullet"/>
        <w:spacing w:after="40"/>
      </w:pPr>
      <w:r>
        <w:t>Future WEZA mobile application.</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Discovery principle: Discover anywhere. Start anywhere. Continue through WEZA.</w:t>
            </w:r>
          </w:p>
        </w:tc>
      </w:tr>
    </w:tbl>
    <w:p>
      <w:pPr>
        <w:spacing w:after="20"/>
      </w:pPr>
    </w:p>
    <w:p>
      <w:pPr>
        <w:pStyle w:val="Heading1"/>
      </w:pPr>
      <w:r>
        <w:t>6. Customer End-to-End Journey</w:t>
      </w:r>
    </w:p>
    <w:p>
      <w:pPr>
        <w:pStyle w:val="ListNumber"/>
        <w:spacing w:after="40"/>
      </w:pPr>
      <w:r>
        <w:t>Discover WEZA through web, QR, social, partner, institution or referral channel.</w:t>
      </w:r>
    </w:p>
    <w:p>
      <w:pPr>
        <w:pStyle w:val="ListNumber"/>
        <w:spacing w:after="40"/>
      </w:pPr>
      <w:r>
        <w:t>Start a WhatsApp or web conversation.</w:t>
      </w:r>
    </w:p>
    <w:p>
      <w:pPr>
        <w:pStyle w:val="ListNumber"/>
        <w:spacing w:after="40"/>
      </w:pPr>
      <w:r>
        <w:t>Express the financial objective naturally, e.g., 'I need UGX 15 million to expand my shop.'</w:t>
      </w:r>
    </w:p>
    <w:p>
      <w:pPr>
        <w:pStyle w:val="ListNumber"/>
        <w:spacing w:after="40"/>
      </w:pPr>
      <w:r>
        <w:t>WEZA Financial Intent Engine converts the conversation into structured demand.</w:t>
      </w:r>
    </w:p>
    <w:p>
      <w:pPr>
        <w:pStyle w:val="ListNumber"/>
        <w:spacing w:after="40"/>
      </w:pPr>
      <w:r>
        <w:t>Verify the customer's reachable phone number using OTP.</w:t>
      </w:r>
    </w:p>
    <w:p>
      <w:pPr>
        <w:pStyle w:val="ListNumber"/>
        <w:spacing w:after="40"/>
      </w:pPr>
      <w:r>
        <w:t>Capture identity information and supporting documents where required for marketplace verification.</w:t>
      </w:r>
    </w:p>
    <w:p>
      <w:pPr>
        <w:pStyle w:val="ListNumber"/>
        <w:spacing w:after="40"/>
      </w:pPr>
      <w:r>
        <w:t>Dynamically collect profile information relevant to the customer type and financing need.</w:t>
      </w:r>
    </w:p>
    <w:p>
      <w:pPr>
        <w:pStyle w:val="ListNumber"/>
        <w:spacing w:after="40"/>
      </w:pPr>
      <w:r>
        <w:t>Calculate customer readiness and WEZA Quality Score.</w:t>
      </w:r>
    </w:p>
    <w:p>
      <w:pPr>
        <w:pStyle w:val="ListNumber"/>
        <w:spacing w:after="40"/>
      </w:pPr>
      <w:r>
        <w:t>Match the opportunity against active institution products, eligibility criteria and appetite.</w:t>
      </w:r>
    </w:p>
    <w:p>
      <w:pPr>
        <w:pStyle w:val="ListNumber"/>
        <w:spacing w:after="40"/>
      </w:pPr>
      <w:r>
        <w:t>Present suitable options with explainable reasons and relevant indicative information.</w:t>
      </w:r>
    </w:p>
    <w:p>
      <w:pPr>
        <w:pStyle w:val="ListNumber"/>
        <w:spacing w:after="40"/>
      </w:pPr>
      <w:r>
        <w:t>Customer selects an institution and explicitly consents to the defined data sharing.</w:t>
      </w:r>
    </w:p>
    <w:p>
      <w:pPr>
        <w:pStyle w:val="ListNumber"/>
        <w:spacing w:after="40"/>
      </w:pPr>
      <w:r>
        <w:t>Create and route a Qualified WEZA Opportunity into that institution's workspace.</w:t>
      </w:r>
    </w:p>
    <w:p>
      <w:pPr>
        <w:pStyle w:val="ListNumber"/>
        <w:spacing w:after="40"/>
      </w:pPr>
      <w:r>
        <w:t>Institution contacts the customer and moves them through its existing internal process.</w:t>
      </w:r>
    </w:p>
    <w:p>
      <w:pPr>
        <w:pStyle w:val="ListNumber"/>
        <w:spacing w:after="40"/>
      </w:pPr>
      <w:r>
        <w:t>Institution reports lightweight outcome status to WEZA.</w:t>
      </w:r>
    </w:p>
    <w:p>
      <w:pPr>
        <w:pStyle w:val="ListNumber"/>
        <w:spacing w:after="40"/>
      </w:pPr>
      <w:r>
        <w:t>If declined or abandoned, WEZA may offer alternative eligible pathways subject to customer consent.</w:t>
      </w:r>
    </w:p>
    <w:p>
      <w:pPr>
        <w:pStyle w:val="Heading1"/>
      </w:pPr>
      <w:r>
        <w:t>7. Financial Intent and Dynamic Profiling</w:t>
      </w:r>
    </w:p>
    <w:p>
      <w:pPr>
        <w:pStyle w:val="Heading2"/>
      </w:pPr>
      <w:r>
        <w:t>7.1 Financial Intent Engine</w:t>
      </w:r>
    </w:p>
    <w:p>
      <w:r>
        <w:t>WEZA should understand goals rather than force customers to select banking terminology. The engine structures purpose, requested amount, customer segment, likely product family, urgency and other relevant dimensions.</w:t>
      </w:r>
    </w:p>
    <w:p>
      <w:pPr>
        <w:pStyle w:val="Heading2"/>
      </w:pPr>
      <w:r>
        <w:t>7.2 Dynamic Questioning</w:t>
      </w:r>
    </w:p>
    <w:tbl>
      <w:tblPr>
        <w:tblStyle w:val="TableGrid"/>
        <w:tblW w:type="auto" w:w="0"/>
        <w:jc w:val="center"/>
        <w:tblLook w:firstColumn="1" w:firstRow="1" w:lastColumn="0" w:lastRow="0" w:noHBand="0" w:noVBand="1" w:val="04A0"/>
      </w:tblPr>
      <w:tblGrid>
        <w:gridCol w:w="5040"/>
        <w:gridCol w:w="5040"/>
      </w:tblGrid>
      <w:tr>
        <w:tc>
          <w:tcPr>
            <w:tcW w:type="dxa" w:w="2160"/>
            <w:shd w:fill="0B1F3A"/>
            <w:tcMar>
              <w:top w:w="100" w:type="dxa"/>
              <w:start w:w="120" w:type="dxa"/>
              <w:bottom w:w="100" w:type="dxa"/>
              <w:end w:w="120" w:type="dxa"/>
            </w:tcMar>
          </w:tcPr>
          <w:p>
            <w:r>
              <w:rPr>
                <w:b/>
                <w:color w:val="FFFFFF"/>
                <w:sz w:val="17"/>
              </w:rPr>
              <w:t>Customer Type</w:t>
            </w:r>
          </w:p>
        </w:tc>
        <w:tc>
          <w:tcPr>
            <w:tcW w:type="dxa" w:w="7632"/>
            <w:shd w:fill="0B1F3A"/>
            <w:tcMar>
              <w:top w:w="100" w:type="dxa"/>
              <w:start w:w="120" w:type="dxa"/>
              <w:bottom w:w="100" w:type="dxa"/>
              <w:end w:w="120" w:type="dxa"/>
            </w:tcMar>
          </w:tcPr>
          <w:p>
            <w:r>
              <w:rPr>
                <w:b/>
                <w:color w:val="FFFFFF"/>
                <w:sz w:val="17"/>
              </w:rPr>
              <w:t>Illustrative Questions</w:t>
            </w:r>
          </w:p>
        </w:tc>
      </w:tr>
      <w:tr>
        <w:tc>
          <w:tcPr>
            <w:tcW w:type="dxa" w:w="2160"/>
            <w:tcMar>
              <w:top w:w="100" w:type="dxa"/>
              <w:start w:w="120" w:type="dxa"/>
              <w:bottom w:w="100" w:type="dxa"/>
              <w:end w:w="120" w:type="dxa"/>
            </w:tcMar>
            <w:vAlign w:val="center"/>
          </w:tcPr>
          <w:p>
            <w:r>
              <w:rPr>
                <w:sz w:val="16"/>
              </w:rPr>
              <w:t>Salaried</w:t>
            </w:r>
          </w:p>
        </w:tc>
        <w:tc>
          <w:tcPr>
            <w:tcW w:type="dxa" w:w="7632"/>
            <w:tcMar>
              <w:top w:w="100" w:type="dxa"/>
              <w:start w:w="120" w:type="dxa"/>
              <w:bottom w:w="100" w:type="dxa"/>
              <w:end w:w="120" w:type="dxa"/>
            </w:tcMar>
            <w:vAlign w:val="center"/>
          </w:tcPr>
          <w:p>
            <w:r>
              <w:rPr>
                <w:sz w:val="16"/>
              </w:rPr>
              <w:t>Employer, employment duration, reported income, existing obligations, amount, purpose and preferred tenor.</w:t>
            </w:r>
          </w:p>
        </w:tc>
      </w:tr>
      <w:tr>
        <w:tc>
          <w:tcPr>
            <w:tcW w:type="dxa" w:w="2160"/>
            <w:shd w:fill="F7F9FB"/>
            <w:tcMar>
              <w:top w:w="100" w:type="dxa"/>
              <w:start w:w="120" w:type="dxa"/>
              <w:bottom w:w="100" w:type="dxa"/>
              <w:end w:w="120" w:type="dxa"/>
            </w:tcMar>
            <w:vAlign w:val="center"/>
          </w:tcPr>
          <w:p>
            <w:r>
              <w:rPr>
                <w:sz w:val="16"/>
              </w:rPr>
              <w:t>SME</w:t>
            </w:r>
          </w:p>
        </w:tc>
        <w:tc>
          <w:tcPr>
            <w:tcW w:type="dxa" w:w="7632"/>
            <w:shd w:fill="F7F9FB"/>
            <w:tcMar>
              <w:top w:w="100" w:type="dxa"/>
              <w:start w:w="120" w:type="dxa"/>
              <w:bottom w:w="100" w:type="dxa"/>
              <w:end w:w="120" w:type="dxa"/>
            </w:tcMar>
            <w:vAlign w:val="center"/>
          </w:tcPr>
          <w:p>
            <w:r>
              <w:rPr>
                <w:sz w:val="16"/>
              </w:rPr>
              <w:t>Business type, age, sector, location, reported revenue/expenses, existing borrowing, amount and purpose.</w:t>
            </w:r>
          </w:p>
        </w:tc>
      </w:tr>
      <w:tr>
        <w:tc>
          <w:tcPr>
            <w:tcW w:type="dxa" w:w="2160"/>
            <w:tcMar>
              <w:top w:w="100" w:type="dxa"/>
              <w:start w:w="120" w:type="dxa"/>
              <w:bottom w:w="100" w:type="dxa"/>
              <w:end w:w="120" w:type="dxa"/>
            </w:tcMar>
            <w:vAlign w:val="center"/>
          </w:tcPr>
          <w:p>
            <w:r>
              <w:rPr>
                <w:sz w:val="16"/>
              </w:rPr>
              <w:t>Agriculture</w:t>
            </w:r>
          </w:p>
        </w:tc>
        <w:tc>
          <w:tcPr>
            <w:tcW w:type="dxa" w:w="7632"/>
            <w:tcMar>
              <w:top w:w="100" w:type="dxa"/>
              <w:start w:w="120" w:type="dxa"/>
              <w:bottom w:w="100" w:type="dxa"/>
              <w:end w:w="120" w:type="dxa"/>
            </w:tcMar>
            <w:vAlign w:val="center"/>
          </w:tcPr>
          <w:p>
            <w:r>
              <w:rPr>
                <w:sz w:val="16"/>
              </w:rPr>
              <w:t>Activity, season/cycle, location, operating history, financing purpose, amount and relevant supporting information.</w:t>
            </w:r>
          </w:p>
        </w:tc>
      </w:tr>
    </w:tbl>
    <w:p>
      <w:pPr>
        <w:spacing w:after="40"/>
      </w:pPr>
    </w:p>
    <w:p>
      <w:r>
        <w:t>Question paths must be configurable and should minimise unnecessary data collection.</w:t>
      </w:r>
    </w:p>
    <w:p>
      <w:pPr>
        <w:pStyle w:val="Heading1"/>
      </w:pPr>
      <w:r>
        <w:t>8. Identity, Verification and Consent</w:t>
      </w:r>
    </w:p>
    <w:p>
      <w:r>
        <w:t>WEZA V1 performs marketplace-level verification designed to establish that a reachable customer is making the request and to improve opportunity quality. It does not replace a financial institution's statutory KYC, AML/CFT, affordability or credit controls.</w:t>
      </w:r>
    </w:p>
    <w:p>
      <w:pPr>
        <w:pStyle w:val="ListBullet"/>
        <w:spacing w:after="40"/>
      </w:pPr>
      <w:r>
        <w:t>Phone number verification by OTP.</w:t>
      </w:r>
    </w:p>
    <w:p>
      <w:pPr>
        <w:pStyle w:val="ListBullet"/>
        <w:spacing w:after="40"/>
      </w:pPr>
      <w:r>
        <w:t>National identification information and document capture where appropriate.</w:t>
      </w:r>
    </w:p>
    <w:p>
      <w:pPr>
        <w:pStyle w:val="ListBullet"/>
        <w:spacing w:after="40"/>
      </w:pPr>
      <w:r>
        <w:t>Document integrity and consistency checks where technically and legally appropriate.</w:t>
      </w:r>
    </w:p>
    <w:p>
      <w:pPr>
        <w:pStyle w:val="ListBullet"/>
        <w:spacing w:after="40"/>
      </w:pPr>
      <w:r>
        <w:t>Clear verification status visible to the institution.</w:t>
      </w:r>
    </w:p>
    <w:p>
      <w:pPr>
        <w:pStyle w:val="ListBullet"/>
        <w:spacing w:after="40"/>
      </w:pPr>
      <w:r>
        <w:t>Explicit consent before institution-specific data routing.</w:t>
      </w:r>
    </w:p>
    <w:p>
      <w:pPr>
        <w:pStyle w:val="ListBullet"/>
        <w:spacing w:after="40"/>
      </w:pPr>
      <w:r>
        <w:t>Consent ledger capturing customer, institution, purpose, information authorised, timestamp and status.</w:t>
      </w:r>
    </w:p>
    <w:p>
      <w:pPr>
        <w:pStyle w:val="ListBullet"/>
        <w:spacing w:after="40"/>
      </w:pPr>
      <w:r>
        <w:t>Future customer permission centre showing institutions and information previously authorised.</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The WhatsApp/phone number used during intake must never automatically be treated as an authorised disbursement destination. The institution validates disbursement details under its own controls.</w:t>
            </w:r>
          </w:p>
        </w:tc>
      </w:tr>
    </w:tbl>
    <w:p>
      <w:pPr>
        <w:spacing w:after="20"/>
      </w:pPr>
    </w:p>
    <w:p>
      <w:pPr>
        <w:pStyle w:val="Heading1"/>
      </w:pPr>
      <w:r>
        <w:t>9. WEZA Opportunity Engine</w:t>
      </w:r>
    </w:p>
    <w:p>
      <w:r>
        <w:t>The Opportunity Engine continuously reconciles Financial Demand × Customer Readiness × Product Eligibility × Institutional Appetite × Capital Mandate × Customer Preference.</w:t>
      </w:r>
    </w:p>
    <w:p>
      <w:pPr>
        <w:pStyle w:val="Heading2"/>
      </w:pPr>
      <w:r>
        <w:t>9.1 WEZA Quality Score</w:t>
      </w:r>
    </w:p>
    <w:p>
      <w:r>
        <w:t>Measures how complete, verified and ready the opportunity is. It may consider identity status, profile completeness, required documents, consistency and customer readiness.</w:t>
      </w:r>
    </w:p>
    <w:p>
      <w:pPr>
        <w:pStyle w:val="Heading2"/>
      </w:pPr>
      <w:r>
        <w:t>9.2 WEZA Match Score</w:t>
      </w:r>
    </w:p>
    <w:p>
      <w:r>
        <w:t>Measures how closely a specific opportunity aligns with a specific institution's configured product and appetite. It is institution-specific and is not a credit approval probability.</w:t>
      </w:r>
    </w:p>
    <w:p>
      <w:pPr>
        <w:pStyle w:val="Heading2"/>
      </w:pPr>
      <w:r>
        <w:t>9.3 Explainable Match Card</w:t>
      </w:r>
    </w:p>
    <w:p>
      <w:r>
        <w:t>Every institutional match should show the key reasons, for example: requested amount within range; target sector; business age satisfied; target geography; customer type matched; missing document noted.</w:t>
      </w:r>
    </w:p>
    <w:p>
      <w:pPr>
        <w:pStyle w:val="Heading2"/>
      </w:pPr>
      <w:r>
        <w:t>9.4 Readiness States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0B1F3A"/>
            <w:tcMar>
              <w:top w:w="100" w:type="dxa"/>
              <w:start w:w="120" w:type="dxa"/>
              <w:bottom w:w="100" w:type="dxa"/>
              <w:end w:w="120" w:type="dxa"/>
            </w:tcMar>
          </w:tcPr>
          <w:p>
            <w:r>
              <w:rPr>
                <w:b/>
                <w:color w:val="FFFFFF"/>
                <w:sz w:val="17"/>
              </w:rPr>
              <w:t>State</w:t>
            </w:r>
          </w:p>
        </w:tc>
        <w:tc>
          <w:tcPr>
            <w:tcW w:type="dxa" w:w="3456"/>
            <w:shd w:fill="0B1F3A"/>
            <w:tcMar>
              <w:top w:w="100" w:type="dxa"/>
              <w:start w:w="120" w:type="dxa"/>
              <w:bottom w:w="100" w:type="dxa"/>
              <w:end w:w="120" w:type="dxa"/>
            </w:tcMar>
          </w:tcPr>
          <w:p>
            <w:r>
              <w:rPr>
                <w:b/>
                <w:color w:val="FFFFFF"/>
                <w:sz w:val="17"/>
              </w:rPr>
              <w:t>Meaning</w:t>
            </w:r>
          </w:p>
        </w:tc>
        <w:tc>
          <w:tcPr>
            <w:tcW w:type="dxa" w:w="4320"/>
            <w:shd w:fill="0B1F3A"/>
            <w:tcMar>
              <w:top w:w="100" w:type="dxa"/>
              <w:start w:w="120" w:type="dxa"/>
              <w:bottom w:w="100" w:type="dxa"/>
              <w:end w:w="120" w:type="dxa"/>
            </w:tcMar>
          </w:tcPr>
          <w:p>
            <w:r>
              <w:rPr>
                <w:b/>
                <w:color w:val="FFFFFF"/>
                <w:sz w:val="17"/>
              </w:rPr>
              <w:t>System Action</w:t>
            </w:r>
          </w:p>
        </w:tc>
      </w:tr>
      <w:tr>
        <w:tc>
          <w:tcPr>
            <w:tcW w:type="dxa" w:w="2016"/>
            <w:tcMar>
              <w:top w:w="100" w:type="dxa"/>
              <w:start w:w="120" w:type="dxa"/>
              <w:bottom w:w="100" w:type="dxa"/>
              <w:end w:w="120" w:type="dxa"/>
            </w:tcMar>
            <w:vAlign w:val="center"/>
          </w:tcPr>
          <w:p>
            <w:r>
              <w:rPr>
                <w:sz w:val="16"/>
              </w:rPr>
              <w:t>Ready Now</w:t>
            </w:r>
          </w:p>
        </w:tc>
        <w:tc>
          <w:tcPr>
            <w:tcW w:type="dxa" w:w="3456"/>
            <w:tcMar>
              <w:top w:w="100" w:type="dxa"/>
              <w:start w:w="120" w:type="dxa"/>
              <w:bottom w:w="100" w:type="dxa"/>
              <w:end w:w="120" w:type="dxa"/>
            </w:tcMar>
            <w:vAlign w:val="center"/>
          </w:tcPr>
          <w:p>
            <w:r>
              <w:rPr>
                <w:sz w:val="16"/>
              </w:rPr>
              <w:t>Minimum marketplace information and match conditions satisfied.</w:t>
            </w:r>
          </w:p>
        </w:tc>
        <w:tc>
          <w:tcPr>
            <w:tcW w:type="dxa" w:w="4320"/>
            <w:tcMar>
              <w:top w:w="100" w:type="dxa"/>
              <w:start w:w="120" w:type="dxa"/>
              <w:bottom w:w="100" w:type="dxa"/>
              <w:end w:w="120" w:type="dxa"/>
            </w:tcMar>
            <w:vAlign w:val="center"/>
          </w:tcPr>
          <w:p>
            <w:r>
              <w:rPr>
                <w:sz w:val="16"/>
              </w:rPr>
              <w:t>Present suitable institutions and proceed to consent.</w:t>
            </w:r>
          </w:p>
        </w:tc>
      </w:tr>
      <w:tr>
        <w:tc>
          <w:tcPr>
            <w:tcW w:type="dxa" w:w="2016"/>
            <w:shd w:fill="F7F9FB"/>
            <w:tcMar>
              <w:top w:w="100" w:type="dxa"/>
              <w:start w:w="120" w:type="dxa"/>
              <w:bottom w:w="100" w:type="dxa"/>
              <w:end w:w="120" w:type="dxa"/>
            </w:tcMar>
            <w:vAlign w:val="center"/>
          </w:tcPr>
          <w:p>
            <w:r>
              <w:rPr>
                <w:sz w:val="16"/>
              </w:rPr>
              <w:t>Almost Ready</w:t>
            </w:r>
          </w:p>
        </w:tc>
        <w:tc>
          <w:tcPr>
            <w:tcW w:type="dxa" w:w="3456"/>
            <w:shd w:fill="F7F9FB"/>
            <w:tcMar>
              <w:top w:w="100" w:type="dxa"/>
              <w:start w:w="120" w:type="dxa"/>
              <w:bottom w:w="100" w:type="dxa"/>
              <w:end w:w="120" w:type="dxa"/>
            </w:tcMar>
            <w:vAlign w:val="center"/>
          </w:tcPr>
          <w:p>
            <w:r>
              <w:rPr>
                <w:sz w:val="16"/>
              </w:rPr>
              <w:t>Potential match exists but required information is incomplete.</w:t>
            </w:r>
          </w:p>
        </w:tc>
        <w:tc>
          <w:tcPr>
            <w:tcW w:type="dxa" w:w="4320"/>
            <w:shd w:fill="F7F9FB"/>
            <w:tcMar>
              <w:top w:w="100" w:type="dxa"/>
              <w:start w:w="120" w:type="dxa"/>
              <w:bottom w:w="100" w:type="dxa"/>
              <w:end w:w="120" w:type="dxa"/>
            </w:tcMar>
            <w:vAlign w:val="center"/>
          </w:tcPr>
          <w:p>
            <w:r>
              <w:rPr>
                <w:sz w:val="16"/>
              </w:rPr>
              <w:t>Guide customer to complete the missing items.</w:t>
            </w:r>
          </w:p>
        </w:tc>
      </w:tr>
      <w:tr>
        <w:tc>
          <w:tcPr>
            <w:tcW w:type="dxa" w:w="2016"/>
            <w:tcMar>
              <w:top w:w="100" w:type="dxa"/>
              <w:start w:w="120" w:type="dxa"/>
              <w:bottom w:w="100" w:type="dxa"/>
              <w:end w:w="120" w:type="dxa"/>
            </w:tcMar>
            <w:vAlign w:val="center"/>
          </w:tcPr>
          <w:p>
            <w:r>
              <w:rPr>
                <w:sz w:val="16"/>
              </w:rPr>
              <w:t>No Current Match</w:t>
            </w:r>
          </w:p>
        </w:tc>
        <w:tc>
          <w:tcPr>
            <w:tcW w:type="dxa" w:w="3456"/>
            <w:tcMar>
              <w:top w:w="100" w:type="dxa"/>
              <w:start w:w="120" w:type="dxa"/>
              <w:bottom w:w="100" w:type="dxa"/>
              <w:end w:w="120" w:type="dxa"/>
            </w:tcMar>
            <w:vAlign w:val="center"/>
          </w:tcPr>
          <w:p>
            <w:r>
              <w:rPr>
                <w:sz w:val="16"/>
              </w:rPr>
              <w:t>No active institution criteria sufficiently match.</w:t>
            </w:r>
          </w:p>
        </w:tc>
        <w:tc>
          <w:tcPr>
            <w:tcW w:type="dxa" w:w="4320"/>
            <w:tcMar>
              <w:top w:w="100" w:type="dxa"/>
              <w:start w:w="120" w:type="dxa"/>
              <w:bottom w:w="100" w:type="dxa"/>
              <w:end w:w="120" w:type="dxa"/>
            </w:tcMar>
            <w:vAlign w:val="center"/>
          </w:tcPr>
          <w:p>
            <w:r>
              <w:rPr>
                <w:sz w:val="16"/>
              </w:rPr>
              <w:t>Explain that no current match exists and preserve/revisit the journey where permitted.</w:t>
            </w:r>
          </w:p>
        </w:tc>
      </w:tr>
    </w:tbl>
    <w:p>
      <w:pPr>
        <w:spacing w:after="40"/>
      </w:pPr>
    </w:p>
    <w:p>
      <w:pPr>
        <w:pStyle w:val="Heading1"/>
      </w:pPr>
      <w:r>
        <w:t>10. Institution Onboarding - Zero Integration</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Institution promise: Join the WEZA Network. Tell WEZA what customers you want. Start receiving qualified opportunities.</w:t>
            </w:r>
          </w:p>
        </w:tc>
      </w:tr>
    </w:tbl>
    <w:p>
      <w:pPr>
        <w:spacing w:after="20"/>
      </w:pPr>
    </w:p>
    <w:p>
      <w:r>
        <w:t>The institution journey is: Apply → Verify → Workspace → Users → Products → Appetite → Routing → Notifications → Simulation → Activate.</w:t>
      </w:r>
    </w:p>
    <w:p>
      <w:pPr>
        <w:pStyle w:val="Heading2"/>
      </w:pPr>
      <w:r>
        <w:t>10.1 Application and Verification</w:t>
      </w:r>
    </w:p>
    <w:p>
      <w:pPr>
        <w:pStyle w:val="ListBullet"/>
        <w:spacing w:after="40"/>
      </w:pPr>
      <w:r>
        <w:t>Legal institution name and category.</w:t>
      </w:r>
    </w:p>
    <w:p>
      <w:pPr>
        <w:pStyle w:val="ListBullet"/>
        <w:spacing w:after="40"/>
      </w:pPr>
      <w:r>
        <w:t>Relevant licence/regulatory details.</w:t>
      </w:r>
    </w:p>
    <w:p>
      <w:pPr>
        <w:pStyle w:val="ListBullet"/>
        <w:spacing w:after="40"/>
      </w:pPr>
      <w:r>
        <w:t>Authorised institutional representative.</w:t>
      </w:r>
    </w:p>
    <w:p>
      <w:pPr>
        <w:pStyle w:val="ListBullet"/>
        <w:spacing w:after="40"/>
      </w:pPr>
      <w:r>
        <w:t>Business and compliance contacts.</w:t>
      </w:r>
    </w:p>
    <w:p>
      <w:pPr>
        <w:pStyle w:val="ListBullet"/>
        <w:spacing w:after="40"/>
      </w:pPr>
      <w:r>
        <w:t>Institution verification by WEZA before marketplace activation.</w:t>
      </w:r>
    </w:p>
    <w:p>
      <w:pPr>
        <w:pStyle w:val="Heading2"/>
      </w:pPr>
      <w:r>
        <w:t>10.2 Secure Institutional Workspace</w:t>
      </w:r>
    </w:p>
    <w:p>
      <w:r>
        <w:t>Following approval, WEZA provisions a secure institution workspace. No bank database connection is required.</w:t>
      </w:r>
    </w:p>
    <w:p>
      <w:pPr>
        <w:pStyle w:val="Heading2"/>
      </w:pPr>
      <w:r>
        <w:t>10.3 Institutional Roles</w:t>
      </w:r>
    </w:p>
    <w:tbl>
      <w:tblPr>
        <w:tblStyle w:val="TableGrid"/>
        <w:tblW w:type="auto" w:w="0"/>
        <w:jc w:val="center"/>
        <w:tblLook w:firstColumn="1" w:firstRow="1" w:lastColumn="0" w:lastRow="0" w:noHBand="0" w:noVBand="1" w:val="04A0"/>
      </w:tblPr>
      <w:tblGrid>
        <w:gridCol w:w="5040"/>
        <w:gridCol w:w="5040"/>
      </w:tblGrid>
      <w:tr>
        <w:tc>
          <w:tcPr>
            <w:tcW w:type="dxa" w:w="2448"/>
            <w:shd w:fill="0B1F3A"/>
            <w:tcMar>
              <w:top w:w="100" w:type="dxa"/>
              <w:start w:w="120" w:type="dxa"/>
              <w:bottom w:w="100" w:type="dxa"/>
              <w:end w:w="120" w:type="dxa"/>
            </w:tcMar>
          </w:tcPr>
          <w:p>
            <w:r>
              <w:rPr>
                <w:b/>
                <w:color w:val="FFFFFF"/>
                <w:sz w:val="17"/>
              </w:rPr>
              <w:t>Role</w:t>
            </w:r>
          </w:p>
        </w:tc>
        <w:tc>
          <w:tcPr>
            <w:tcW w:type="dxa" w:w="7344"/>
            <w:shd w:fill="0B1F3A"/>
            <w:tcMar>
              <w:top w:w="100" w:type="dxa"/>
              <w:start w:w="120" w:type="dxa"/>
              <w:bottom w:w="100" w:type="dxa"/>
              <w:end w:w="120" w:type="dxa"/>
            </w:tcMar>
          </w:tcPr>
          <w:p>
            <w:r>
              <w:rPr>
                <w:b/>
                <w:color w:val="FFFFFF"/>
                <w:sz w:val="17"/>
              </w:rPr>
              <w:t>Primary Experience</w:t>
            </w:r>
          </w:p>
        </w:tc>
      </w:tr>
      <w:tr>
        <w:tc>
          <w:tcPr>
            <w:tcW w:type="dxa" w:w="2448"/>
            <w:tcMar>
              <w:top w:w="100" w:type="dxa"/>
              <w:start w:w="120" w:type="dxa"/>
              <w:bottom w:w="100" w:type="dxa"/>
              <w:end w:w="120" w:type="dxa"/>
            </w:tcMar>
            <w:vAlign w:val="center"/>
          </w:tcPr>
          <w:p>
            <w:r>
              <w:rPr>
                <w:sz w:val="16"/>
              </w:rPr>
              <w:t>Administrator</w:t>
            </w:r>
          </w:p>
        </w:tc>
        <w:tc>
          <w:tcPr>
            <w:tcW w:type="dxa" w:w="7344"/>
            <w:tcMar>
              <w:top w:w="100" w:type="dxa"/>
              <w:start w:w="120" w:type="dxa"/>
              <w:bottom w:w="100" w:type="dxa"/>
              <w:end w:w="120" w:type="dxa"/>
            </w:tcMar>
            <w:vAlign w:val="center"/>
          </w:tcPr>
          <w:p>
            <w:r>
              <w:rPr>
                <w:sz w:val="16"/>
              </w:rPr>
              <w:t>Workspace, users, permissions and institution settings.</w:t>
            </w:r>
          </w:p>
        </w:tc>
      </w:tr>
      <w:tr>
        <w:tc>
          <w:tcPr>
            <w:tcW w:type="dxa" w:w="2448"/>
            <w:shd w:fill="F7F9FB"/>
            <w:tcMar>
              <w:top w:w="100" w:type="dxa"/>
              <w:start w:w="120" w:type="dxa"/>
              <w:bottom w:w="100" w:type="dxa"/>
              <w:end w:w="120" w:type="dxa"/>
            </w:tcMar>
            <w:vAlign w:val="center"/>
          </w:tcPr>
          <w:p>
            <w:r>
              <w:rPr>
                <w:sz w:val="16"/>
              </w:rPr>
              <w:t>Executive</w:t>
            </w:r>
          </w:p>
        </w:tc>
        <w:tc>
          <w:tcPr>
            <w:tcW w:type="dxa" w:w="7344"/>
            <w:shd w:fill="F7F9FB"/>
            <w:tcMar>
              <w:top w:w="100" w:type="dxa"/>
              <w:start w:w="120" w:type="dxa"/>
              <w:bottom w:w="100" w:type="dxa"/>
              <w:end w:w="120" w:type="dxa"/>
            </w:tcMar>
            <w:vAlign w:val="center"/>
          </w:tcPr>
          <w:p>
            <w:r>
              <w:rPr>
                <w:sz w:val="16"/>
              </w:rPr>
              <w:t>Marketplace, capital and strategic opportunity intelligence.</w:t>
            </w:r>
          </w:p>
        </w:tc>
      </w:tr>
      <w:tr>
        <w:tc>
          <w:tcPr>
            <w:tcW w:type="dxa" w:w="2448"/>
            <w:tcMar>
              <w:top w:w="100" w:type="dxa"/>
              <w:start w:w="120" w:type="dxa"/>
              <w:bottom w:w="100" w:type="dxa"/>
              <w:end w:w="120" w:type="dxa"/>
            </w:tcMar>
            <w:vAlign w:val="center"/>
          </w:tcPr>
          <w:p>
            <w:r>
              <w:rPr>
                <w:sz w:val="16"/>
              </w:rPr>
              <w:t>Head of Business/Product</w:t>
            </w:r>
          </w:p>
        </w:tc>
        <w:tc>
          <w:tcPr>
            <w:tcW w:type="dxa" w:w="7344"/>
            <w:tcMar>
              <w:top w:w="100" w:type="dxa"/>
              <w:start w:w="120" w:type="dxa"/>
              <w:bottom w:w="100" w:type="dxa"/>
              <w:end w:w="120" w:type="dxa"/>
            </w:tcMar>
            <w:vAlign w:val="center"/>
          </w:tcPr>
          <w:p>
            <w:r>
              <w:rPr>
                <w:sz w:val="16"/>
              </w:rPr>
              <w:t>Products, mandates, campaigns and conversion intelligence.</w:t>
            </w:r>
          </w:p>
        </w:tc>
      </w:tr>
      <w:tr>
        <w:tc>
          <w:tcPr>
            <w:tcW w:type="dxa" w:w="2448"/>
            <w:shd w:fill="F7F9FB"/>
            <w:tcMar>
              <w:top w:w="100" w:type="dxa"/>
              <w:start w:w="120" w:type="dxa"/>
              <w:bottom w:w="100" w:type="dxa"/>
              <w:end w:w="120" w:type="dxa"/>
            </w:tcMar>
            <w:vAlign w:val="center"/>
          </w:tcPr>
          <w:p>
            <w:r>
              <w:rPr>
                <w:sz w:val="16"/>
              </w:rPr>
              <w:t>Credit/Risk Leader</w:t>
            </w:r>
          </w:p>
        </w:tc>
        <w:tc>
          <w:tcPr>
            <w:tcW w:type="dxa" w:w="7344"/>
            <w:shd w:fill="F7F9FB"/>
            <w:tcMar>
              <w:top w:w="100" w:type="dxa"/>
              <w:start w:w="120" w:type="dxa"/>
              <w:bottom w:w="100" w:type="dxa"/>
              <w:end w:w="120" w:type="dxa"/>
            </w:tcMar>
            <w:vAlign w:val="center"/>
          </w:tcPr>
          <w:p>
            <w:r>
              <w:rPr>
                <w:sz w:val="16"/>
              </w:rPr>
              <w:t>Appetite criteria, patterns, reported outcomes and risk-related marketplace signals.</w:t>
            </w:r>
          </w:p>
        </w:tc>
      </w:tr>
      <w:tr>
        <w:tc>
          <w:tcPr>
            <w:tcW w:type="dxa" w:w="2448"/>
            <w:tcMar>
              <w:top w:w="100" w:type="dxa"/>
              <w:start w:w="120" w:type="dxa"/>
              <w:bottom w:w="100" w:type="dxa"/>
              <w:end w:w="120" w:type="dxa"/>
            </w:tcMar>
            <w:vAlign w:val="center"/>
          </w:tcPr>
          <w:p>
            <w:r>
              <w:rPr>
                <w:sz w:val="16"/>
              </w:rPr>
              <w:t>Team Manager</w:t>
            </w:r>
          </w:p>
        </w:tc>
        <w:tc>
          <w:tcPr>
            <w:tcW w:type="dxa" w:w="7344"/>
            <w:tcMar>
              <w:top w:w="100" w:type="dxa"/>
              <w:start w:w="120" w:type="dxa"/>
              <w:bottom w:w="100" w:type="dxa"/>
              <w:end w:w="120" w:type="dxa"/>
            </w:tcMar>
            <w:vAlign w:val="center"/>
          </w:tcPr>
          <w:p>
            <w:r>
              <w:rPr>
                <w:sz w:val="16"/>
              </w:rPr>
              <w:t>Assignment, contact performance, service targets and team workload.</w:t>
            </w:r>
          </w:p>
        </w:tc>
      </w:tr>
      <w:tr>
        <w:tc>
          <w:tcPr>
            <w:tcW w:type="dxa" w:w="2448"/>
            <w:shd w:fill="F7F9FB"/>
            <w:tcMar>
              <w:top w:w="100" w:type="dxa"/>
              <w:start w:w="120" w:type="dxa"/>
              <w:bottom w:w="100" w:type="dxa"/>
              <w:end w:w="120" w:type="dxa"/>
            </w:tcMar>
            <w:vAlign w:val="center"/>
          </w:tcPr>
          <w:p>
            <w:r>
              <w:rPr>
                <w:sz w:val="16"/>
              </w:rPr>
              <w:t>Relationship/Business Officer</w:t>
            </w:r>
          </w:p>
        </w:tc>
        <w:tc>
          <w:tcPr>
            <w:tcW w:type="dxa" w:w="7344"/>
            <w:shd w:fill="F7F9FB"/>
            <w:tcMar>
              <w:top w:w="100" w:type="dxa"/>
              <w:start w:w="120" w:type="dxa"/>
              <w:bottom w:w="100" w:type="dxa"/>
              <w:end w:w="120" w:type="dxa"/>
            </w:tcMar>
            <w:vAlign w:val="center"/>
          </w:tcPr>
          <w:p>
            <w:r>
              <w:rPr>
                <w:sz w:val="16"/>
              </w:rPr>
              <w:t>Assigned opportunities, follow-ups and lightweight status reporting.</w:t>
            </w:r>
          </w:p>
        </w:tc>
      </w:tr>
      <w:tr>
        <w:tc>
          <w:tcPr>
            <w:tcW w:type="dxa" w:w="2448"/>
            <w:tcMar>
              <w:top w:w="100" w:type="dxa"/>
              <w:start w:w="120" w:type="dxa"/>
              <w:bottom w:w="100" w:type="dxa"/>
              <w:end w:w="120" w:type="dxa"/>
            </w:tcMar>
            <w:vAlign w:val="center"/>
          </w:tcPr>
          <w:p>
            <w:r>
              <w:rPr>
                <w:sz w:val="16"/>
              </w:rPr>
              <w:t>Compliance</w:t>
            </w:r>
          </w:p>
        </w:tc>
        <w:tc>
          <w:tcPr>
            <w:tcW w:type="dxa" w:w="7344"/>
            <w:tcMar>
              <w:top w:w="100" w:type="dxa"/>
              <w:start w:w="120" w:type="dxa"/>
              <w:bottom w:w="100" w:type="dxa"/>
              <w:end w:w="120" w:type="dxa"/>
            </w:tcMar>
            <w:vAlign w:val="center"/>
          </w:tcPr>
          <w:p>
            <w:r>
              <w:rPr>
                <w:sz w:val="16"/>
              </w:rPr>
              <w:t>Consent, access and audit visibility relevant to role.</w:t>
            </w:r>
          </w:p>
        </w:tc>
      </w:tr>
    </w:tbl>
    <w:p>
      <w:pPr>
        <w:spacing w:after="40"/>
      </w:pPr>
    </w:p>
    <w:p>
      <w:pPr>
        <w:pStyle w:val="Heading1"/>
      </w:pPr>
      <w:r>
        <w:t>11. AI Institutional Onboarding Agent</w:t>
      </w:r>
    </w:p>
    <w:p>
      <w:r>
        <w:t>WEZA should replace lengthy configuration forms with a guided onboarding agent. Institutions may manually configure products or provide approved product documents for extraction into proposed structured criteria.</w:t>
      </w:r>
    </w:p>
    <w:p>
      <w:r>
        <w:t>The agent can identify candidate product names, ticket ranges, tenors, segments, eligibility rules and documentation requirements. Extracted rules remain drafts until reviewed and approved by an authorised institutional user.</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AI extracts and proposes. The institution approves and activates.</w:t>
            </w:r>
          </w:p>
        </w:tc>
      </w:tr>
    </w:tbl>
    <w:p>
      <w:pPr>
        <w:spacing w:after="20"/>
      </w:pPr>
    </w:p>
    <w:p>
      <w:pPr>
        <w:pStyle w:val="Heading1"/>
      </w:pPr>
      <w:r>
        <w:t>12. Product Studio</w:t>
      </w:r>
    </w:p>
    <w:p>
      <w:r>
        <w:t>Product Studio defines what the institution can offer through WEZA.</w:t>
      </w:r>
    </w:p>
    <w:tbl>
      <w:tblPr>
        <w:tblStyle w:val="TableGrid"/>
        <w:tblW w:type="auto" w:w="0"/>
        <w:jc w:val="center"/>
        <w:tblLook w:firstColumn="1" w:firstRow="1" w:lastColumn="0" w:lastRow="0" w:noHBand="0" w:noVBand="1" w:val="04A0"/>
      </w:tblPr>
      <w:tblGrid>
        <w:gridCol w:w="5040"/>
        <w:gridCol w:w="5040"/>
      </w:tblGrid>
      <w:tr>
        <w:tc>
          <w:tcPr>
            <w:tcW w:type="dxa" w:w="2448"/>
            <w:shd w:fill="0B1F3A"/>
            <w:tcMar>
              <w:top w:w="100" w:type="dxa"/>
              <w:start w:w="120" w:type="dxa"/>
              <w:bottom w:w="100" w:type="dxa"/>
              <w:end w:w="120" w:type="dxa"/>
            </w:tcMar>
          </w:tcPr>
          <w:p>
            <w:r>
              <w:rPr>
                <w:b/>
                <w:color w:val="FFFFFF"/>
                <w:sz w:val="17"/>
              </w:rPr>
              <w:t>Configuration</w:t>
            </w:r>
          </w:p>
        </w:tc>
        <w:tc>
          <w:tcPr>
            <w:tcW w:type="dxa" w:w="7344"/>
            <w:shd w:fill="0B1F3A"/>
            <w:tcMar>
              <w:top w:w="100" w:type="dxa"/>
              <w:start w:w="120" w:type="dxa"/>
              <w:bottom w:w="100" w:type="dxa"/>
              <w:end w:w="120" w:type="dxa"/>
            </w:tcMar>
          </w:tcPr>
          <w:p>
            <w:r>
              <w:rPr>
                <w:b/>
                <w:color w:val="FFFFFF"/>
                <w:sz w:val="17"/>
              </w:rPr>
              <w:t>Illustrative Fields</w:t>
            </w:r>
          </w:p>
        </w:tc>
      </w:tr>
      <w:tr>
        <w:tc>
          <w:tcPr>
            <w:tcW w:type="dxa" w:w="2448"/>
            <w:tcMar>
              <w:top w:w="100" w:type="dxa"/>
              <w:start w:w="120" w:type="dxa"/>
              <w:bottom w:w="100" w:type="dxa"/>
              <w:end w:w="120" w:type="dxa"/>
            </w:tcMar>
            <w:vAlign w:val="center"/>
          </w:tcPr>
          <w:p>
            <w:r>
              <w:rPr>
                <w:sz w:val="16"/>
              </w:rPr>
              <w:t>Product Identity</w:t>
            </w:r>
          </w:p>
        </w:tc>
        <w:tc>
          <w:tcPr>
            <w:tcW w:type="dxa" w:w="7344"/>
            <w:tcMar>
              <w:top w:w="100" w:type="dxa"/>
              <w:start w:w="120" w:type="dxa"/>
              <w:bottom w:w="100" w:type="dxa"/>
              <w:end w:w="120" w:type="dxa"/>
            </w:tcMar>
            <w:vAlign w:val="center"/>
          </w:tcPr>
          <w:p>
            <w:r>
              <w:rPr>
                <w:sz w:val="16"/>
              </w:rPr>
              <w:t>Name, product family, description, status.</w:t>
            </w:r>
          </w:p>
        </w:tc>
      </w:tr>
      <w:tr>
        <w:tc>
          <w:tcPr>
            <w:tcW w:type="dxa" w:w="2448"/>
            <w:shd w:fill="F7F9FB"/>
            <w:tcMar>
              <w:top w:w="100" w:type="dxa"/>
              <w:start w:w="120" w:type="dxa"/>
              <w:bottom w:w="100" w:type="dxa"/>
              <w:end w:w="120" w:type="dxa"/>
            </w:tcMar>
            <w:vAlign w:val="center"/>
          </w:tcPr>
          <w:p>
            <w:r>
              <w:rPr>
                <w:sz w:val="16"/>
              </w:rPr>
              <w:t>Financial Terms</w:t>
            </w:r>
          </w:p>
        </w:tc>
        <w:tc>
          <w:tcPr>
            <w:tcW w:type="dxa" w:w="7344"/>
            <w:shd w:fill="F7F9FB"/>
            <w:tcMar>
              <w:top w:w="100" w:type="dxa"/>
              <w:start w:w="120" w:type="dxa"/>
              <w:bottom w:w="100" w:type="dxa"/>
              <w:end w:w="120" w:type="dxa"/>
            </w:tcMar>
            <w:vAlign w:val="center"/>
          </w:tcPr>
          <w:p>
            <w:r>
              <w:rPr>
                <w:sz w:val="16"/>
              </w:rPr>
              <w:t>Minimum/maximum amount, tenor, indicative pricing information where approved for display.</w:t>
            </w:r>
          </w:p>
        </w:tc>
      </w:tr>
      <w:tr>
        <w:tc>
          <w:tcPr>
            <w:tcW w:type="dxa" w:w="2448"/>
            <w:tcMar>
              <w:top w:w="100" w:type="dxa"/>
              <w:start w:w="120" w:type="dxa"/>
              <w:bottom w:w="100" w:type="dxa"/>
              <w:end w:w="120" w:type="dxa"/>
            </w:tcMar>
            <w:vAlign w:val="center"/>
          </w:tcPr>
          <w:p>
            <w:r>
              <w:rPr>
                <w:sz w:val="16"/>
              </w:rPr>
              <w:t>Customer Eligibility</w:t>
            </w:r>
          </w:p>
        </w:tc>
        <w:tc>
          <w:tcPr>
            <w:tcW w:type="dxa" w:w="7344"/>
            <w:tcMar>
              <w:top w:w="100" w:type="dxa"/>
              <w:start w:w="120" w:type="dxa"/>
              <w:bottom w:w="100" w:type="dxa"/>
              <w:end w:w="120" w:type="dxa"/>
            </w:tcMar>
            <w:vAlign w:val="center"/>
          </w:tcPr>
          <w:p>
            <w:r>
              <w:rPr>
                <w:sz w:val="16"/>
              </w:rPr>
              <w:t>Customer type, employment/business conditions, business age, income/turnover thresholds.</w:t>
            </w:r>
          </w:p>
        </w:tc>
      </w:tr>
      <w:tr>
        <w:tc>
          <w:tcPr>
            <w:tcW w:type="dxa" w:w="2448"/>
            <w:shd w:fill="F7F9FB"/>
            <w:tcMar>
              <w:top w:w="100" w:type="dxa"/>
              <w:start w:w="120" w:type="dxa"/>
              <w:bottom w:w="100" w:type="dxa"/>
              <w:end w:w="120" w:type="dxa"/>
            </w:tcMar>
            <w:vAlign w:val="center"/>
          </w:tcPr>
          <w:p>
            <w:r>
              <w:rPr>
                <w:sz w:val="16"/>
              </w:rPr>
              <w:t>Market Rules</w:t>
            </w:r>
          </w:p>
        </w:tc>
        <w:tc>
          <w:tcPr>
            <w:tcW w:type="dxa" w:w="7344"/>
            <w:shd w:fill="F7F9FB"/>
            <w:tcMar>
              <w:top w:w="100" w:type="dxa"/>
              <w:start w:w="120" w:type="dxa"/>
              <w:bottom w:w="100" w:type="dxa"/>
              <w:end w:w="120" w:type="dxa"/>
            </w:tcMar>
            <w:vAlign w:val="center"/>
          </w:tcPr>
          <w:p>
            <w:r>
              <w:rPr>
                <w:sz w:val="16"/>
              </w:rPr>
              <w:t>Sector, geography and other approved eligibility criteria.</w:t>
            </w:r>
          </w:p>
        </w:tc>
      </w:tr>
      <w:tr>
        <w:tc>
          <w:tcPr>
            <w:tcW w:type="dxa" w:w="2448"/>
            <w:tcMar>
              <w:top w:w="100" w:type="dxa"/>
              <w:start w:w="120" w:type="dxa"/>
              <w:bottom w:w="100" w:type="dxa"/>
              <w:end w:w="120" w:type="dxa"/>
            </w:tcMar>
            <w:vAlign w:val="center"/>
          </w:tcPr>
          <w:p>
            <w:r>
              <w:rPr>
                <w:sz w:val="16"/>
              </w:rPr>
              <w:t>Requirements</w:t>
            </w:r>
          </w:p>
        </w:tc>
        <w:tc>
          <w:tcPr>
            <w:tcW w:type="dxa" w:w="7344"/>
            <w:tcMar>
              <w:top w:w="100" w:type="dxa"/>
              <w:start w:w="120" w:type="dxa"/>
              <w:bottom w:w="100" w:type="dxa"/>
              <w:end w:w="120" w:type="dxa"/>
            </w:tcMar>
            <w:vAlign w:val="center"/>
          </w:tcPr>
          <w:p>
            <w:r>
              <w:rPr>
                <w:sz w:val="16"/>
              </w:rPr>
              <w:t>Documents and information required for initial opportunity qualification.</w:t>
            </w:r>
          </w:p>
        </w:tc>
      </w:tr>
    </w:tbl>
    <w:p>
      <w:pPr>
        <w:spacing w:after="40"/>
      </w:pPr>
    </w:p>
    <w:p>
      <w:pPr>
        <w:pStyle w:val="Heading1"/>
      </w:pPr>
      <w:r>
        <w:t>13. Appetite Studio and Capital Mandates</w:t>
      </w:r>
    </w:p>
    <w:p>
      <w:r>
        <w:t>Appetite is distinct from product configuration. A product describes what the institution can offer; appetite describes what business it wants WEZA to find now.</w:t>
      </w:r>
    </w:p>
    <w:p>
      <w:r>
        <w:t>Example: 'For Q4, find SMEs in manufacturing, agriculture and trade seeking UGX 10M-100M, operating for at least two years, with a target of UGX 30B in qualified demand.'</w:t>
      </w:r>
    </w:p>
    <w:p>
      <w:pPr>
        <w:pStyle w:val="Heading2"/>
      </w:pPr>
      <w:r>
        <w:t>13.1 Appetite Controls</w:t>
      </w:r>
    </w:p>
    <w:p>
      <w:pPr>
        <w:pStyle w:val="ListBullet"/>
        <w:spacing w:after="40"/>
      </w:pPr>
      <w:r>
        <w:t>Customer segments and product families.</w:t>
      </w:r>
    </w:p>
    <w:p>
      <w:pPr>
        <w:pStyle w:val="ListBullet"/>
        <w:spacing w:after="40"/>
      </w:pPr>
      <w:r>
        <w:t>Ticket size and relevant qualification thresholds.</w:t>
      </w:r>
    </w:p>
    <w:p>
      <w:pPr>
        <w:pStyle w:val="ListBullet"/>
        <w:spacing w:after="40"/>
      </w:pPr>
      <w:r>
        <w:t>Target sectors and geographies.</w:t>
      </w:r>
    </w:p>
    <w:p>
      <w:pPr>
        <w:pStyle w:val="ListBullet"/>
        <w:spacing w:after="40"/>
      </w:pPr>
      <w:r>
        <w:t>Business/employment characteristics.</w:t>
      </w:r>
    </w:p>
    <w:p>
      <w:pPr>
        <w:pStyle w:val="ListBullet"/>
        <w:spacing w:after="40"/>
      </w:pPr>
      <w:r>
        <w:t>Lead volume targets or requested-financing targets.</w:t>
      </w:r>
    </w:p>
    <w:p>
      <w:pPr>
        <w:pStyle w:val="ListBullet"/>
        <w:spacing w:after="40"/>
      </w:pPr>
      <w:r>
        <w:t>Active dates and pause/resume controls.</w:t>
      </w:r>
    </w:p>
    <w:p>
      <w:pPr>
        <w:pStyle w:val="ListBullet"/>
        <w:spacing w:after="40"/>
      </w:pPr>
      <w:r>
        <w:t>Minimum match thresholds.</w:t>
      </w:r>
    </w:p>
    <w:p>
      <w:pPr>
        <w:pStyle w:val="ListBullet"/>
        <w:spacing w:after="40"/>
      </w:pPr>
      <w:r>
        <w:t>Team routing and contact-service targets.</w:t>
      </w:r>
    </w:p>
    <w:p>
      <w:pPr>
        <w:pStyle w:val="Heading2"/>
      </w:pPr>
      <w:r>
        <w:t>13.2 Appetite Simulator</w:t>
      </w:r>
    </w:p>
    <w:p>
      <w:r>
        <w:t>Before activation, WEZA should simulate the mandate against available WEZA marketplace demand and show potential matching customers, requested financing, match bands and major near-match populations. Simulation is indicative, not a guarantee of future leads.</w:t>
      </w:r>
    </w:p>
    <w:p>
      <w:pPr>
        <w:pStyle w:val="Heading1"/>
      </w:pPr>
      <w:r>
        <w:t>14. Institution Go-Live</w:t>
      </w:r>
    </w:p>
    <w:p>
      <w:r>
        <w:t>The institution cannot receive customer information until readiness conditions are complete.</w:t>
      </w:r>
    </w:p>
    <w:tbl>
      <w:tblPr>
        <w:tblStyle w:val="TableGrid"/>
        <w:tblW w:type="auto" w:w="0"/>
        <w:jc w:val="center"/>
        <w:tblLook w:firstColumn="1" w:firstRow="1" w:lastColumn="0" w:lastRow="0" w:noHBand="0" w:noVBand="1" w:val="04A0"/>
      </w:tblPr>
      <w:tblGrid>
        <w:gridCol w:w="5040"/>
        <w:gridCol w:w="5040"/>
      </w:tblGrid>
      <w:tr>
        <w:tc>
          <w:tcPr>
            <w:tcW w:type="dxa" w:w="4464"/>
            <w:shd w:fill="0B1F3A"/>
            <w:tcMar>
              <w:top w:w="100" w:type="dxa"/>
              <w:start w:w="120" w:type="dxa"/>
              <w:bottom w:w="100" w:type="dxa"/>
              <w:end w:w="120" w:type="dxa"/>
            </w:tcMar>
          </w:tcPr>
          <w:p>
            <w:r>
              <w:rPr>
                <w:b/>
                <w:color w:val="FFFFFF"/>
                <w:sz w:val="17"/>
              </w:rPr>
              <w:t>Readiness Check</w:t>
            </w:r>
          </w:p>
        </w:tc>
        <w:tc>
          <w:tcPr>
            <w:tcW w:type="dxa" w:w="2160"/>
            <w:shd w:fill="0B1F3A"/>
            <w:tcMar>
              <w:top w:w="100" w:type="dxa"/>
              <w:start w:w="120" w:type="dxa"/>
              <w:bottom w:w="100" w:type="dxa"/>
              <w:end w:w="120" w:type="dxa"/>
            </w:tcMar>
          </w:tcPr>
          <w:p>
            <w:r>
              <w:rPr>
                <w:b/>
                <w:color w:val="FFFFFF"/>
                <w:sz w:val="17"/>
              </w:rPr>
              <w:t>Required</w:t>
            </w:r>
          </w:p>
        </w:tc>
      </w:tr>
      <w:tr>
        <w:tc>
          <w:tcPr>
            <w:tcW w:type="dxa" w:w="4464"/>
            <w:tcMar>
              <w:top w:w="100" w:type="dxa"/>
              <w:start w:w="120" w:type="dxa"/>
              <w:bottom w:w="100" w:type="dxa"/>
              <w:end w:w="120" w:type="dxa"/>
            </w:tcMar>
            <w:vAlign w:val="center"/>
          </w:tcPr>
          <w:p>
            <w:r>
              <w:rPr>
                <w:sz w:val="16"/>
              </w:rPr>
              <w:t>Institution verified</w:t>
            </w:r>
          </w:p>
        </w:tc>
        <w:tc>
          <w:tcPr>
            <w:tcW w:type="dxa" w:w="2160"/>
            <w:tcMar>
              <w:top w:w="100" w:type="dxa"/>
              <w:start w:w="120" w:type="dxa"/>
              <w:bottom w:w="100" w:type="dxa"/>
              <w:end w:w="120" w:type="dxa"/>
            </w:tcMar>
            <w:vAlign w:val="center"/>
          </w:tcPr>
          <w:p>
            <w:r>
              <w:rPr>
                <w:sz w:val="16"/>
              </w:rPr>
              <w:t>Yes</w:t>
            </w:r>
          </w:p>
        </w:tc>
      </w:tr>
      <w:tr>
        <w:tc>
          <w:tcPr>
            <w:tcW w:type="dxa" w:w="4464"/>
            <w:shd w:fill="F7F9FB"/>
            <w:tcMar>
              <w:top w:w="100" w:type="dxa"/>
              <w:start w:w="120" w:type="dxa"/>
              <w:bottom w:w="100" w:type="dxa"/>
              <w:end w:w="120" w:type="dxa"/>
            </w:tcMar>
            <w:vAlign w:val="center"/>
          </w:tcPr>
          <w:p>
            <w:r>
              <w:rPr>
                <w:sz w:val="16"/>
              </w:rPr>
              <w:t>Authorised users and roles configured</w:t>
            </w:r>
          </w:p>
        </w:tc>
        <w:tc>
          <w:tcPr>
            <w:tcW w:type="dxa" w:w="2160"/>
            <w:shd w:fill="F7F9FB"/>
            <w:tcMar>
              <w:top w:w="100" w:type="dxa"/>
              <w:start w:w="120" w:type="dxa"/>
              <w:bottom w:w="100" w:type="dxa"/>
              <w:end w:w="120" w:type="dxa"/>
            </w:tcMar>
            <w:vAlign w:val="center"/>
          </w:tcPr>
          <w:p>
            <w:r>
              <w:rPr>
                <w:sz w:val="16"/>
              </w:rPr>
              <w:t>Yes</w:t>
            </w:r>
          </w:p>
        </w:tc>
      </w:tr>
      <w:tr>
        <w:tc>
          <w:tcPr>
            <w:tcW w:type="dxa" w:w="4464"/>
            <w:tcMar>
              <w:top w:w="100" w:type="dxa"/>
              <w:start w:w="120" w:type="dxa"/>
              <w:bottom w:w="100" w:type="dxa"/>
              <w:end w:w="120" w:type="dxa"/>
            </w:tcMar>
            <w:vAlign w:val="center"/>
          </w:tcPr>
          <w:p>
            <w:r>
              <w:rPr>
                <w:sz w:val="16"/>
              </w:rPr>
              <w:t>At least one approved product</w:t>
            </w:r>
          </w:p>
        </w:tc>
        <w:tc>
          <w:tcPr>
            <w:tcW w:type="dxa" w:w="2160"/>
            <w:tcMar>
              <w:top w:w="100" w:type="dxa"/>
              <w:start w:w="120" w:type="dxa"/>
              <w:bottom w:w="100" w:type="dxa"/>
              <w:end w:w="120" w:type="dxa"/>
            </w:tcMar>
            <w:vAlign w:val="center"/>
          </w:tcPr>
          <w:p>
            <w:r>
              <w:rPr>
                <w:sz w:val="16"/>
              </w:rPr>
              <w:t>Yes</w:t>
            </w:r>
          </w:p>
        </w:tc>
      </w:tr>
      <w:tr>
        <w:tc>
          <w:tcPr>
            <w:tcW w:type="dxa" w:w="4464"/>
            <w:shd w:fill="F7F9FB"/>
            <w:tcMar>
              <w:top w:w="100" w:type="dxa"/>
              <w:start w:w="120" w:type="dxa"/>
              <w:bottom w:w="100" w:type="dxa"/>
              <w:end w:w="120" w:type="dxa"/>
            </w:tcMar>
            <w:vAlign w:val="center"/>
          </w:tcPr>
          <w:p>
            <w:r>
              <w:rPr>
                <w:sz w:val="16"/>
              </w:rPr>
              <w:t>At least one active appetite/mandate</w:t>
            </w:r>
          </w:p>
        </w:tc>
        <w:tc>
          <w:tcPr>
            <w:tcW w:type="dxa" w:w="2160"/>
            <w:shd w:fill="F7F9FB"/>
            <w:tcMar>
              <w:top w:w="100" w:type="dxa"/>
              <w:start w:w="120" w:type="dxa"/>
              <w:bottom w:w="100" w:type="dxa"/>
              <w:end w:w="120" w:type="dxa"/>
            </w:tcMar>
            <w:vAlign w:val="center"/>
          </w:tcPr>
          <w:p>
            <w:r>
              <w:rPr>
                <w:sz w:val="16"/>
              </w:rPr>
              <w:t>Yes</w:t>
            </w:r>
          </w:p>
        </w:tc>
      </w:tr>
      <w:tr>
        <w:tc>
          <w:tcPr>
            <w:tcW w:type="dxa" w:w="4464"/>
            <w:tcMar>
              <w:top w:w="100" w:type="dxa"/>
              <w:start w:w="120" w:type="dxa"/>
              <w:bottom w:w="100" w:type="dxa"/>
              <w:end w:w="120" w:type="dxa"/>
            </w:tcMar>
            <w:vAlign w:val="center"/>
          </w:tcPr>
          <w:p>
            <w:r>
              <w:rPr>
                <w:sz w:val="16"/>
              </w:rPr>
              <w:t>Opportunity routing configured</w:t>
            </w:r>
          </w:p>
        </w:tc>
        <w:tc>
          <w:tcPr>
            <w:tcW w:type="dxa" w:w="2160"/>
            <w:tcMar>
              <w:top w:w="100" w:type="dxa"/>
              <w:start w:w="120" w:type="dxa"/>
              <w:bottom w:w="100" w:type="dxa"/>
              <w:end w:w="120" w:type="dxa"/>
            </w:tcMar>
            <w:vAlign w:val="center"/>
          </w:tcPr>
          <w:p>
            <w:r>
              <w:rPr>
                <w:sz w:val="16"/>
              </w:rPr>
              <w:t>Yes</w:t>
            </w:r>
          </w:p>
        </w:tc>
      </w:tr>
      <w:tr>
        <w:tc>
          <w:tcPr>
            <w:tcW w:type="dxa" w:w="4464"/>
            <w:shd w:fill="F7F9FB"/>
            <w:tcMar>
              <w:top w:w="100" w:type="dxa"/>
              <w:start w:w="120" w:type="dxa"/>
              <w:bottom w:w="100" w:type="dxa"/>
              <w:end w:w="120" w:type="dxa"/>
            </w:tcMar>
            <w:vAlign w:val="center"/>
          </w:tcPr>
          <w:p>
            <w:r>
              <w:rPr>
                <w:sz w:val="16"/>
              </w:rPr>
              <w:t>Notification preferences configured</w:t>
            </w:r>
          </w:p>
        </w:tc>
        <w:tc>
          <w:tcPr>
            <w:tcW w:type="dxa" w:w="2160"/>
            <w:shd w:fill="F7F9FB"/>
            <w:tcMar>
              <w:top w:w="100" w:type="dxa"/>
              <w:start w:w="120" w:type="dxa"/>
              <w:bottom w:w="100" w:type="dxa"/>
              <w:end w:w="120" w:type="dxa"/>
            </w:tcMar>
            <w:vAlign w:val="center"/>
          </w:tcPr>
          <w:p>
            <w:r>
              <w:rPr>
                <w:sz w:val="16"/>
              </w:rPr>
              <w:t>Yes</w:t>
            </w:r>
          </w:p>
        </w:tc>
      </w:tr>
      <w:tr>
        <w:tc>
          <w:tcPr>
            <w:tcW w:type="dxa" w:w="4464"/>
            <w:tcMar>
              <w:top w:w="100" w:type="dxa"/>
              <w:start w:w="120" w:type="dxa"/>
              <w:bottom w:w="100" w:type="dxa"/>
              <w:end w:w="120" w:type="dxa"/>
            </w:tcMar>
            <w:vAlign w:val="center"/>
          </w:tcPr>
          <w:p>
            <w:r>
              <w:rPr>
                <w:sz w:val="16"/>
              </w:rPr>
              <w:t>Marketplace data-sharing terms accepted</w:t>
            </w:r>
          </w:p>
        </w:tc>
        <w:tc>
          <w:tcPr>
            <w:tcW w:type="dxa" w:w="2160"/>
            <w:tcMar>
              <w:top w:w="100" w:type="dxa"/>
              <w:start w:w="120" w:type="dxa"/>
              <w:bottom w:w="100" w:type="dxa"/>
              <w:end w:w="120" w:type="dxa"/>
            </w:tcMar>
            <w:vAlign w:val="center"/>
          </w:tcPr>
          <w:p>
            <w:r>
              <w:rPr>
                <w:sz w:val="16"/>
              </w:rPr>
              <w:t>Yes</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Activation action: ACTIVATE ON WEZA.</w:t>
            </w:r>
          </w:p>
        </w:tc>
      </w:tr>
    </w:tbl>
    <w:p>
      <w:pPr>
        <w:spacing w:after="20"/>
      </w:pPr>
    </w:p>
    <w:p>
      <w:pPr>
        <w:pStyle w:val="Heading1"/>
      </w:pPr>
      <w:r>
        <w:t>15. WEZA Institutional Command Centre</w:t>
      </w:r>
    </w:p>
    <w:p>
      <w:r>
        <w:t>The Command Centre is the primary enterprise product. It should brief users rather than force them to hunt through dashboards.</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Example: 74 new opportunities matched your active mandates overnight. UGX 1.84B requested financing. 19 exceed a 90% match. 7 existing customers require action today.</w:t>
            </w:r>
          </w:p>
        </w:tc>
      </w:tr>
    </w:tbl>
    <w:p>
      <w:pPr>
        <w:spacing w:after="20"/>
      </w:pPr>
    </w:p>
    <w:p>
      <w:pPr>
        <w:pStyle w:val="Heading2"/>
      </w:pPr>
      <w:r>
        <w:t>15.1 Headline Metrics</w:t>
      </w:r>
    </w:p>
    <w:p>
      <w:pPr>
        <w:pStyle w:val="ListBullet"/>
        <w:spacing w:after="40"/>
      </w:pPr>
      <w:r>
        <w:t>New qualified opportunities.</w:t>
      </w:r>
    </w:p>
    <w:p>
      <w:pPr>
        <w:pStyle w:val="ListBullet"/>
        <w:spacing w:after="40"/>
      </w:pPr>
      <w:r>
        <w:t>Total requested financing routed.</w:t>
      </w:r>
    </w:p>
    <w:p>
      <w:pPr>
        <w:pStyle w:val="ListBullet"/>
        <w:spacing w:after="40"/>
      </w:pPr>
      <w:r>
        <w:t>High-match opportunities.</w:t>
      </w:r>
    </w:p>
    <w:p>
      <w:pPr>
        <w:pStyle w:val="ListBullet"/>
        <w:spacing w:after="40"/>
      </w:pPr>
      <w:r>
        <w:t>Customers contacted.</w:t>
      </w:r>
    </w:p>
    <w:p>
      <w:pPr>
        <w:pStyle w:val="ListBullet"/>
        <w:spacing w:after="40"/>
      </w:pPr>
      <w:r>
        <w:t>Customers progressing.</w:t>
      </w:r>
    </w:p>
    <w:p>
      <w:pPr>
        <w:pStyle w:val="ListBullet"/>
        <w:spacing w:after="40"/>
      </w:pPr>
      <w:r>
        <w:t>Institution-reported approvals.</w:t>
      </w:r>
    </w:p>
    <w:p>
      <w:pPr>
        <w:pStyle w:val="ListBullet"/>
        <w:spacing w:after="40"/>
      </w:pPr>
      <w:r>
        <w:t>Institution-reported disbursements.</w:t>
      </w:r>
    </w:p>
    <w:p>
      <w:pPr>
        <w:pStyle w:val="ListBullet"/>
        <w:spacing w:after="40"/>
      </w:pPr>
      <w:r>
        <w:t>Average response/contact time.</w:t>
      </w:r>
    </w:p>
    <w:p>
      <w:pPr>
        <w:pStyle w:val="ListBullet"/>
        <w:spacing w:after="40"/>
      </w:pPr>
      <w:r>
        <w:t>Opportunity conversion by stage.</w:t>
      </w:r>
    </w:p>
    <w:p>
      <w:pPr>
        <w:pStyle w:val="ListBullet"/>
        <w:spacing w:after="40"/>
      </w:pPr>
      <w:r>
        <w:t>Demand by product, sector and geography.</w:t>
      </w:r>
    </w:p>
    <w:p>
      <w:pPr>
        <w:pStyle w:val="Heading1"/>
      </w:pPr>
      <w:r>
        <w:t>16. Intelligent Opportunity Feed</w:t>
      </w:r>
    </w:p>
    <w:p>
      <w:r>
        <w:t>The Opportunity Feed should be the institution's main working surface. It is not a generic CRM list.</w:t>
      </w:r>
    </w:p>
    <w:tbl>
      <w:tblPr>
        <w:tblStyle w:val="TableGrid"/>
        <w:tblW w:type="auto" w:w="0"/>
        <w:jc w:val="center"/>
        <w:tblLook w:firstColumn="1" w:firstRow="1" w:lastColumn="0" w:lastRow="0" w:noHBand="0" w:noVBand="1" w:val="04A0"/>
      </w:tblPr>
      <w:tblGrid>
        <w:gridCol w:w="5040"/>
        <w:gridCol w:w="5040"/>
      </w:tblGrid>
      <w:tr>
        <w:tc>
          <w:tcPr>
            <w:tcW w:type="dxa" w:w="2880"/>
            <w:shd w:fill="0B1F3A"/>
            <w:tcMar>
              <w:top w:w="100" w:type="dxa"/>
              <w:start w:w="120" w:type="dxa"/>
              <w:bottom w:w="100" w:type="dxa"/>
              <w:end w:w="120" w:type="dxa"/>
            </w:tcMar>
          </w:tcPr>
          <w:p>
            <w:r>
              <w:rPr>
                <w:b/>
                <w:color w:val="FFFFFF"/>
                <w:sz w:val="17"/>
              </w:rPr>
              <w:t>Field</w:t>
            </w:r>
          </w:p>
        </w:tc>
        <w:tc>
          <w:tcPr>
            <w:tcW w:type="dxa" w:w="6912"/>
            <w:shd w:fill="0B1F3A"/>
            <w:tcMar>
              <w:top w:w="100" w:type="dxa"/>
              <w:start w:w="120" w:type="dxa"/>
              <w:bottom w:w="100" w:type="dxa"/>
              <w:end w:w="120" w:type="dxa"/>
            </w:tcMar>
          </w:tcPr>
          <w:p>
            <w:r>
              <w:rPr>
                <w:b/>
                <w:color w:val="FFFFFF"/>
                <w:sz w:val="17"/>
              </w:rPr>
              <w:t>Example</w:t>
            </w:r>
          </w:p>
        </w:tc>
      </w:tr>
      <w:tr>
        <w:tc>
          <w:tcPr>
            <w:tcW w:type="dxa" w:w="2880"/>
            <w:tcMar>
              <w:top w:w="100" w:type="dxa"/>
              <w:start w:w="120" w:type="dxa"/>
              <w:bottom w:w="100" w:type="dxa"/>
              <w:end w:w="120" w:type="dxa"/>
            </w:tcMar>
            <w:vAlign w:val="center"/>
          </w:tcPr>
          <w:p>
            <w:r>
              <w:rPr>
                <w:sz w:val="16"/>
              </w:rPr>
              <w:t>Priority</w:t>
            </w:r>
          </w:p>
        </w:tc>
        <w:tc>
          <w:tcPr>
            <w:tcW w:type="dxa" w:w="6912"/>
            <w:tcMar>
              <w:top w:w="100" w:type="dxa"/>
              <w:start w:w="120" w:type="dxa"/>
              <w:bottom w:w="100" w:type="dxa"/>
              <w:end w:w="120" w:type="dxa"/>
            </w:tcMar>
            <w:vAlign w:val="center"/>
          </w:tcPr>
          <w:p>
            <w:r>
              <w:rPr>
                <w:sz w:val="16"/>
              </w:rPr>
              <w:t>High</w:t>
            </w:r>
          </w:p>
        </w:tc>
      </w:tr>
      <w:tr>
        <w:tc>
          <w:tcPr>
            <w:tcW w:type="dxa" w:w="2880"/>
            <w:shd w:fill="F7F9FB"/>
            <w:tcMar>
              <w:top w:w="100" w:type="dxa"/>
              <w:start w:w="120" w:type="dxa"/>
              <w:bottom w:w="100" w:type="dxa"/>
              <w:end w:w="120" w:type="dxa"/>
            </w:tcMar>
            <w:vAlign w:val="center"/>
          </w:tcPr>
          <w:p>
            <w:r>
              <w:rPr>
                <w:sz w:val="16"/>
              </w:rPr>
              <w:t>Match</w:t>
            </w:r>
          </w:p>
        </w:tc>
        <w:tc>
          <w:tcPr>
            <w:tcW w:type="dxa" w:w="6912"/>
            <w:shd w:fill="F7F9FB"/>
            <w:tcMar>
              <w:top w:w="100" w:type="dxa"/>
              <w:start w:w="120" w:type="dxa"/>
              <w:bottom w:w="100" w:type="dxa"/>
              <w:end w:w="120" w:type="dxa"/>
            </w:tcMar>
            <w:vAlign w:val="center"/>
          </w:tcPr>
          <w:p>
            <w:r>
              <w:rPr>
                <w:sz w:val="16"/>
              </w:rPr>
              <w:t>96%</w:t>
            </w:r>
          </w:p>
        </w:tc>
      </w:tr>
      <w:tr>
        <w:tc>
          <w:tcPr>
            <w:tcW w:type="dxa" w:w="2880"/>
            <w:tcMar>
              <w:top w:w="100" w:type="dxa"/>
              <w:start w:w="120" w:type="dxa"/>
              <w:bottom w:w="100" w:type="dxa"/>
              <w:end w:w="120" w:type="dxa"/>
            </w:tcMar>
            <w:vAlign w:val="center"/>
          </w:tcPr>
          <w:p>
            <w:r>
              <w:rPr>
                <w:sz w:val="16"/>
              </w:rPr>
              <w:t>Need</w:t>
            </w:r>
          </w:p>
        </w:tc>
        <w:tc>
          <w:tcPr>
            <w:tcW w:type="dxa" w:w="6912"/>
            <w:tcMar>
              <w:top w:w="100" w:type="dxa"/>
              <w:start w:w="120" w:type="dxa"/>
              <w:bottom w:w="100" w:type="dxa"/>
              <w:end w:w="120" w:type="dxa"/>
            </w:tcMar>
            <w:vAlign w:val="center"/>
          </w:tcPr>
          <w:p>
            <w:r>
              <w:rPr>
                <w:sz w:val="16"/>
              </w:rPr>
              <w:t>SME Working Capital</w:t>
            </w:r>
          </w:p>
        </w:tc>
      </w:tr>
      <w:tr>
        <w:tc>
          <w:tcPr>
            <w:tcW w:type="dxa" w:w="2880"/>
            <w:shd w:fill="F7F9FB"/>
            <w:tcMar>
              <w:top w:w="100" w:type="dxa"/>
              <w:start w:w="120" w:type="dxa"/>
              <w:bottom w:w="100" w:type="dxa"/>
              <w:end w:w="120" w:type="dxa"/>
            </w:tcMar>
            <w:vAlign w:val="center"/>
          </w:tcPr>
          <w:p>
            <w:r>
              <w:rPr>
                <w:sz w:val="16"/>
              </w:rPr>
              <w:t>Requested Amount</w:t>
            </w:r>
          </w:p>
        </w:tc>
        <w:tc>
          <w:tcPr>
            <w:tcW w:type="dxa" w:w="6912"/>
            <w:shd w:fill="F7F9FB"/>
            <w:tcMar>
              <w:top w:w="100" w:type="dxa"/>
              <w:start w:w="120" w:type="dxa"/>
              <w:bottom w:w="100" w:type="dxa"/>
              <w:end w:w="120" w:type="dxa"/>
            </w:tcMar>
            <w:vAlign w:val="center"/>
          </w:tcPr>
          <w:p>
            <w:r>
              <w:rPr>
                <w:sz w:val="16"/>
              </w:rPr>
              <w:t>UGX 75M</w:t>
            </w:r>
          </w:p>
        </w:tc>
      </w:tr>
      <w:tr>
        <w:tc>
          <w:tcPr>
            <w:tcW w:type="dxa" w:w="2880"/>
            <w:tcMar>
              <w:top w:w="100" w:type="dxa"/>
              <w:start w:w="120" w:type="dxa"/>
              <w:bottom w:w="100" w:type="dxa"/>
              <w:end w:w="120" w:type="dxa"/>
            </w:tcMar>
            <w:vAlign w:val="center"/>
          </w:tcPr>
          <w:p>
            <w:r>
              <w:rPr>
                <w:sz w:val="16"/>
              </w:rPr>
              <w:t>Sector</w:t>
            </w:r>
          </w:p>
        </w:tc>
        <w:tc>
          <w:tcPr>
            <w:tcW w:type="dxa" w:w="6912"/>
            <w:tcMar>
              <w:top w:w="100" w:type="dxa"/>
              <w:start w:w="120" w:type="dxa"/>
              <w:bottom w:w="100" w:type="dxa"/>
              <w:end w:w="120" w:type="dxa"/>
            </w:tcMar>
            <w:vAlign w:val="center"/>
          </w:tcPr>
          <w:p>
            <w:r>
              <w:rPr>
                <w:sz w:val="16"/>
              </w:rPr>
              <w:t>Manufacturing</w:t>
            </w:r>
          </w:p>
        </w:tc>
      </w:tr>
      <w:tr>
        <w:tc>
          <w:tcPr>
            <w:tcW w:type="dxa" w:w="2880"/>
            <w:shd w:fill="F7F9FB"/>
            <w:tcMar>
              <w:top w:w="100" w:type="dxa"/>
              <w:start w:w="120" w:type="dxa"/>
              <w:bottom w:w="100" w:type="dxa"/>
              <w:end w:w="120" w:type="dxa"/>
            </w:tcMar>
            <w:vAlign w:val="center"/>
          </w:tcPr>
          <w:p>
            <w:r>
              <w:rPr>
                <w:sz w:val="16"/>
              </w:rPr>
              <w:t>Location</w:t>
            </w:r>
          </w:p>
        </w:tc>
        <w:tc>
          <w:tcPr>
            <w:tcW w:type="dxa" w:w="6912"/>
            <w:shd w:fill="F7F9FB"/>
            <w:tcMar>
              <w:top w:w="100" w:type="dxa"/>
              <w:start w:w="120" w:type="dxa"/>
              <w:bottom w:w="100" w:type="dxa"/>
              <w:end w:w="120" w:type="dxa"/>
            </w:tcMar>
            <w:vAlign w:val="center"/>
          </w:tcPr>
          <w:p>
            <w:r>
              <w:rPr>
                <w:sz w:val="16"/>
              </w:rPr>
              <w:t>Kampala</w:t>
            </w:r>
          </w:p>
        </w:tc>
      </w:tr>
      <w:tr>
        <w:tc>
          <w:tcPr>
            <w:tcW w:type="dxa" w:w="2880"/>
            <w:tcMar>
              <w:top w:w="100" w:type="dxa"/>
              <w:start w:w="120" w:type="dxa"/>
              <w:bottom w:w="100" w:type="dxa"/>
              <w:end w:w="120" w:type="dxa"/>
            </w:tcMar>
            <w:vAlign w:val="center"/>
          </w:tcPr>
          <w:p>
            <w:r>
              <w:rPr>
                <w:sz w:val="16"/>
              </w:rPr>
              <w:t>Readiness</w:t>
            </w:r>
          </w:p>
        </w:tc>
        <w:tc>
          <w:tcPr>
            <w:tcW w:type="dxa" w:w="6912"/>
            <w:tcMar>
              <w:top w:w="100" w:type="dxa"/>
              <w:start w:w="120" w:type="dxa"/>
              <w:bottom w:w="100" w:type="dxa"/>
              <w:end w:w="120" w:type="dxa"/>
            </w:tcMar>
            <w:vAlign w:val="center"/>
          </w:tcPr>
          <w:p>
            <w:r>
              <w:rPr>
                <w:sz w:val="16"/>
              </w:rPr>
              <w:t>High</w:t>
            </w:r>
          </w:p>
        </w:tc>
      </w:tr>
      <w:tr>
        <w:tc>
          <w:tcPr>
            <w:tcW w:type="dxa" w:w="2880"/>
            <w:shd w:fill="F7F9FB"/>
            <w:tcMar>
              <w:top w:w="100" w:type="dxa"/>
              <w:start w:w="120" w:type="dxa"/>
              <w:bottom w:w="100" w:type="dxa"/>
              <w:end w:w="120" w:type="dxa"/>
            </w:tcMar>
            <w:vAlign w:val="center"/>
          </w:tcPr>
          <w:p>
            <w:r>
              <w:rPr>
                <w:sz w:val="16"/>
              </w:rPr>
              <w:t>Why Matched</w:t>
            </w:r>
          </w:p>
        </w:tc>
        <w:tc>
          <w:tcPr>
            <w:tcW w:type="dxa" w:w="6912"/>
            <w:shd w:fill="F7F9FB"/>
            <w:tcMar>
              <w:top w:w="100" w:type="dxa"/>
              <w:start w:w="120" w:type="dxa"/>
              <w:bottom w:w="100" w:type="dxa"/>
              <w:end w:w="120" w:type="dxa"/>
            </w:tcMar>
            <w:vAlign w:val="center"/>
          </w:tcPr>
          <w:p>
            <w:r>
              <w:rPr>
                <w:sz w:val="16"/>
              </w:rPr>
              <w:t>Amount, sector, business age, geography and active mandate aligned</w:t>
            </w:r>
          </w:p>
        </w:tc>
      </w:tr>
      <w:tr>
        <w:tc>
          <w:tcPr>
            <w:tcW w:type="dxa" w:w="2880"/>
            <w:tcMar>
              <w:top w:w="100" w:type="dxa"/>
              <w:start w:w="120" w:type="dxa"/>
              <w:bottom w:w="100" w:type="dxa"/>
              <w:end w:w="120" w:type="dxa"/>
            </w:tcMar>
            <w:vAlign w:val="center"/>
          </w:tcPr>
          <w:p>
            <w:r>
              <w:rPr>
                <w:sz w:val="16"/>
              </w:rPr>
              <w:t>Next Action</w:t>
            </w:r>
          </w:p>
        </w:tc>
        <w:tc>
          <w:tcPr>
            <w:tcW w:type="dxa" w:w="6912"/>
            <w:tcMar>
              <w:top w:w="100" w:type="dxa"/>
              <w:start w:w="120" w:type="dxa"/>
              <w:bottom w:w="100" w:type="dxa"/>
              <w:end w:w="120" w:type="dxa"/>
            </w:tcMar>
            <w:vAlign w:val="center"/>
          </w:tcPr>
          <w:p>
            <w:r>
              <w:rPr>
                <w:sz w:val="16"/>
              </w:rPr>
              <w:t>View / Assign / Contact / Request Information / Not Interested</w:t>
            </w:r>
          </w:p>
        </w:tc>
      </w:tr>
    </w:tbl>
    <w:p>
      <w:pPr>
        <w:spacing w:after="40"/>
      </w:pPr>
    </w:p>
    <w:p>
      <w:pPr>
        <w:pStyle w:val="Heading1"/>
      </w:pPr>
      <w:r>
        <w:t>17. Opportunity Detail View</w:t>
      </w:r>
    </w:p>
    <w:p>
      <w:r>
        <w:t>The institution sees only information authorised for the opportunity.</w:t>
      </w:r>
    </w:p>
    <w:p>
      <w:pPr>
        <w:pStyle w:val="ListBullet"/>
        <w:spacing w:after="40"/>
      </w:pPr>
      <w:r>
        <w:t>Financial need: amount, purpose and timing.</w:t>
      </w:r>
    </w:p>
    <w:p>
      <w:pPr>
        <w:pStyle w:val="ListBullet"/>
        <w:spacing w:after="40"/>
      </w:pPr>
      <w:r>
        <w:t>Customer: name, contact, location and verification status.</w:t>
      </w:r>
    </w:p>
    <w:p>
      <w:pPr>
        <w:pStyle w:val="ListBullet"/>
        <w:spacing w:after="40"/>
      </w:pPr>
      <w:r>
        <w:t>Relevant financial/business profile supplied through WEZA.</w:t>
      </w:r>
    </w:p>
    <w:p>
      <w:pPr>
        <w:pStyle w:val="ListBullet"/>
        <w:spacing w:after="40"/>
      </w:pPr>
      <w:r>
        <w:t>WEZA Quality Score, Match Score and readiness.</w:t>
      </w:r>
    </w:p>
    <w:p>
      <w:pPr>
        <w:pStyle w:val="ListBullet"/>
        <w:spacing w:after="40"/>
      </w:pPr>
      <w:r>
        <w:t>Explainable match reasons and known missing information.</w:t>
      </w:r>
    </w:p>
    <w:p>
      <w:pPr>
        <w:pStyle w:val="ListBullet"/>
        <w:spacing w:after="40"/>
      </w:pPr>
      <w:r>
        <w:t>Authorised supporting documents.</w:t>
      </w:r>
    </w:p>
    <w:p>
      <w:pPr>
        <w:pStyle w:val="ListBullet"/>
        <w:spacing w:after="40"/>
      </w:pPr>
      <w:r>
        <w:t>Consent status and timestamp.</w:t>
      </w:r>
    </w:p>
    <w:p>
      <w:pPr>
        <w:pStyle w:val="ListBullet"/>
        <w:spacing w:after="40"/>
      </w:pPr>
      <w:r>
        <w:t>Actions: accept, assign, contact, request information or mark not interested.</w:t>
      </w:r>
    </w:p>
    <w:p>
      <w:pPr>
        <w:pStyle w:val="Heading1"/>
      </w:pPr>
      <w:r>
        <w:t>18. Assignment and Officer Workspace</w:t>
      </w:r>
    </w:p>
    <w:p>
      <w:r>
        <w:t>Institutions can configure routing rules entirely within WEZA, e.g., Salary → Retail Team; SME ≤ UGX 50M → SME Team; Agriculture + Northern Region → Agribusiness North.</w:t>
      </w:r>
    </w:p>
    <w:p>
      <w:r>
        <w:t>An officer's workspace should be prioritised around action: high-match opportunities, waiting customers, follow-ups and approaching service targets. WEZA may recommend the order of work but does not make credit decisions.</w:t>
      </w:r>
    </w:p>
    <w:p>
      <w:pPr>
        <w:pStyle w:val="Heading1"/>
      </w:pPr>
      <w:r>
        <w:t>19. Manager and Executive Experiences</w:t>
      </w:r>
    </w:p>
    <w:p>
      <w:pPr>
        <w:pStyle w:val="Heading2"/>
      </w:pPr>
      <w:r>
        <w:t>19.1 Manager</w:t>
      </w:r>
    </w:p>
    <w:p>
      <w:r>
        <w:t>Managers see assignment volumes, contact rates, ageing, service-target breaches and team workload. They can reassign opportunities and identify uncontacted high-match customers.</w:t>
      </w:r>
    </w:p>
    <w:p>
      <w:pPr>
        <w:pStyle w:val="Heading2"/>
      </w:pPr>
      <w:r>
        <w:t>19.2 Executive</w:t>
      </w:r>
    </w:p>
    <w:p>
      <w:r>
        <w:t>Executives see qualified demand, progression, institution-reported approvals/disbursements, demand gaps, product opportunity and marketplace trends rather than individual task lists.</w:t>
      </w:r>
    </w:p>
    <w:p>
      <w:pPr>
        <w:pStyle w:val="Heading2"/>
      </w:pPr>
      <w:r>
        <w:t>19.3 Conversational Command Centre</w:t>
      </w:r>
    </w:p>
    <w:p>
      <w:r>
        <w:t>Authorised users should be able to ask natural-language questions such as 'Show my best SME opportunities today', 'Where is demand coming from?', 'What sits just outside our appetite?' and 'Simulate lowering minimum business age to two years.'</w:t>
      </w:r>
    </w:p>
    <w:p>
      <w:pPr>
        <w:pStyle w:val="Heading1"/>
      </w:pPr>
      <w:r>
        <w:t>20. Intelligent Notification Fabric</w:t>
      </w:r>
    </w:p>
    <w:p>
      <w:r>
        <w:t>WEZA should treat notification as decision routing, not message broadcasting. The engine considers event type, importance, user role, opportunity value, match, customer waiting time and configured service targets.</w:t>
      </w:r>
    </w:p>
    <w:tbl>
      <w:tblPr>
        <w:tblStyle w:val="TableGrid"/>
        <w:tblW w:type="auto" w:w="0"/>
        <w:jc w:val="center"/>
        <w:tblLook w:firstColumn="1" w:firstRow="1" w:lastColumn="0" w:lastRow="0" w:noHBand="0" w:noVBand="1" w:val="04A0"/>
      </w:tblPr>
      <w:tblGrid>
        <w:gridCol w:w="5040"/>
        <w:gridCol w:w="5040"/>
      </w:tblGrid>
      <w:tr>
        <w:tc>
          <w:tcPr>
            <w:tcW w:type="dxa" w:w="2880"/>
            <w:shd w:fill="0B1F3A"/>
            <w:tcMar>
              <w:top w:w="100" w:type="dxa"/>
              <w:start w:w="120" w:type="dxa"/>
              <w:bottom w:w="100" w:type="dxa"/>
              <w:end w:w="120" w:type="dxa"/>
            </w:tcMar>
          </w:tcPr>
          <w:p>
            <w:r>
              <w:rPr>
                <w:b/>
                <w:color w:val="FFFFFF"/>
                <w:sz w:val="17"/>
              </w:rPr>
              <w:t>Priority</w:t>
            </w:r>
          </w:p>
        </w:tc>
        <w:tc>
          <w:tcPr>
            <w:tcW w:type="dxa" w:w="6912"/>
            <w:shd w:fill="0B1F3A"/>
            <w:tcMar>
              <w:top w:w="100" w:type="dxa"/>
              <w:start w:w="120" w:type="dxa"/>
              <w:bottom w:w="100" w:type="dxa"/>
              <w:end w:w="120" w:type="dxa"/>
            </w:tcMar>
          </w:tcPr>
          <w:p>
            <w:r>
              <w:rPr>
                <w:b/>
                <w:color w:val="FFFFFF"/>
                <w:sz w:val="17"/>
              </w:rPr>
              <w:t>Illustrative Delivery</w:t>
            </w:r>
          </w:p>
        </w:tc>
      </w:tr>
      <w:tr>
        <w:tc>
          <w:tcPr>
            <w:tcW w:type="dxa" w:w="2880"/>
            <w:tcMar>
              <w:top w:w="100" w:type="dxa"/>
              <w:start w:w="120" w:type="dxa"/>
              <w:bottom w:w="100" w:type="dxa"/>
              <w:end w:w="120" w:type="dxa"/>
            </w:tcMar>
            <w:vAlign w:val="center"/>
          </w:tcPr>
          <w:p>
            <w:r>
              <w:rPr>
                <w:sz w:val="16"/>
              </w:rPr>
              <w:t>Normal</w:t>
            </w:r>
          </w:p>
        </w:tc>
        <w:tc>
          <w:tcPr>
            <w:tcW w:type="dxa" w:w="6912"/>
            <w:tcMar>
              <w:top w:w="100" w:type="dxa"/>
              <w:start w:w="120" w:type="dxa"/>
              <w:bottom w:w="100" w:type="dxa"/>
              <w:end w:w="120" w:type="dxa"/>
            </w:tcMar>
            <w:vAlign w:val="center"/>
          </w:tcPr>
          <w:p>
            <w:r>
              <w:rPr>
                <w:sz w:val="16"/>
              </w:rPr>
              <w:t>In-app/web feed; optionally included in digest.</w:t>
            </w:r>
          </w:p>
        </w:tc>
      </w:tr>
      <w:tr>
        <w:tc>
          <w:tcPr>
            <w:tcW w:type="dxa" w:w="2880"/>
            <w:shd w:fill="F7F9FB"/>
            <w:tcMar>
              <w:top w:w="100" w:type="dxa"/>
              <w:start w:w="120" w:type="dxa"/>
              <w:bottom w:w="100" w:type="dxa"/>
              <w:end w:w="120" w:type="dxa"/>
            </w:tcMar>
            <w:vAlign w:val="center"/>
          </w:tcPr>
          <w:p>
            <w:r>
              <w:rPr>
                <w:sz w:val="16"/>
              </w:rPr>
              <w:t>High Opportunity</w:t>
            </w:r>
          </w:p>
        </w:tc>
        <w:tc>
          <w:tcPr>
            <w:tcW w:type="dxa" w:w="6912"/>
            <w:shd w:fill="F7F9FB"/>
            <w:tcMar>
              <w:top w:w="100" w:type="dxa"/>
              <w:start w:w="120" w:type="dxa"/>
              <w:bottom w:w="100" w:type="dxa"/>
              <w:end w:w="120" w:type="dxa"/>
            </w:tcMar>
            <w:vAlign w:val="center"/>
          </w:tcPr>
          <w:p>
            <w:r>
              <w:rPr>
                <w:sz w:val="16"/>
              </w:rPr>
              <w:t>In-app + push/Teams/approved channel based on user preference.</w:t>
            </w:r>
          </w:p>
        </w:tc>
      </w:tr>
      <w:tr>
        <w:tc>
          <w:tcPr>
            <w:tcW w:type="dxa" w:w="2880"/>
            <w:tcMar>
              <w:top w:w="100" w:type="dxa"/>
              <w:start w:w="120" w:type="dxa"/>
              <w:bottom w:w="100" w:type="dxa"/>
              <w:end w:w="120" w:type="dxa"/>
            </w:tcMar>
            <w:vAlign w:val="center"/>
          </w:tcPr>
          <w:p>
            <w:r>
              <w:rPr>
                <w:sz w:val="16"/>
              </w:rPr>
              <w:t>Service Target Approaching</w:t>
            </w:r>
          </w:p>
        </w:tc>
        <w:tc>
          <w:tcPr>
            <w:tcW w:type="dxa" w:w="6912"/>
            <w:tcMar>
              <w:top w:w="100" w:type="dxa"/>
              <w:start w:w="120" w:type="dxa"/>
              <w:bottom w:w="100" w:type="dxa"/>
              <w:end w:w="120" w:type="dxa"/>
            </w:tcMar>
            <w:vAlign w:val="center"/>
          </w:tcPr>
          <w:p>
            <w:r>
              <w:rPr>
                <w:sz w:val="16"/>
              </w:rPr>
              <w:t>Assigned officer alert.</w:t>
            </w:r>
          </w:p>
        </w:tc>
      </w:tr>
      <w:tr>
        <w:tc>
          <w:tcPr>
            <w:tcW w:type="dxa" w:w="2880"/>
            <w:shd w:fill="F7F9FB"/>
            <w:tcMar>
              <w:top w:w="100" w:type="dxa"/>
              <w:start w:w="120" w:type="dxa"/>
              <w:bottom w:w="100" w:type="dxa"/>
              <w:end w:w="120" w:type="dxa"/>
            </w:tcMar>
            <w:vAlign w:val="center"/>
          </w:tcPr>
          <w:p>
            <w:r>
              <w:rPr>
                <w:sz w:val="16"/>
              </w:rPr>
              <w:t>Service Target Breached</w:t>
            </w:r>
          </w:p>
        </w:tc>
        <w:tc>
          <w:tcPr>
            <w:tcW w:type="dxa" w:w="6912"/>
            <w:shd w:fill="F7F9FB"/>
            <w:tcMar>
              <w:top w:w="100" w:type="dxa"/>
              <w:start w:w="120" w:type="dxa"/>
              <w:bottom w:w="100" w:type="dxa"/>
              <w:end w:w="120" w:type="dxa"/>
            </w:tcMar>
            <w:vAlign w:val="center"/>
          </w:tcPr>
          <w:p>
            <w:r>
              <w:rPr>
                <w:sz w:val="16"/>
              </w:rPr>
              <w:t>Officer + manager escalation.</w:t>
            </w:r>
          </w:p>
        </w:tc>
      </w:tr>
      <w:tr>
        <w:tc>
          <w:tcPr>
            <w:tcW w:type="dxa" w:w="2880"/>
            <w:tcMar>
              <w:top w:w="100" w:type="dxa"/>
              <w:start w:w="120" w:type="dxa"/>
              <w:bottom w:w="100" w:type="dxa"/>
              <w:end w:w="120" w:type="dxa"/>
            </w:tcMar>
            <w:vAlign w:val="center"/>
          </w:tcPr>
          <w:p>
            <w:r>
              <w:rPr>
                <w:sz w:val="16"/>
              </w:rPr>
              <w:t>Strategic Marketplace Insight</w:t>
            </w:r>
          </w:p>
        </w:tc>
        <w:tc>
          <w:tcPr>
            <w:tcW w:type="dxa" w:w="6912"/>
            <w:tcMar>
              <w:top w:w="100" w:type="dxa"/>
              <w:start w:w="120" w:type="dxa"/>
              <w:bottom w:w="100" w:type="dxa"/>
              <w:end w:w="120" w:type="dxa"/>
            </w:tcMar>
            <w:vAlign w:val="center"/>
          </w:tcPr>
          <w:p>
            <w:r>
              <w:rPr>
                <w:sz w:val="16"/>
              </w:rPr>
              <w:t>Executive/business digest.</w:t>
            </w:r>
          </w:p>
        </w:tc>
      </w:tr>
      <w:tr>
        <w:tc>
          <w:tcPr>
            <w:tcW w:type="dxa" w:w="2880"/>
            <w:shd w:fill="F7F9FB"/>
            <w:tcMar>
              <w:top w:w="100" w:type="dxa"/>
              <w:start w:w="120" w:type="dxa"/>
              <w:bottom w:w="100" w:type="dxa"/>
              <w:end w:w="120" w:type="dxa"/>
            </w:tcMar>
            <w:vAlign w:val="center"/>
          </w:tcPr>
          <w:p>
            <w:r>
              <w:rPr>
                <w:sz w:val="16"/>
              </w:rPr>
              <w:t>Compliance/Security Event</w:t>
            </w:r>
          </w:p>
        </w:tc>
        <w:tc>
          <w:tcPr>
            <w:tcW w:type="dxa" w:w="6912"/>
            <w:shd w:fill="F7F9FB"/>
            <w:tcMar>
              <w:top w:w="100" w:type="dxa"/>
              <w:start w:w="120" w:type="dxa"/>
              <w:bottom w:w="100" w:type="dxa"/>
              <w:end w:w="120" w:type="dxa"/>
            </w:tcMar>
            <w:vAlign w:val="center"/>
          </w:tcPr>
          <w:p>
            <w:r>
              <w:rPr>
                <w:sz w:val="16"/>
              </w:rPr>
              <w:t>Relevant authorised control function.</w:t>
            </w:r>
          </w:p>
        </w:tc>
      </w:tr>
    </w:tbl>
    <w:p>
      <w:pPr>
        <w:spacing w:after="40"/>
      </w:pPr>
    </w:p>
    <w:p>
      <w:r>
        <w:t>Potential channels include WEZA web/in-app, mobile push, email, Microsoft Teams where configured, WhatsApp where appropriate, and SMS for selected critical events.</w:t>
      </w:r>
    </w:p>
    <w:p>
      <w:pPr>
        <w:pStyle w:val="Heading1"/>
      </w:pPr>
      <w:r>
        <w:t>21. Daily and Weekly Intelligence Briefs</w:t>
      </w:r>
    </w:p>
    <w:p>
      <w:pPr>
        <w:pStyle w:val="Heading2"/>
      </w:pPr>
      <w:r>
        <w:t>21.1 WEZA Daily</w:t>
      </w:r>
    </w:p>
    <w:p>
      <w:r>
        <w:t>Operational briefing: new qualified opportunities, requested financing, high-match leads, customers waiting, unassigned opportunities and priority actions.</w:t>
      </w:r>
    </w:p>
    <w:p>
      <w:pPr>
        <w:pStyle w:val="Heading2"/>
      </w:pPr>
      <w:r>
        <w:t>21.2 WEZA Weekly</w:t>
      </w:r>
    </w:p>
    <w:p>
      <w:r>
        <w:t>Executive briefing: qualified demand, progression, reported approvals/disbursements, contact performance, strongest product/segment, near-appetite demand and recommended areas for review.</w:t>
      </w:r>
    </w:p>
    <w:p>
      <w:pPr>
        <w:pStyle w:val="Heading1"/>
      </w:pPr>
      <w:r>
        <w:t>22. Marketplace Pipeline and Lightweight Outcome Reporting</w:t>
      </w:r>
    </w:p>
    <w:p>
      <w:r>
        <w:t>WEZA does not need to reproduce the institution's internal credit workflow. It tracks only the marketplace relationship and institution-reported outcomes.</w:t>
      </w:r>
    </w:p>
    <w:p>
      <w:r>
        <w:t>Pipeline: Matched → Customer Selected → Consented → Routed → Received → Assigned → Contacted → Customer Proceeding → Application Submitted to Institution → Reported Approved/Declined → Reported Disbursed → Closed.</w:t>
      </w:r>
    </w:p>
    <w:p>
      <w:r>
        <w:t>Updating must be low-friction. The officer can answer prompts such as 'What happened with this customer?' using one-tap states. Approved and disbursed amounts may be entered where appropriate.</w:t>
      </w:r>
    </w:p>
    <w:p>
      <w:pPr>
        <w:pStyle w:val="Heading1"/>
      </w:pPr>
      <w:r>
        <w:t>23. No-Lead and Near-Match Intelligence</w:t>
      </w:r>
    </w:p>
    <w:p>
      <w:r>
        <w:t>If no leads match an institution's criteria, WEZA must not simply show an empty screen. It should explain the marketplace state.</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Example: No new opportunities currently match your exact SME mandate. However, UGX 2.4B of otherwise relevant SME demand sits immediately outside your minimum-turnover requirement.</w:t>
            </w:r>
          </w:p>
        </w:tc>
      </w:tr>
    </w:tbl>
    <w:p>
      <w:pPr>
        <w:spacing w:after="20"/>
      </w:pPr>
    </w:p>
    <w:p>
      <w:r>
        <w:t>WEZA may recommend that an authorised user review appetite, but it must never automatically loosen institution criteria.</w:t>
      </w:r>
    </w:p>
    <w:p>
      <w:pPr>
        <w:pStyle w:val="Heading1"/>
      </w:pPr>
      <w:r>
        <w:t>24. Opportunity Radius</w:t>
      </w:r>
    </w:p>
    <w:tbl>
      <w:tblPr>
        <w:tblStyle w:val="TableGrid"/>
        <w:tblW w:type="auto" w:w="0"/>
        <w:jc w:val="center"/>
        <w:tblLook w:firstColumn="1" w:firstRow="1" w:lastColumn="0" w:lastRow="0" w:noHBand="0" w:noVBand="1" w:val="04A0"/>
      </w:tblPr>
      <w:tblGrid>
        <w:gridCol w:w="5040"/>
        <w:gridCol w:w="5040"/>
      </w:tblGrid>
      <w:tr>
        <w:tc>
          <w:tcPr>
            <w:tcW w:type="dxa" w:w="2448"/>
            <w:shd w:fill="0B1F3A"/>
            <w:tcMar>
              <w:top w:w="100" w:type="dxa"/>
              <w:start w:w="120" w:type="dxa"/>
              <w:bottom w:w="100" w:type="dxa"/>
              <w:end w:w="120" w:type="dxa"/>
            </w:tcMar>
          </w:tcPr>
          <w:p>
            <w:r>
              <w:rPr>
                <w:b/>
                <w:color w:val="FFFFFF"/>
                <w:sz w:val="17"/>
              </w:rPr>
              <w:t>Zone</w:t>
            </w:r>
          </w:p>
        </w:tc>
        <w:tc>
          <w:tcPr>
            <w:tcW w:type="dxa" w:w="7344"/>
            <w:shd w:fill="0B1F3A"/>
            <w:tcMar>
              <w:top w:w="100" w:type="dxa"/>
              <w:start w:w="120" w:type="dxa"/>
              <w:bottom w:w="100" w:type="dxa"/>
              <w:end w:w="120" w:type="dxa"/>
            </w:tcMar>
          </w:tcPr>
          <w:p>
            <w:r>
              <w:rPr>
                <w:b/>
                <w:color w:val="FFFFFF"/>
                <w:sz w:val="17"/>
              </w:rPr>
              <w:t>Meaning</w:t>
            </w:r>
          </w:p>
        </w:tc>
      </w:tr>
      <w:tr>
        <w:tc>
          <w:tcPr>
            <w:tcW w:type="dxa" w:w="2448"/>
            <w:tcMar>
              <w:top w:w="100" w:type="dxa"/>
              <w:start w:w="120" w:type="dxa"/>
              <w:bottom w:w="100" w:type="dxa"/>
              <w:end w:w="120" w:type="dxa"/>
            </w:tcMar>
            <w:vAlign w:val="center"/>
          </w:tcPr>
          <w:p>
            <w:r>
              <w:rPr>
                <w:sz w:val="16"/>
              </w:rPr>
              <w:t>Inside Appetite</w:t>
            </w:r>
          </w:p>
        </w:tc>
        <w:tc>
          <w:tcPr>
            <w:tcW w:type="dxa" w:w="7344"/>
            <w:tcMar>
              <w:top w:w="100" w:type="dxa"/>
              <w:start w:w="120" w:type="dxa"/>
              <w:bottom w:w="100" w:type="dxa"/>
              <w:end w:w="120" w:type="dxa"/>
            </w:tcMar>
            <w:vAlign w:val="center"/>
          </w:tcPr>
          <w:p>
            <w:r>
              <w:rPr>
                <w:sz w:val="16"/>
              </w:rPr>
              <w:t>Strongly aligned demand that satisfies the configured marketplace criteria.</w:t>
            </w:r>
          </w:p>
        </w:tc>
      </w:tr>
      <w:tr>
        <w:tc>
          <w:tcPr>
            <w:tcW w:type="dxa" w:w="2448"/>
            <w:shd w:fill="F7F9FB"/>
            <w:tcMar>
              <w:top w:w="100" w:type="dxa"/>
              <w:start w:w="120" w:type="dxa"/>
              <w:bottom w:w="100" w:type="dxa"/>
              <w:end w:w="120" w:type="dxa"/>
            </w:tcMar>
            <w:vAlign w:val="center"/>
          </w:tcPr>
          <w:p>
            <w:r>
              <w:rPr>
                <w:sz w:val="16"/>
              </w:rPr>
              <w:t>Near Appetite</w:t>
            </w:r>
          </w:p>
        </w:tc>
        <w:tc>
          <w:tcPr>
            <w:tcW w:type="dxa" w:w="7344"/>
            <w:shd w:fill="F7F9FB"/>
            <w:tcMar>
              <w:top w:w="100" w:type="dxa"/>
              <w:start w:w="120" w:type="dxa"/>
              <w:bottom w:w="100" w:type="dxa"/>
              <w:end w:w="120" w:type="dxa"/>
            </w:tcMar>
            <w:vAlign w:val="center"/>
          </w:tcPr>
          <w:p>
            <w:r>
              <w:rPr>
                <w:sz w:val="16"/>
              </w:rPr>
              <w:t>Demand narrowly missing one or more configured criteria.</w:t>
            </w:r>
          </w:p>
        </w:tc>
      </w:tr>
      <w:tr>
        <w:tc>
          <w:tcPr>
            <w:tcW w:type="dxa" w:w="2448"/>
            <w:tcMar>
              <w:top w:w="100" w:type="dxa"/>
              <w:start w:w="120" w:type="dxa"/>
              <w:bottom w:w="100" w:type="dxa"/>
              <w:end w:w="120" w:type="dxa"/>
            </w:tcMar>
            <w:vAlign w:val="center"/>
          </w:tcPr>
          <w:p>
            <w:r>
              <w:rPr>
                <w:sz w:val="16"/>
              </w:rPr>
              <w:t>Outside Appetite</w:t>
            </w:r>
          </w:p>
        </w:tc>
        <w:tc>
          <w:tcPr>
            <w:tcW w:type="dxa" w:w="7344"/>
            <w:tcMar>
              <w:top w:w="100" w:type="dxa"/>
              <w:start w:w="120" w:type="dxa"/>
              <w:bottom w:w="100" w:type="dxa"/>
              <w:end w:w="120" w:type="dxa"/>
            </w:tcMar>
            <w:vAlign w:val="center"/>
          </w:tcPr>
          <w:p>
            <w:r>
              <w:rPr>
                <w:sz w:val="16"/>
              </w:rPr>
              <w:t>Broader marketplace demand outside the current mandate.</w:t>
            </w:r>
          </w:p>
        </w:tc>
      </w:tr>
    </w:tbl>
    <w:p>
      <w:pPr>
        <w:spacing w:after="40"/>
      </w:pPr>
    </w:p>
    <w:p>
      <w:r>
        <w:t>This feature helps institutions understand how restrictive or expansive their configured appetite is without requiring any access to private bank data.</w:t>
      </w:r>
    </w:p>
    <w:p>
      <w:pPr>
        <w:pStyle w:val="Heading1"/>
      </w:pPr>
      <w:r>
        <w:t>25. Demand Map and Product Opportunity Board</w:t>
      </w:r>
    </w:p>
    <w:p>
      <w:r>
        <w:t>WEZA should provide geographical and product-level views of marketplace demand using WEZA-generated data.</w:t>
      </w:r>
    </w:p>
    <w:p>
      <w:pPr>
        <w:pStyle w:val="ListBullet"/>
        <w:spacing w:after="40"/>
      </w:pPr>
      <w:r>
        <w:t>Demand by district/region and requested financing value.</w:t>
      </w:r>
    </w:p>
    <w:p>
      <w:pPr>
        <w:pStyle w:val="ListBullet"/>
        <w:spacing w:after="40"/>
      </w:pPr>
      <w:r>
        <w:t>Filters by product, customer type, sector, amount, readiness and match band.</w:t>
      </w:r>
    </w:p>
    <w:p>
      <w:pPr>
        <w:pStyle w:val="ListBullet"/>
        <w:spacing w:after="40"/>
      </w:pPr>
      <w:r>
        <w:t>Matching demand by configured product.</w:t>
      </w:r>
    </w:p>
    <w:p>
      <w:pPr>
        <w:pStyle w:val="ListBullet"/>
        <w:spacing w:after="40"/>
      </w:pPr>
      <w:r>
        <w:t>Opportunity count and average match by product.</w:t>
      </w:r>
    </w:p>
    <w:p>
      <w:pPr>
        <w:pStyle w:val="ListBullet"/>
        <w:spacing w:after="40"/>
      </w:pPr>
      <w:r>
        <w:t>Unmatched and near-match demand that may signal product-design opportunities.</w:t>
      </w:r>
    </w:p>
    <w:p>
      <w:pPr>
        <w:pStyle w:val="Heading1"/>
      </w:pPr>
      <w:r>
        <w:t>26. Marketplace Pulse and Product Intelligence</w:t>
      </w:r>
    </w:p>
    <w:p>
      <w:r>
        <w:t>WEZA may provide aggregated and appropriately governed network intelligence such as growth in SME demand, fastest-growing financing purposes and high unmet-demand segments.</w:t>
      </w:r>
    </w:p>
    <w:p>
      <w:r>
        <w:t>A future Product Opportunity capability can identify clusters of unmet demand and allow an institution to simulate a hypothetical product against that demand. The institution remains responsible for product design, pricing, risk and regulatory approval.</w:t>
      </w:r>
    </w:p>
    <w:p>
      <w:pPr>
        <w:pStyle w:val="Heading1"/>
      </w:pPr>
      <w:r>
        <w:t>27. Opportunity Feedback Loop</w:t>
      </w:r>
    </w:p>
    <w:p>
      <w:r>
        <w:t>Institution-reported outcomes should improve marketplace matching and configuration quality. If many customers satisfying a configured criterion are later declined for the same reason, WEZA can flag a possible mismatch between stated appetite and operating practice.</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Example: 23 customers meeting your configured SME turnover threshold were subsequently reported declined for insufficient turnover. Review the configured threshold?</w:t>
            </w:r>
          </w:p>
        </w:tc>
      </w:tr>
    </w:tbl>
    <w:p>
      <w:pPr>
        <w:spacing w:after="20"/>
      </w:pPr>
    </w:p>
    <w:p>
      <w:r>
        <w:t>WEZA does not change the rule automatically.</w:t>
      </w:r>
    </w:p>
    <w:p>
      <w:pPr>
        <w:pStyle w:val="Heading1"/>
      </w:pPr>
      <w:r>
        <w:t>28. Opportunity Rescue</w:t>
      </w:r>
    </w:p>
    <w:p>
      <w:r>
        <w:t>A decline from one institution should not necessarily end the customer's journey. Subject to customer consent, WEZA may return the customer to the Opportunity Engine and identify other suitable participating institutions. Previous institution-specific information must not be shared beyond the authorised scope.</w:t>
      </w:r>
    </w:p>
    <w:p>
      <w:pPr>
        <w:pStyle w:val="Heading1"/>
      </w:pPr>
      <w:r>
        <w:t>29. Marketplace Routing Models</w:t>
      </w:r>
    </w:p>
    <w:tbl>
      <w:tblPr>
        <w:tblStyle w:val="TableGrid"/>
        <w:tblW w:type="auto" w:w="0"/>
        <w:jc w:val="center"/>
        <w:tblLook w:firstColumn="1" w:firstRow="1" w:lastColumn="0" w:lastRow="0" w:noHBand="0" w:noVBand="1" w:val="04A0"/>
      </w:tblPr>
      <w:tblGrid>
        <w:gridCol w:w="5040"/>
        <w:gridCol w:w="5040"/>
      </w:tblGrid>
      <w:tr>
        <w:tc>
          <w:tcPr>
            <w:tcW w:type="dxa" w:w="2592"/>
            <w:shd w:fill="0B1F3A"/>
            <w:tcMar>
              <w:top w:w="100" w:type="dxa"/>
              <w:start w:w="120" w:type="dxa"/>
              <w:bottom w:w="100" w:type="dxa"/>
              <w:end w:w="120" w:type="dxa"/>
            </w:tcMar>
          </w:tcPr>
          <w:p>
            <w:r>
              <w:rPr>
                <w:b/>
                <w:color w:val="FFFFFF"/>
                <w:sz w:val="17"/>
              </w:rPr>
              <w:t>Model</w:t>
            </w:r>
          </w:p>
        </w:tc>
        <w:tc>
          <w:tcPr>
            <w:tcW w:type="dxa" w:w="7200"/>
            <w:shd w:fill="0B1F3A"/>
            <w:tcMar>
              <w:top w:w="100" w:type="dxa"/>
              <w:start w:w="120" w:type="dxa"/>
              <w:bottom w:w="100" w:type="dxa"/>
              <w:end w:w="120" w:type="dxa"/>
            </w:tcMar>
          </w:tcPr>
          <w:p>
            <w:r>
              <w:rPr>
                <w:b/>
                <w:color w:val="FFFFFF"/>
                <w:sz w:val="17"/>
              </w:rPr>
              <w:t>Description</w:t>
            </w:r>
          </w:p>
        </w:tc>
      </w:tr>
      <w:tr>
        <w:tc>
          <w:tcPr>
            <w:tcW w:type="dxa" w:w="2592"/>
            <w:tcMar>
              <w:top w:w="100" w:type="dxa"/>
              <w:start w:w="120" w:type="dxa"/>
              <w:bottom w:w="100" w:type="dxa"/>
              <w:end w:w="120" w:type="dxa"/>
            </w:tcMar>
            <w:vAlign w:val="center"/>
          </w:tcPr>
          <w:p>
            <w:r>
              <w:rPr>
                <w:sz w:val="16"/>
              </w:rPr>
              <w:t>Customer-Selected</w:t>
            </w:r>
          </w:p>
        </w:tc>
        <w:tc>
          <w:tcPr>
            <w:tcW w:type="dxa" w:w="7200"/>
            <w:tcMar>
              <w:top w:w="100" w:type="dxa"/>
              <w:start w:w="120" w:type="dxa"/>
              <w:bottom w:w="100" w:type="dxa"/>
              <w:end w:w="120" w:type="dxa"/>
            </w:tcMar>
            <w:vAlign w:val="center"/>
          </w:tcPr>
          <w:p>
            <w:r>
              <w:rPr>
                <w:sz w:val="16"/>
              </w:rPr>
              <w:t>Customer chooses one suitable institution and consents to routing.</w:t>
            </w:r>
          </w:p>
        </w:tc>
      </w:tr>
      <w:tr>
        <w:tc>
          <w:tcPr>
            <w:tcW w:type="dxa" w:w="2592"/>
            <w:shd w:fill="F7F9FB"/>
            <w:tcMar>
              <w:top w:w="100" w:type="dxa"/>
              <w:start w:w="120" w:type="dxa"/>
              <w:bottom w:w="100" w:type="dxa"/>
              <w:end w:w="120" w:type="dxa"/>
            </w:tcMar>
            <w:vAlign w:val="center"/>
          </w:tcPr>
          <w:p>
            <w:r>
              <w:rPr>
                <w:sz w:val="16"/>
              </w:rPr>
              <w:t>Multi-Match</w:t>
            </w:r>
          </w:p>
        </w:tc>
        <w:tc>
          <w:tcPr>
            <w:tcW w:type="dxa" w:w="7200"/>
            <w:shd w:fill="F7F9FB"/>
            <w:tcMar>
              <w:top w:w="100" w:type="dxa"/>
              <w:start w:w="120" w:type="dxa"/>
              <w:bottom w:w="100" w:type="dxa"/>
              <w:end w:w="120" w:type="dxa"/>
            </w:tcMar>
            <w:vAlign w:val="center"/>
          </w:tcPr>
          <w:p>
            <w:r>
              <w:rPr>
                <w:sz w:val="16"/>
              </w:rPr>
              <w:t>Customer may compare and proceed with more than one eligible institution where allowed.</w:t>
            </w:r>
          </w:p>
        </w:tc>
      </w:tr>
      <w:tr>
        <w:tc>
          <w:tcPr>
            <w:tcW w:type="dxa" w:w="2592"/>
            <w:tcMar>
              <w:top w:w="100" w:type="dxa"/>
              <w:start w:w="120" w:type="dxa"/>
              <w:bottom w:w="100" w:type="dxa"/>
              <w:end w:w="120" w:type="dxa"/>
            </w:tcMar>
            <w:vAlign w:val="center"/>
          </w:tcPr>
          <w:p>
            <w:r>
              <w:rPr>
                <w:sz w:val="16"/>
              </w:rPr>
              <w:t>Exclusive Opportunity</w:t>
            </w:r>
          </w:p>
        </w:tc>
        <w:tc>
          <w:tcPr>
            <w:tcW w:type="dxa" w:w="7200"/>
            <w:tcMar>
              <w:top w:w="100" w:type="dxa"/>
              <w:start w:w="120" w:type="dxa"/>
              <w:bottom w:w="100" w:type="dxa"/>
              <w:end w:w="120" w:type="dxa"/>
            </w:tcMar>
            <w:vAlign w:val="center"/>
          </w:tcPr>
          <w:p>
            <w:r>
              <w:rPr>
                <w:sz w:val="16"/>
              </w:rPr>
              <w:t>A qualified opportunity may be provided exclusively under defined commercial and consumer-protection conditions.</w:t>
            </w:r>
          </w:p>
        </w:tc>
      </w:tr>
      <w:tr>
        <w:tc>
          <w:tcPr>
            <w:tcW w:type="dxa" w:w="2592"/>
            <w:shd w:fill="F7F9FB"/>
            <w:tcMar>
              <w:top w:w="100" w:type="dxa"/>
              <w:start w:w="120" w:type="dxa"/>
              <w:bottom w:w="100" w:type="dxa"/>
              <w:end w:w="120" w:type="dxa"/>
            </w:tcMar>
            <w:vAlign w:val="center"/>
          </w:tcPr>
          <w:p>
            <w:r>
              <w:rPr>
                <w:sz w:val="16"/>
              </w:rPr>
              <w:t>Campaign Opportunity</w:t>
            </w:r>
          </w:p>
        </w:tc>
        <w:tc>
          <w:tcPr>
            <w:tcW w:type="dxa" w:w="7200"/>
            <w:shd w:fill="F7F9FB"/>
            <w:tcMar>
              <w:top w:w="100" w:type="dxa"/>
              <w:start w:w="120" w:type="dxa"/>
              <w:bottom w:w="100" w:type="dxa"/>
              <w:end w:w="120" w:type="dxa"/>
            </w:tcMar>
            <w:vAlign w:val="center"/>
          </w:tcPr>
          <w:p>
            <w:r>
              <w:rPr>
                <w:sz w:val="16"/>
              </w:rPr>
              <w:t>Opportunity originates from an institution-specific or partner campaign.</w:t>
            </w:r>
          </w:p>
        </w:tc>
      </w:tr>
    </w:tbl>
    <w:p>
      <w:pPr>
        <w:spacing w:after="40"/>
      </w:pPr>
    </w:p>
    <w:p>
      <w:pPr>
        <w:pStyle w:val="Heading1"/>
      </w:pPr>
      <w:r>
        <w:t>30. Lead Quality and Billable Opportunity Definition</w:t>
      </w:r>
    </w:p>
    <w:p>
      <w:r>
        <w:t>WEZA should monetise qualified opportunity creation, not raw contact lists. A contractually defined Qualified Opportunity may require:</w:t>
      </w:r>
    </w:p>
    <w:p>
      <w:pPr>
        <w:pStyle w:val="ListBullet"/>
        <w:spacing w:after="40"/>
      </w:pPr>
      <w:r>
        <w:t>Reachable customer verified to the defined WEZA level.</w:t>
      </w:r>
    </w:p>
    <w:p>
      <w:pPr>
        <w:pStyle w:val="ListBullet"/>
        <w:spacing w:after="40"/>
      </w:pPr>
      <w:r>
        <w:t>Financial intent established.</w:t>
      </w:r>
    </w:p>
    <w:p>
      <w:pPr>
        <w:pStyle w:val="ListBullet"/>
        <w:spacing w:after="40"/>
      </w:pPr>
      <w:r>
        <w:t>Mandatory marketplace profile fields complete.</w:t>
      </w:r>
    </w:p>
    <w:p>
      <w:pPr>
        <w:pStyle w:val="ListBullet"/>
        <w:spacing w:after="40"/>
      </w:pPr>
      <w:r>
        <w:t>Relevant preliminary criteria satisfied.</w:t>
      </w:r>
    </w:p>
    <w:p>
      <w:pPr>
        <w:pStyle w:val="ListBullet"/>
        <w:spacing w:after="40"/>
      </w:pPr>
      <w:r>
        <w:t>Institution match meets an agreed threshold.</w:t>
      </w:r>
    </w:p>
    <w:p>
      <w:pPr>
        <w:pStyle w:val="ListBullet"/>
        <w:spacing w:after="40"/>
      </w:pPr>
      <w:r>
        <w:t>Customer has selected and consented to the institution.</w:t>
      </w:r>
    </w:p>
    <w:p>
      <w:pPr>
        <w:pStyle w:val="ListBullet"/>
        <w:spacing w:after="40"/>
      </w:pPr>
      <w:r>
        <w:t>Opportunity is not a duplicate under agreed commercial rules.</w:t>
      </w:r>
    </w:p>
    <w:p>
      <w:pPr>
        <w:pStyle w:val="Heading1"/>
      </w:pPr>
      <w:r>
        <w:t>31. Monetisation</w:t>
      </w:r>
    </w:p>
    <w:tbl>
      <w:tblPr>
        <w:tblStyle w:val="TableGrid"/>
        <w:tblW w:type="auto" w:w="0"/>
        <w:jc w:val="center"/>
        <w:tblLook w:firstColumn="1" w:firstRow="1" w:lastColumn="0" w:lastRow="0" w:noHBand="0" w:noVBand="1" w:val="04A0"/>
      </w:tblPr>
      <w:tblGrid>
        <w:gridCol w:w="5040"/>
        <w:gridCol w:w="5040"/>
      </w:tblGrid>
      <w:tr>
        <w:tc>
          <w:tcPr>
            <w:tcW w:type="dxa" w:w="2880"/>
            <w:shd w:fill="0B1F3A"/>
            <w:tcMar>
              <w:top w:w="100" w:type="dxa"/>
              <w:start w:w="120" w:type="dxa"/>
              <w:bottom w:w="100" w:type="dxa"/>
              <w:end w:w="120" w:type="dxa"/>
            </w:tcMar>
          </w:tcPr>
          <w:p>
            <w:r>
              <w:rPr>
                <w:b/>
                <w:color w:val="FFFFFF"/>
                <w:sz w:val="17"/>
              </w:rPr>
              <w:t>Revenue Stream</w:t>
            </w:r>
          </w:p>
        </w:tc>
        <w:tc>
          <w:tcPr>
            <w:tcW w:type="dxa" w:w="6912"/>
            <w:shd w:fill="0B1F3A"/>
            <w:tcMar>
              <w:top w:w="100" w:type="dxa"/>
              <w:start w:w="120" w:type="dxa"/>
              <w:bottom w:w="100" w:type="dxa"/>
              <w:end w:w="120" w:type="dxa"/>
            </w:tcMar>
          </w:tcPr>
          <w:p>
            <w:r>
              <w:rPr>
                <w:b/>
                <w:color w:val="FFFFFF"/>
                <w:sz w:val="17"/>
              </w:rPr>
              <w:t>Description</w:t>
            </w:r>
          </w:p>
        </w:tc>
      </w:tr>
      <w:tr>
        <w:tc>
          <w:tcPr>
            <w:tcW w:type="dxa" w:w="2880"/>
            <w:tcMar>
              <w:top w:w="100" w:type="dxa"/>
              <w:start w:w="120" w:type="dxa"/>
              <w:bottom w:w="100" w:type="dxa"/>
              <w:end w:w="120" w:type="dxa"/>
            </w:tcMar>
            <w:vAlign w:val="center"/>
          </w:tcPr>
          <w:p>
            <w:r>
              <w:rPr>
                <w:sz w:val="16"/>
              </w:rPr>
              <w:t>Institution Subscription</w:t>
            </w:r>
          </w:p>
        </w:tc>
        <w:tc>
          <w:tcPr>
            <w:tcW w:type="dxa" w:w="6912"/>
            <w:tcMar>
              <w:top w:w="100" w:type="dxa"/>
              <w:start w:w="120" w:type="dxa"/>
              <w:bottom w:w="100" w:type="dxa"/>
              <w:end w:w="120" w:type="dxa"/>
            </w:tcMar>
            <w:vAlign w:val="center"/>
          </w:tcPr>
          <w:p>
            <w:r>
              <w:rPr>
                <w:sz w:val="16"/>
              </w:rPr>
              <w:t>Recurring access to WEZA Institutional, potentially tiered by capabilities, users or opportunity volumes.</w:t>
            </w:r>
          </w:p>
        </w:tc>
      </w:tr>
      <w:tr>
        <w:tc>
          <w:tcPr>
            <w:tcW w:type="dxa" w:w="2880"/>
            <w:shd w:fill="F7F9FB"/>
            <w:tcMar>
              <w:top w:w="100" w:type="dxa"/>
              <w:start w:w="120" w:type="dxa"/>
              <w:bottom w:w="100" w:type="dxa"/>
              <w:end w:w="120" w:type="dxa"/>
            </w:tcMar>
            <w:vAlign w:val="center"/>
          </w:tcPr>
          <w:p>
            <w:r>
              <w:rPr>
                <w:sz w:val="16"/>
              </w:rPr>
              <w:t>Qualified Opportunity Fee</w:t>
            </w:r>
          </w:p>
        </w:tc>
        <w:tc>
          <w:tcPr>
            <w:tcW w:type="dxa" w:w="6912"/>
            <w:shd w:fill="F7F9FB"/>
            <w:tcMar>
              <w:top w:w="100" w:type="dxa"/>
              <w:start w:w="120" w:type="dxa"/>
              <w:bottom w:w="100" w:type="dxa"/>
              <w:end w:w="120" w:type="dxa"/>
            </w:tcMar>
            <w:vAlign w:val="center"/>
          </w:tcPr>
          <w:p>
            <w:r>
              <w:rPr>
                <w:sz w:val="16"/>
              </w:rPr>
              <w:t>Fee when WEZA delivers an opportunity satisfying the agreed qualification definition.</w:t>
            </w:r>
          </w:p>
        </w:tc>
      </w:tr>
      <w:tr>
        <w:tc>
          <w:tcPr>
            <w:tcW w:type="dxa" w:w="2880"/>
            <w:tcMar>
              <w:top w:w="100" w:type="dxa"/>
              <w:start w:w="120" w:type="dxa"/>
              <w:bottom w:w="100" w:type="dxa"/>
              <w:end w:w="120" w:type="dxa"/>
            </w:tcMar>
            <w:vAlign w:val="center"/>
          </w:tcPr>
          <w:p>
            <w:r>
              <w:rPr>
                <w:sz w:val="16"/>
              </w:rPr>
              <w:t>Premium Intelligence</w:t>
            </w:r>
          </w:p>
        </w:tc>
        <w:tc>
          <w:tcPr>
            <w:tcW w:type="dxa" w:w="6912"/>
            <w:tcMar>
              <w:top w:w="100" w:type="dxa"/>
              <w:start w:w="120" w:type="dxa"/>
              <w:bottom w:w="100" w:type="dxa"/>
              <w:end w:w="120" w:type="dxa"/>
            </w:tcMar>
            <w:vAlign w:val="center"/>
          </w:tcPr>
          <w:p>
            <w:r>
              <w:rPr>
                <w:sz w:val="16"/>
              </w:rPr>
              <w:t>Advanced marketplace analytics, appetite simulation, demand intelligence and executive capabilities.</w:t>
            </w:r>
          </w:p>
        </w:tc>
      </w:tr>
      <w:tr>
        <w:tc>
          <w:tcPr>
            <w:tcW w:type="dxa" w:w="2880"/>
            <w:shd w:fill="F7F9FB"/>
            <w:tcMar>
              <w:top w:w="100" w:type="dxa"/>
              <w:start w:w="120" w:type="dxa"/>
              <w:bottom w:w="100" w:type="dxa"/>
              <w:end w:w="120" w:type="dxa"/>
            </w:tcMar>
            <w:vAlign w:val="center"/>
          </w:tcPr>
          <w:p>
            <w:r>
              <w:rPr>
                <w:sz w:val="16"/>
              </w:rPr>
              <w:t>Future Outcome-Based Models</w:t>
            </w:r>
          </w:p>
        </w:tc>
        <w:tc>
          <w:tcPr>
            <w:tcW w:type="dxa" w:w="6912"/>
            <w:shd w:fill="F7F9FB"/>
            <w:tcMar>
              <w:top w:w="100" w:type="dxa"/>
              <w:start w:w="120" w:type="dxa"/>
              <w:bottom w:w="100" w:type="dxa"/>
              <w:end w:w="120" w:type="dxa"/>
            </w:tcMar>
            <w:vAlign w:val="center"/>
          </w:tcPr>
          <w:p>
            <w:r>
              <w:rPr>
                <w:sz w:val="16"/>
              </w:rPr>
              <w:t>Potential success-based fees only after applicable regulatory and commercial requirements are validated.</w:t>
            </w:r>
          </w:p>
        </w:tc>
      </w:tr>
    </w:tbl>
    <w:p>
      <w:pPr>
        <w:spacing w:after="40"/>
      </w:pPr>
    </w:p>
    <w:p>
      <w:pPr>
        <w:pStyle w:val="Heading1"/>
      </w:pPr>
      <w:r>
        <w:t>32. Disbursement and Funds Flow</w:t>
      </w:r>
    </w:p>
    <w:p>
      <w:r>
        <w:t>WEZA V1 does not hold funds. After the institution completes its internal checks and approves financing, the institution disburses through its existing approved rails, such as a bank account or mobile money. WEZA may record a reported disbursement outcome but does not control the transfer.</w:t>
      </w:r>
    </w:p>
    <w:p>
      <w:r>
        <w:t>Any future automatic or near-real-time disbursement experience must still be executed by the institution or an appropriately authorised payment/lending provider under its own controls.</w:t>
      </w:r>
    </w:p>
    <w:p>
      <w:pPr>
        <w:pStyle w:val="Heading1"/>
      </w:pPr>
      <w:r>
        <w:t>33. Customer Experience After Routing</w:t>
      </w:r>
    </w:p>
    <w:p>
      <w:r>
        <w:t>WEZA remains the customer's marketplace interface where reliable status information is available. It can communicate that an opportunity was shared, that the institution requested information, or that the institution reported an outcome. WEZA must never invent internal bank statuses that the institution has not supplied.</w:t>
      </w:r>
    </w:p>
    <w:p>
      <w:r>
        <w:t>Where an institution fails to respond within a configured service target, WEZA can alert the institution and inform the customer of available next steps, including returning to the marketplace where permitted.</w:t>
      </w:r>
    </w:p>
    <w:p>
      <w:pPr>
        <w:pStyle w:val="Heading1"/>
      </w:pPr>
      <w:r>
        <w:t>34. Additional Enhancements</w:t>
      </w:r>
    </w:p>
    <w:p>
      <w:pPr>
        <w:pStyle w:val="Heading2"/>
      </w:pPr>
      <w:r>
        <w:t>34.1 Opportunity Expiry and Freshness</w:t>
      </w:r>
    </w:p>
    <w:p>
      <w:r>
        <w:t>Qualified opportunities should have freshness states. WEZA can flag opportunities that have become stale, require customer reconfirmation or should be closed after defined inactivity.</w:t>
      </w:r>
    </w:p>
    <w:p>
      <w:pPr>
        <w:pStyle w:val="Heading2"/>
      </w:pPr>
      <w:r>
        <w:t>34.2 Duplicate and Spam Protection</w:t>
      </w:r>
    </w:p>
    <w:p>
      <w:r>
        <w:t>WEZA should detect repeated submissions, suspicious patterns and duplicate opportunities to protect institutions from paying for or processing duplicate demand.</w:t>
      </w:r>
    </w:p>
    <w:p>
      <w:pPr>
        <w:pStyle w:val="Heading2"/>
      </w:pPr>
      <w:r>
        <w:t>34.3 Customer Communication Preferences</w:t>
      </w:r>
    </w:p>
    <w:p>
      <w:r>
        <w:t>Customers should control preferred channels and appropriate contact windows, reducing repeated or intrusive outreach.</w:t>
      </w:r>
    </w:p>
    <w:p>
      <w:pPr>
        <w:pStyle w:val="Heading2"/>
      </w:pPr>
      <w:r>
        <w:t>34.4 Institution Reputation and Service Quality</w:t>
      </w:r>
    </w:p>
    <w:p>
      <w:r>
        <w:t>WEZA should internally track institution responsiveness, contact times and customer-reported experience. Any customer-facing ranking or rating system should be introduced only with carefully defined governance and fairness rules.</w:t>
      </w:r>
    </w:p>
    <w:p>
      <w:pPr>
        <w:pStyle w:val="Heading2"/>
      </w:pPr>
      <w:r>
        <w:t>34.5 Network Health Controls</w:t>
      </w:r>
    </w:p>
    <w:p>
      <w:r>
        <w:t>WEZA should be able to pause institutions, products or mandates for compliance, quality, operational or contractual reasons without affecting unrelated participants.</w:t>
      </w:r>
    </w:p>
    <w:p>
      <w:pPr>
        <w:pStyle w:val="Heading2"/>
      </w:pPr>
      <w:r>
        <w:t>34.6 Marketplace Fairness</w:t>
      </w:r>
    </w:p>
    <w:p>
      <w:r>
        <w:t>Matching should distinguish objective relevance from paid placement. Any sponsored or commercial prioritisation must be transparently governed and must not be misrepresented as suitability.</w:t>
      </w:r>
    </w:p>
    <w:p>
      <w:pPr>
        <w:pStyle w:val="Heading2"/>
      </w:pPr>
      <w:r>
        <w:t>34.7 Institution Sandbox</w:t>
      </w:r>
    </w:p>
    <w:p>
      <w:r>
        <w:t>Before go-live, an institution should be able to test product and appetite configurations using synthetic opportunities without seeing real customer information.</w:t>
      </w:r>
    </w:p>
    <w:p>
      <w:pPr>
        <w:pStyle w:val="Heading2"/>
      </w:pPr>
      <w:r>
        <w:t>34.8 Country and Regulatory Configuration</w:t>
      </w:r>
    </w:p>
    <w:p>
      <w:r>
        <w:t>Core product rules should be configurable by country so that WEZA can expand regionally without embedding Uganda-specific regulatory assumptions into the core architecture.</w:t>
      </w:r>
    </w:p>
    <w:p>
      <w:pPr>
        <w:pStyle w:val="Heading1"/>
      </w:pPr>
      <w:r>
        <w:t>35. Future Customer Financial Identity and Vault</w:t>
      </w:r>
    </w:p>
    <w:p>
      <w:r>
        <w:t>A future My WEZA environment may maintain a permission-controlled financial profile, application history, documents, consents and goals. A secure Financial Vault could reduce repeated document submission. The customer controls sharing.</w:t>
      </w:r>
    </w:p>
    <w:p>
      <w:pPr>
        <w:pStyle w:val="Heading1"/>
      </w:pPr>
      <w:r>
        <w:t>36. Future Financial Marketplace</w:t>
      </w:r>
    </w:p>
    <w:tbl>
      <w:tblPr>
        <w:tblStyle w:val="TableGrid"/>
        <w:tblW w:type="auto" w:w="0"/>
        <w:jc w:val="center"/>
        <w:tblLook w:firstColumn="1" w:firstRow="1" w:lastColumn="0" w:lastRow="0" w:noHBand="0" w:noVBand="1" w:val="04A0"/>
      </w:tblPr>
      <w:tblGrid>
        <w:gridCol w:w="5040"/>
        <w:gridCol w:w="5040"/>
      </w:tblGrid>
      <w:tr>
        <w:tc>
          <w:tcPr>
            <w:tcW w:type="dxa" w:w="2304"/>
            <w:shd w:fill="0B1F3A"/>
            <w:tcMar>
              <w:top w:w="100" w:type="dxa"/>
              <w:start w:w="120" w:type="dxa"/>
              <w:bottom w:w="100" w:type="dxa"/>
              <w:end w:w="120" w:type="dxa"/>
            </w:tcMar>
          </w:tcPr>
          <w:p>
            <w:r>
              <w:rPr>
                <w:b/>
                <w:color w:val="FFFFFF"/>
                <w:sz w:val="17"/>
              </w:rPr>
              <w:t>Future Product</w:t>
            </w:r>
          </w:p>
        </w:tc>
        <w:tc>
          <w:tcPr>
            <w:tcW w:type="dxa" w:w="7488"/>
            <w:shd w:fill="0B1F3A"/>
            <w:tcMar>
              <w:top w:w="100" w:type="dxa"/>
              <w:start w:w="120" w:type="dxa"/>
              <w:bottom w:w="100" w:type="dxa"/>
              <w:end w:w="120" w:type="dxa"/>
            </w:tcMar>
          </w:tcPr>
          <w:p>
            <w:r>
              <w:rPr>
                <w:b/>
                <w:color w:val="FFFFFF"/>
                <w:sz w:val="17"/>
              </w:rPr>
              <w:t>Illustrative Scope</w:t>
            </w:r>
          </w:p>
        </w:tc>
      </w:tr>
      <w:tr>
        <w:tc>
          <w:tcPr>
            <w:tcW w:type="dxa" w:w="2304"/>
            <w:tcMar>
              <w:top w:w="100" w:type="dxa"/>
              <w:start w:w="120" w:type="dxa"/>
              <w:bottom w:w="100" w:type="dxa"/>
              <w:end w:w="120" w:type="dxa"/>
            </w:tcMar>
            <w:vAlign w:val="center"/>
          </w:tcPr>
          <w:p>
            <w:r>
              <w:rPr>
                <w:sz w:val="16"/>
              </w:rPr>
              <w:t>WEZA Credit</w:t>
            </w:r>
          </w:p>
        </w:tc>
        <w:tc>
          <w:tcPr>
            <w:tcW w:type="dxa" w:w="7488"/>
            <w:tcMar>
              <w:top w:w="100" w:type="dxa"/>
              <w:start w:w="120" w:type="dxa"/>
              <w:bottom w:w="100" w:type="dxa"/>
              <w:end w:w="120" w:type="dxa"/>
            </w:tcMar>
            <w:vAlign w:val="center"/>
          </w:tcPr>
          <w:p>
            <w:r>
              <w:rPr>
                <w:sz w:val="16"/>
              </w:rPr>
              <w:t>Loans, working capital, mortgages and asset finance.</w:t>
            </w:r>
          </w:p>
        </w:tc>
      </w:tr>
      <w:tr>
        <w:tc>
          <w:tcPr>
            <w:tcW w:type="dxa" w:w="2304"/>
            <w:shd w:fill="F7F9FB"/>
            <w:tcMar>
              <w:top w:w="100" w:type="dxa"/>
              <w:start w:w="120" w:type="dxa"/>
              <w:bottom w:w="100" w:type="dxa"/>
              <w:end w:w="120" w:type="dxa"/>
            </w:tcMar>
            <w:vAlign w:val="center"/>
          </w:tcPr>
          <w:p>
            <w:r>
              <w:rPr>
                <w:sz w:val="16"/>
              </w:rPr>
              <w:t>WEZA Flex</w:t>
            </w:r>
          </w:p>
        </w:tc>
        <w:tc>
          <w:tcPr>
            <w:tcW w:type="dxa" w:w="7488"/>
            <w:shd w:fill="F7F9FB"/>
            <w:tcMar>
              <w:top w:w="100" w:type="dxa"/>
              <w:start w:w="120" w:type="dxa"/>
              <w:bottom w:w="100" w:type="dxa"/>
              <w:end w:w="120" w:type="dxa"/>
            </w:tcMar>
            <w:vAlign w:val="center"/>
          </w:tcPr>
          <w:p>
            <w:r>
              <w:rPr>
                <w:sz w:val="16"/>
              </w:rPr>
              <w:t>BNPL and instalment financing.</w:t>
            </w:r>
          </w:p>
        </w:tc>
      </w:tr>
      <w:tr>
        <w:tc>
          <w:tcPr>
            <w:tcW w:type="dxa" w:w="2304"/>
            <w:tcMar>
              <w:top w:w="100" w:type="dxa"/>
              <w:start w:w="120" w:type="dxa"/>
              <w:bottom w:w="100" w:type="dxa"/>
              <w:end w:w="120" w:type="dxa"/>
            </w:tcMar>
            <w:vAlign w:val="center"/>
          </w:tcPr>
          <w:p>
            <w:r>
              <w:rPr>
                <w:sz w:val="16"/>
              </w:rPr>
              <w:t>WEZA Pay</w:t>
            </w:r>
          </w:p>
        </w:tc>
        <w:tc>
          <w:tcPr>
            <w:tcW w:type="dxa" w:w="7488"/>
            <w:tcMar>
              <w:top w:w="100" w:type="dxa"/>
              <w:start w:w="120" w:type="dxa"/>
              <w:bottom w:w="100" w:type="dxa"/>
              <w:end w:w="120" w:type="dxa"/>
            </w:tcMar>
            <w:vAlign w:val="center"/>
          </w:tcPr>
          <w:p>
            <w:r>
              <w:rPr>
                <w:sz w:val="16"/>
              </w:rPr>
              <w:t>Utilities, electricity, airtime/data, school fees and merchant payments.</w:t>
            </w:r>
          </w:p>
        </w:tc>
      </w:tr>
      <w:tr>
        <w:tc>
          <w:tcPr>
            <w:tcW w:type="dxa" w:w="2304"/>
            <w:shd w:fill="F7F9FB"/>
            <w:tcMar>
              <w:top w:w="100" w:type="dxa"/>
              <w:start w:w="120" w:type="dxa"/>
              <w:bottom w:w="100" w:type="dxa"/>
              <w:end w:w="120" w:type="dxa"/>
            </w:tcMar>
            <w:vAlign w:val="center"/>
          </w:tcPr>
          <w:p>
            <w:r>
              <w:rPr>
                <w:sz w:val="16"/>
              </w:rPr>
              <w:t>WEZA Protect</w:t>
            </w:r>
          </w:p>
        </w:tc>
        <w:tc>
          <w:tcPr>
            <w:tcW w:type="dxa" w:w="7488"/>
            <w:shd w:fill="F7F9FB"/>
            <w:tcMar>
              <w:top w:w="100" w:type="dxa"/>
              <w:start w:w="120" w:type="dxa"/>
              <w:bottom w:w="100" w:type="dxa"/>
              <w:end w:w="120" w:type="dxa"/>
            </w:tcMar>
            <w:vAlign w:val="center"/>
          </w:tcPr>
          <w:p>
            <w:r>
              <w:rPr>
                <w:sz w:val="16"/>
              </w:rPr>
              <w:t>Insurance discovery and potential connection to Otic's Insurance Intelligence Platform.</w:t>
            </w:r>
          </w:p>
        </w:tc>
      </w:tr>
      <w:tr>
        <w:tc>
          <w:tcPr>
            <w:tcW w:type="dxa" w:w="2304"/>
            <w:tcMar>
              <w:top w:w="100" w:type="dxa"/>
              <w:start w:w="120" w:type="dxa"/>
              <w:bottom w:w="100" w:type="dxa"/>
              <w:end w:w="120" w:type="dxa"/>
            </w:tcMar>
            <w:vAlign w:val="center"/>
          </w:tcPr>
          <w:p>
            <w:r>
              <w:rPr>
                <w:sz w:val="16"/>
              </w:rPr>
              <w:t>WEZA Save</w:t>
            </w:r>
          </w:p>
        </w:tc>
        <w:tc>
          <w:tcPr>
            <w:tcW w:type="dxa" w:w="7488"/>
            <w:tcMar>
              <w:top w:w="100" w:type="dxa"/>
              <w:start w:w="120" w:type="dxa"/>
              <w:bottom w:w="100" w:type="dxa"/>
              <w:end w:w="120" w:type="dxa"/>
            </w:tcMar>
            <w:vAlign w:val="center"/>
          </w:tcPr>
          <w:p>
            <w:r>
              <w:rPr>
                <w:sz w:val="16"/>
              </w:rPr>
              <w:t>Savings products through eligible providers.</w:t>
            </w:r>
          </w:p>
        </w:tc>
      </w:tr>
      <w:tr>
        <w:tc>
          <w:tcPr>
            <w:tcW w:type="dxa" w:w="2304"/>
            <w:shd w:fill="F7F9FB"/>
            <w:tcMar>
              <w:top w:w="100" w:type="dxa"/>
              <w:start w:w="120" w:type="dxa"/>
              <w:bottom w:w="100" w:type="dxa"/>
              <w:end w:w="120" w:type="dxa"/>
            </w:tcMar>
            <w:vAlign w:val="center"/>
          </w:tcPr>
          <w:p>
            <w:r>
              <w:rPr>
                <w:sz w:val="16"/>
              </w:rPr>
              <w:t>WEZA Invest</w:t>
            </w:r>
          </w:p>
        </w:tc>
        <w:tc>
          <w:tcPr>
            <w:tcW w:type="dxa" w:w="7488"/>
            <w:shd w:fill="F7F9FB"/>
            <w:tcMar>
              <w:top w:w="100" w:type="dxa"/>
              <w:start w:w="120" w:type="dxa"/>
              <w:bottom w:w="100" w:type="dxa"/>
              <w:end w:w="120" w:type="dxa"/>
            </w:tcMar>
            <w:vAlign w:val="center"/>
          </w:tcPr>
          <w:p>
            <w:r>
              <w:rPr>
                <w:sz w:val="16"/>
              </w:rPr>
              <w:t>Regulated investment opportunities.</w:t>
            </w:r>
          </w:p>
        </w:tc>
      </w:tr>
      <w:tr>
        <w:tc>
          <w:tcPr>
            <w:tcW w:type="dxa" w:w="2304"/>
            <w:tcMar>
              <w:top w:w="100" w:type="dxa"/>
              <w:start w:w="120" w:type="dxa"/>
              <w:bottom w:w="100" w:type="dxa"/>
              <w:end w:w="120" w:type="dxa"/>
            </w:tcMar>
            <w:vAlign w:val="center"/>
          </w:tcPr>
          <w:p>
            <w:r>
              <w:rPr>
                <w:sz w:val="16"/>
              </w:rPr>
              <w:t>WEZA P2P</w:t>
            </w:r>
          </w:p>
        </w:tc>
        <w:tc>
          <w:tcPr>
            <w:tcW w:type="dxa" w:w="7488"/>
            <w:tcMar>
              <w:top w:w="100" w:type="dxa"/>
              <w:start w:w="120" w:type="dxa"/>
              <w:bottom w:w="100" w:type="dxa"/>
              <w:end w:w="120" w:type="dxa"/>
            </w:tcMar>
            <w:vAlign w:val="center"/>
          </w:tcPr>
          <w:p>
            <w:r>
              <w:rPr>
                <w:sz w:val="16"/>
              </w:rPr>
              <w:t>Potential peer-to-peer financing under a separate regulatory and risk workstream.</w:t>
            </w:r>
          </w:p>
        </w:tc>
      </w:tr>
    </w:tbl>
    <w:p>
      <w:pPr>
        <w:spacing w:after="40"/>
      </w:pPr>
    </w:p>
    <w:p>
      <w:pPr>
        <w:pStyle w:val="Heading1"/>
      </w:pPr>
      <w:r>
        <w:t>37. Functional Requirements - V1</w:t>
      </w:r>
    </w:p>
    <w:tbl>
      <w:tblPr>
        <w:tblStyle w:val="TableGrid"/>
        <w:tblW w:type="auto" w:w="0"/>
        <w:jc w:val="center"/>
        <w:tblLook w:firstColumn="1" w:firstRow="1" w:lastColumn="0" w:lastRow="0" w:noHBand="0" w:noVBand="1" w:val="04A0"/>
      </w:tblPr>
      <w:tblGrid>
        <w:gridCol w:w="5040"/>
        <w:gridCol w:w="5040"/>
      </w:tblGrid>
      <w:tr>
        <w:tc>
          <w:tcPr>
            <w:tcW w:type="dxa" w:w="1152"/>
            <w:shd w:fill="0B1F3A"/>
            <w:tcMar>
              <w:top w:w="100" w:type="dxa"/>
              <w:start w:w="120" w:type="dxa"/>
              <w:bottom w:w="100" w:type="dxa"/>
              <w:end w:w="120" w:type="dxa"/>
            </w:tcMar>
          </w:tcPr>
          <w:p>
            <w:r>
              <w:rPr>
                <w:b/>
                <w:color w:val="FFFFFF"/>
                <w:sz w:val="17"/>
              </w:rPr>
              <w:t>ID</w:t>
            </w:r>
          </w:p>
        </w:tc>
        <w:tc>
          <w:tcPr>
            <w:tcW w:type="dxa" w:w="8640"/>
            <w:shd w:fill="0B1F3A"/>
            <w:tcMar>
              <w:top w:w="100" w:type="dxa"/>
              <w:start w:w="120" w:type="dxa"/>
              <w:bottom w:w="100" w:type="dxa"/>
              <w:end w:w="120" w:type="dxa"/>
            </w:tcMar>
          </w:tcPr>
          <w:p>
            <w:r>
              <w:rPr>
                <w:b/>
                <w:color w:val="FFFFFF"/>
                <w:sz w:val="17"/>
              </w:rPr>
              <w:t>Requirement</w:t>
            </w:r>
          </w:p>
        </w:tc>
      </w:tr>
      <w:tr>
        <w:tc>
          <w:tcPr>
            <w:tcW w:type="dxa" w:w="1152"/>
            <w:tcMar>
              <w:top w:w="100" w:type="dxa"/>
              <w:start w:w="120" w:type="dxa"/>
              <w:bottom w:w="100" w:type="dxa"/>
              <w:end w:w="120" w:type="dxa"/>
            </w:tcMar>
            <w:vAlign w:val="center"/>
          </w:tcPr>
          <w:p>
            <w:r>
              <w:rPr>
                <w:sz w:val="16"/>
              </w:rPr>
              <w:t>FR-001</w:t>
            </w:r>
          </w:p>
        </w:tc>
        <w:tc>
          <w:tcPr>
            <w:tcW w:type="dxa" w:w="8640"/>
            <w:tcMar>
              <w:top w:w="100" w:type="dxa"/>
              <w:start w:w="120" w:type="dxa"/>
              <w:bottom w:w="100" w:type="dxa"/>
              <w:end w:w="120" w:type="dxa"/>
            </w:tcMar>
            <w:vAlign w:val="center"/>
          </w:tcPr>
          <w:p>
            <w:r>
              <w:rPr>
                <w:sz w:val="16"/>
              </w:rPr>
              <w:t>Customer can start a financing journey through WhatsApp or web.</w:t>
            </w:r>
          </w:p>
        </w:tc>
      </w:tr>
      <w:tr>
        <w:tc>
          <w:tcPr>
            <w:tcW w:type="dxa" w:w="1152"/>
            <w:shd w:fill="F7F9FB"/>
            <w:tcMar>
              <w:top w:w="100" w:type="dxa"/>
              <w:start w:w="120" w:type="dxa"/>
              <w:bottom w:w="100" w:type="dxa"/>
              <w:end w:w="120" w:type="dxa"/>
            </w:tcMar>
            <w:vAlign w:val="center"/>
          </w:tcPr>
          <w:p>
            <w:r>
              <w:rPr>
                <w:sz w:val="16"/>
              </w:rPr>
              <w:t>FR-002</w:t>
            </w:r>
          </w:p>
        </w:tc>
        <w:tc>
          <w:tcPr>
            <w:tcW w:type="dxa" w:w="8640"/>
            <w:shd w:fill="F7F9FB"/>
            <w:tcMar>
              <w:top w:w="100" w:type="dxa"/>
              <w:start w:w="120" w:type="dxa"/>
              <w:bottom w:w="100" w:type="dxa"/>
              <w:end w:w="120" w:type="dxa"/>
            </w:tcMar>
            <w:vAlign w:val="center"/>
          </w:tcPr>
          <w:p>
            <w:r>
              <w:rPr>
                <w:sz w:val="16"/>
              </w:rPr>
              <w:t>System captures and structures natural-language financial intent.</w:t>
            </w:r>
          </w:p>
        </w:tc>
      </w:tr>
      <w:tr>
        <w:tc>
          <w:tcPr>
            <w:tcW w:type="dxa" w:w="1152"/>
            <w:tcMar>
              <w:top w:w="100" w:type="dxa"/>
              <w:start w:w="120" w:type="dxa"/>
              <w:bottom w:w="100" w:type="dxa"/>
              <w:end w:w="120" w:type="dxa"/>
            </w:tcMar>
            <w:vAlign w:val="center"/>
          </w:tcPr>
          <w:p>
            <w:r>
              <w:rPr>
                <w:sz w:val="16"/>
              </w:rPr>
              <w:t>FR-003</w:t>
            </w:r>
          </w:p>
        </w:tc>
        <w:tc>
          <w:tcPr>
            <w:tcW w:type="dxa" w:w="8640"/>
            <w:tcMar>
              <w:top w:w="100" w:type="dxa"/>
              <w:start w:w="120" w:type="dxa"/>
              <w:bottom w:w="100" w:type="dxa"/>
              <w:end w:w="120" w:type="dxa"/>
            </w:tcMar>
            <w:vAlign w:val="center"/>
          </w:tcPr>
          <w:p>
            <w:r>
              <w:rPr>
                <w:sz w:val="16"/>
              </w:rPr>
              <w:t>System verifies a customer's phone using OTP.</w:t>
            </w:r>
          </w:p>
        </w:tc>
      </w:tr>
      <w:tr>
        <w:tc>
          <w:tcPr>
            <w:tcW w:type="dxa" w:w="1152"/>
            <w:shd w:fill="F7F9FB"/>
            <w:tcMar>
              <w:top w:w="100" w:type="dxa"/>
              <w:start w:w="120" w:type="dxa"/>
              <w:bottom w:w="100" w:type="dxa"/>
              <w:end w:w="120" w:type="dxa"/>
            </w:tcMar>
            <w:vAlign w:val="center"/>
          </w:tcPr>
          <w:p>
            <w:r>
              <w:rPr>
                <w:sz w:val="16"/>
              </w:rPr>
              <w:t>FR-004</w:t>
            </w:r>
          </w:p>
        </w:tc>
        <w:tc>
          <w:tcPr>
            <w:tcW w:type="dxa" w:w="8640"/>
            <w:shd w:fill="F7F9FB"/>
            <w:tcMar>
              <w:top w:w="100" w:type="dxa"/>
              <w:start w:w="120" w:type="dxa"/>
              <w:bottom w:w="100" w:type="dxa"/>
              <w:end w:w="120" w:type="dxa"/>
            </w:tcMar>
            <w:vAlign w:val="center"/>
          </w:tcPr>
          <w:p>
            <w:r>
              <w:rPr>
                <w:sz w:val="16"/>
              </w:rPr>
              <w:t>System captures identity/profile information and documents as configured.</w:t>
            </w:r>
          </w:p>
        </w:tc>
      </w:tr>
      <w:tr>
        <w:tc>
          <w:tcPr>
            <w:tcW w:type="dxa" w:w="1152"/>
            <w:tcMar>
              <w:top w:w="100" w:type="dxa"/>
              <w:start w:w="120" w:type="dxa"/>
              <w:bottom w:w="100" w:type="dxa"/>
              <w:end w:w="120" w:type="dxa"/>
            </w:tcMar>
            <w:vAlign w:val="center"/>
          </w:tcPr>
          <w:p>
            <w:r>
              <w:rPr>
                <w:sz w:val="16"/>
              </w:rPr>
              <w:t>FR-005</w:t>
            </w:r>
          </w:p>
        </w:tc>
        <w:tc>
          <w:tcPr>
            <w:tcW w:type="dxa" w:w="8640"/>
            <w:tcMar>
              <w:top w:w="100" w:type="dxa"/>
              <w:start w:w="120" w:type="dxa"/>
              <w:bottom w:w="100" w:type="dxa"/>
              <w:end w:w="120" w:type="dxa"/>
            </w:tcMar>
            <w:vAlign w:val="center"/>
          </w:tcPr>
          <w:p>
            <w:r>
              <w:rPr>
                <w:sz w:val="16"/>
              </w:rPr>
              <w:t>System supports dynamic question paths by customer/need type.</w:t>
            </w:r>
          </w:p>
        </w:tc>
      </w:tr>
      <w:tr>
        <w:tc>
          <w:tcPr>
            <w:tcW w:type="dxa" w:w="1152"/>
            <w:shd w:fill="F7F9FB"/>
            <w:tcMar>
              <w:top w:w="100" w:type="dxa"/>
              <w:start w:w="120" w:type="dxa"/>
              <w:bottom w:w="100" w:type="dxa"/>
              <w:end w:w="120" w:type="dxa"/>
            </w:tcMar>
            <w:vAlign w:val="center"/>
          </w:tcPr>
          <w:p>
            <w:r>
              <w:rPr>
                <w:sz w:val="16"/>
              </w:rPr>
              <w:t>FR-006</w:t>
            </w:r>
          </w:p>
        </w:tc>
        <w:tc>
          <w:tcPr>
            <w:tcW w:type="dxa" w:w="8640"/>
            <w:shd w:fill="F7F9FB"/>
            <w:tcMar>
              <w:top w:w="100" w:type="dxa"/>
              <w:start w:w="120" w:type="dxa"/>
              <w:bottom w:w="100" w:type="dxa"/>
              <w:end w:w="120" w:type="dxa"/>
            </w:tcMar>
            <w:vAlign w:val="center"/>
          </w:tcPr>
          <w:p>
            <w:r>
              <w:rPr>
                <w:sz w:val="16"/>
              </w:rPr>
              <w:t>System records explicit institution-specific customer consent.</w:t>
            </w:r>
          </w:p>
        </w:tc>
      </w:tr>
      <w:tr>
        <w:tc>
          <w:tcPr>
            <w:tcW w:type="dxa" w:w="1152"/>
            <w:tcMar>
              <w:top w:w="100" w:type="dxa"/>
              <w:start w:w="120" w:type="dxa"/>
              <w:bottom w:w="100" w:type="dxa"/>
              <w:end w:w="120" w:type="dxa"/>
            </w:tcMar>
            <w:vAlign w:val="center"/>
          </w:tcPr>
          <w:p>
            <w:r>
              <w:rPr>
                <w:sz w:val="16"/>
              </w:rPr>
              <w:t>FR-007</w:t>
            </w:r>
          </w:p>
        </w:tc>
        <w:tc>
          <w:tcPr>
            <w:tcW w:type="dxa" w:w="8640"/>
            <w:tcMar>
              <w:top w:w="100" w:type="dxa"/>
              <w:start w:w="120" w:type="dxa"/>
              <w:bottom w:w="100" w:type="dxa"/>
              <w:end w:w="120" w:type="dxa"/>
            </w:tcMar>
            <w:vAlign w:val="center"/>
          </w:tcPr>
          <w:p>
            <w:r>
              <w:rPr>
                <w:sz w:val="16"/>
              </w:rPr>
              <w:t>System calculates Quality and institution-specific Match Scores.</w:t>
            </w:r>
          </w:p>
        </w:tc>
      </w:tr>
      <w:tr>
        <w:tc>
          <w:tcPr>
            <w:tcW w:type="dxa" w:w="1152"/>
            <w:shd w:fill="F7F9FB"/>
            <w:tcMar>
              <w:top w:w="100" w:type="dxa"/>
              <w:start w:w="120" w:type="dxa"/>
              <w:bottom w:w="100" w:type="dxa"/>
              <w:end w:w="120" w:type="dxa"/>
            </w:tcMar>
            <w:vAlign w:val="center"/>
          </w:tcPr>
          <w:p>
            <w:r>
              <w:rPr>
                <w:sz w:val="16"/>
              </w:rPr>
              <w:t>FR-008</w:t>
            </w:r>
          </w:p>
        </w:tc>
        <w:tc>
          <w:tcPr>
            <w:tcW w:type="dxa" w:w="8640"/>
            <w:shd w:fill="F7F9FB"/>
            <w:tcMar>
              <w:top w:w="100" w:type="dxa"/>
              <w:start w:w="120" w:type="dxa"/>
              <w:bottom w:w="100" w:type="dxa"/>
              <w:end w:w="120" w:type="dxa"/>
            </w:tcMar>
            <w:vAlign w:val="center"/>
          </w:tcPr>
          <w:p>
            <w:r>
              <w:rPr>
                <w:sz w:val="16"/>
              </w:rPr>
              <w:t>System provides explainable match reasons.</w:t>
            </w:r>
          </w:p>
        </w:tc>
      </w:tr>
      <w:tr>
        <w:tc>
          <w:tcPr>
            <w:tcW w:type="dxa" w:w="1152"/>
            <w:tcMar>
              <w:top w:w="100" w:type="dxa"/>
              <w:start w:w="120" w:type="dxa"/>
              <w:bottom w:w="100" w:type="dxa"/>
              <w:end w:w="120" w:type="dxa"/>
            </w:tcMar>
            <w:vAlign w:val="center"/>
          </w:tcPr>
          <w:p>
            <w:r>
              <w:rPr>
                <w:sz w:val="16"/>
              </w:rPr>
              <w:t>FR-009</w:t>
            </w:r>
          </w:p>
        </w:tc>
        <w:tc>
          <w:tcPr>
            <w:tcW w:type="dxa" w:w="8640"/>
            <w:tcMar>
              <w:top w:w="100" w:type="dxa"/>
              <w:start w:w="120" w:type="dxa"/>
              <w:bottom w:w="100" w:type="dxa"/>
              <w:end w:w="120" w:type="dxa"/>
            </w:tcMar>
            <w:vAlign w:val="center"/>
          </w:tcPr>
          <w:p>
            <w:r>
              <w:rPr>
                <w:sz w:val="16"/>
              </w:rPr>
              <w:t>System presents suitable institutions/products to the customer.</w:t>
            </w:r>
          </w:p>
        </w:tc>
      </w:tr>
      <w:tr>
        <w:tc>
          <w:tcPr>
            <w:tcW w:type="dxa" w:w="1152"/>
            <w:shd w:fill="F7F9FB"/>
            <w:tcMar>
              <w:top w:w="100" w:type="dxa"/>
              <w:start w:w="120" w:type="dxa"/>
              <w:bottom w:w="100" w:type="dxa"/>
              <w:end w:w="120" w:type="dxa"/>
            </w:tcMar>
            <w:vAlign w:val="center"/>
          </w:tcPr>
          <w:p>
            <w:r>
              <w:rPr>
                <w:sz w:val="16"/>
              </w:rPr>
              <w:t>FR-010</w:t>
            </w:r>
          </w:p>
        </w:tc>
        <w:tc>
          <w:tcPr>
            <w:tcW w:type="dxa" w:w="8640"/>
            <w:shd w:fill="F7F9FB"/>
            <w:tcMar>
              <w:top w:w="100" w:type="dxa"/>
              <w:start w:w="120" w:type="dxa"/>
              <w:bottom w:w="100" w:type="dxa"/>
              <w:end w:w="120" w:type="dxa"/>
            </w:tcMar>
            <w:vAlign w:val="center"/>
          </w:tcPr>
          <w:p>
            <w:r>
              <w:rPr>
                <w:sz w:val="16"/>
              </w:rPr>
              <w:t>Customer can select an institution for routing.</w:t>
            </w:r>
          </w:p>
        </w:tc>
      </w:tr>
      <w:tr>
        <w:tc>
          <w:tcPr>
            <w:tcW w:type="dxa" w:w="1152"/>
            <w:tcMar>
              <w:top w:w="100" w:type="dxa"/>
              <w:start w:w="120" w:type="dxa"/>
              <w:bottom w:w="100" w:type="dxa"/>
              <w:end w:w="120" w:type="dxa"/>
            </w:tcMar>
            <w:vAlign w:val="center"/>
          </w:tcPr>
          <w:p>
            <w:r>
              <w:rPr>
                <w:sz w:val="16"/>
              </w:rPr>
              <w:t>FR-011</w:t>
            </w:r>
          </w:p>
        </w:tc>
        <w:tc>
          <w:tcPr>
            <w:tcW w:type="dxa" w:w="8640"/>
            <w:tcMar>
              <w:top w:w="100" w:type="dxa"/>
              <w:start w:w="120" w:type="dxa"/>
              <w:bottom w:w="100" w:type="dxa"/>
              <w:end w:w="120" w:type="dxa"/>
            </w:tcMar>
            <w:vAlign w:val="center"/>
          </w:tcPr>
          <w:p>
            <w:r>
              <w:rPr>
                <w:sz w:val="16"/>
              </w:rPr>
              <w:t>System creates a Qualified Opportunity and routes it to the institution workspace.</w:t>
            </w:r>
          </w:p>
        </w:tc>
      </w:tr>
      <w:tr>
        <w:tc>
          <w:tcPr>
            <w:tcW w:type="dxa" w:w="1152"/>
            <w:shd w:fill="F7F9FB"/>
            <w:tcMar>
              <w:top w:w="100" w:type="dxa"/>
              <w:start w:w="120" w:type="dxa"/>
              <w:bottom w:w="100" w:type="dxa"/>
              <w:end w:w="120" w:type="dxa"/>
            </w:tcMar>
            <w:vAlign w:val="center"/>
          </w:tcPr>
          <w:p>
            <w:r>
              <w:rPr>
                <w:sz w:val="16"/>
              </w:rPr>
              <w:t>FR-012</w:t>
            </w:r>
          </w:p>
        </w:tc>
        <w:tc>
          <w:tcPr>
            <w:tcW w:type="dxa" w:w="8640"/>
            <w:shd w:fill="F7F9FB"/>
            <w:tcMar>
              <w:top w:w="100" w:type="dxa"/>
              <w:start w:w="120" w:type="dxa"/>
              <w:bottom w:w="100" w:type="dxa"/>
              <w:end w:w="120" w:type="dxa"/>
            </w:tcMar>
            <w:vAlign w:val="center"/>
          </w:tcPr>
          <w:p>
            <w:r>
              <w:rPr>
                <w:sz w:val="16"/>
              </w:rPr>
              <w:t>Institution can apply and be verified without core-system integration.</w:t>
            </w:r>
          </w:p>
        </w:tc>
      </w:tr>
      <w:tr>
        <w:tc>
          <w:tcPr>
            <w:tcW w:type="dxa" w:w="1152"/>
            <w:tcMar>
              <w:top w:w="100" w:type="dxa"/>
              <w:start w:w="120" w:type="dxa"/>
              <w:bottom w:w="100" w:type="dxa"/>
              <w:end w:w="120" w:type="dxa"/>
            </w:tcMar>
            <w:vAlign w:val="center"/>
          </w:tcPr>
          <w:p>
            <w:r>
              <w:rPr>
                <w:sz w:val="16"/>
              </w:rPr>
              <w:t>FR-013</w:t>
            </w:r>
          </w:p>
        </w:tc>
        <w:tc>
          <w:tcPr>
            <w:tcW w:type="dxa" w:w="8640"/>
            <w:tcMar>
              <w:top w:w="100" w:type="dxa"/>
              <w:start w:w="120" w:type="dxa"/>
              <w:bottom w:w="100" w:type="dxa"/>
              <w:end w:w="120" w:type="dxa"/>
            </w:tcMar>
            <w:vAlign w:val="center"/>
          </w:tcPr>
          <w:p>
            <w:r>
              <w:rPr>
                <w:sz w:val="16"/>
              </w:rPr>
              <w:t>Institution can create users and role-based permissions.</w:t>
            </w:r>
          </w:p>
        </w:tc>
      </w:tr>
      <w:tr>
        <w:tc>
          <w:tcPr>
            <w:tcW w:type="dxa" w:w="1152"/>
            <w:shd w:fill="F7F9FB"/>
            <w:tcMar>
              <w:top w:w="100" w:type="dxa"/>
              <w:start w:w="120" w:type="dxa"/>
              <w:bottom w:w="100" w:type="dxa"/>
              <w:end w:w="120" w:type="dxa"/>
            </w:tcMar>
            <w:vAlign w:val="center"/>
          </w:tcPr>
          <w:p>
            <w:r>
              <w:rPr>
                <w:sz w:val="16"/>
              </w:rPr>
              <w:t>FR-014</w:t>
            </w:r>
          </w:p>
        </w:tc>
        <w:tc>
          <w:tcPr>
            <w:tcW w:type="dxa" w:w="8640"/>
            <w:shd w:fill="F7F9FB"/>
            <w:tcMar>
              <w:top w:w="100" w:type="dxa"/>
              <w:start w:w="120" w:type="dxa"/>
              <w:bottom w:w="100" w:type="dxa"/>
              <w:end w:w="120" w:type="dxa"/>
            </w:tcMar>
            <w:vAlign w:val="center"/>
          </w:tcPr>
          <w:p>
            <w:r>
              <w:rPr>
                <w:sz w:val="16"/>
              </w:rPr>
              <w:t>Institution can configure products.</w:t>
            </w:r>
          </w:p>
        </w:tc>
      </w:tr>
      <w:tr>
        <w:tc>
          <w:tcPr>
            <w:tcW w:type="dxa" w:w="1152"/>
            <w:tcMar>
              <w:top w:w="100" w:type="dxa"/>
              <w:start w:w="120" w:type="dxa"/>
              <w:bottom w:w="100" w:type="dxa"/>
              <w:end w:w="120" w:type="dxa"/>
            </w:tcMar>
            <w:vAlign w:val="center"/>
          </w:tcPr>
          <w:p>
            <w:r>
              <w:rPr>
                <w:sz w:val="16"/>
              </w:rPr>
              <w:t>FR-015</w:t>
            </w:r>
          </w:p>
        </w:tc>
        <w:tc>
          <w:tcPr>
            <w:tcW w:type="dxa" w:w="8640"/>
            <w:tcMar>
              <w:top w:w="100" w:type="dxa"/>
              <w:start w:w="120" w:type="dxa"/>
              <w:bottom w:w="100" w:type="dxa"/>
              <w:end w:w="120" w:type="dxa"/>
            </w:tcMar>
            <w:vAlign w:val="center"/>
          </w:tcPr>
          <w:p>
            <w:r>
              <w:rPr>
                <w:sz w:val="16"/>
              </w:rPr>
              <w:t>Institution can configure appetite and capital mandates.</w:t>
            </w:r>
          </w:p>
        </w:tc>
      </w:tr>
      <w:tr>
        <w:tc>
          <w:tcPr>
            <w:tcW w:type="dxa" w:w="1152"/>
            <w:shd w:fill="F7F9FB"/>
            <w:tcMar>
              <w:top w:w="100" w:type="dxa"/>
              <w:start w:w="120" w:type="dxa"/>
              <w:bottom w:w="100" w:type="dxa"/>
              <w:end w:w="120" w:type="dxa"/>
            </w:tcMar>
            <w:vAlign w:val="center"/>
          </w:tcPr>
          <w:p>
            <w:r>
              <w:rPr>
                <w:sz w:val="16"/>
              </w:rPr>
              <w:t>FR-016</w:t>
            </w:r>
          </w:p>
        </w:tc>
        <w:tc>
          <w:tcPr>
            <w:tcW w:type="dxa" w:w="8640"/>
            <w:shd w:fill="F7F9FB"/>
            <w:tcMar>
              <w:top w:w="100" w:type="dxa"/>
              <w:start w:w="120" w:type="dxa"/>
              <w:bottom w:w="100" w:type="dxa"/>
              <w:end w:w="120" w:type="dxa"/>
            </w:tcMar>
            <w:vAlign w:val="center"/>
          </w:tcPr>
          <w:p>
            <w:r>
              <w:rPr>
                <w:sz w:val="16"/>
              </w:rPr>
              <w:t>Institution can simulate appetite against available WEZA demand.</w:t>
            </w:r>
          </w:p>
        </w:tc>
      </w:tr>
      <w:tr>
        <w:tc>
          <w:tcPr>
            <w:tcW w:type="dxa" w:w="1152"/>
            <w:tcMar>
              <w:top w:w="100" w:type="dxa"/>
              <w:start w:w="120" w:type="dxa"/>
              <w:bottom w:w="100" w:type="dxa"/>
              <w:end w:w="120" w:type="dxa"/>
            </w:tcMar>
            <w:vAlign w:val="center"/>
          </w:tcPr>
          <w:p>
            <w:r>
              <w:rPr>
                <w:sz w:val="16"/>
              </w:rPr>
              <w:t>FR-017</w:t>
            </w:r>
          </w:p>
        </w:tc>
        <w:tc>
          <w:tcPr>
            <w:tcW w:type="dxa" w:w="8640"/>
            <w:tcMar>
              <w:top w:w="100" w:type="dxa"/>
              <w:start w:w="120" w:type="dxa"/>
              <w:bottom w:w="100" w:type="dxa"/>
              <w:end w:w="120" w:type="dxa"/>
            </w:tcMar>
            <w:vAlign w:val="center"/>
          </w:tcPr>
          <w:p>
            <w:r>
              <w:rPr>
                <w:sz w:val="16"/>
              </w:rPr>
              <w:t>Institution can configure team routing and service targets.</w:t>
            </w:r>
          </w:p>
        </w:tc>
      </w:tr>
      <w:tr>
        <w:tc>
          <w:tcPr>
            <w:tcW w:type="dxa" w:w="1152"/>
            <w:shd w:fill="F7F9FB"/>
            <w:tcMar>
              <w:top w:w="100" w:type="dxa"/>
              <w:start w:w="120" w:type="dxa"/>
              <w:bottom w:w="100" w:type="dxa"/>
              <w:end w:w="120" w:type="dxa"/>
            </w:tcMar>
            <w:vAlign w:val="center"/>
          </w:tcPr>
          <w:p>
            <w:r>
              <w:rPr>
                <w:sz w:val="16"/>
              </w:rPr>
              <w:t>FR-018</w:t>
            </w:r>
          </w:p>
        </w:tc>
        <w:tc>
          <w:tcPr>
            <w:tcW w:type="dxa" w:w="8640"/>
            <w:shd w:fill="F7F9FB"/>
            <w:tcMar>
              <w:top w:w="100" w:type="dxa"/>
              <w:start w:w="120" w:type="dxa"/>
              <w:bottom w:w="100" w:type="dxa"/>
              <w:end w:w="120" w:type="dxa"/>
            </w:tcMar>
            <w:vAlign w:val="center"/>
          </w:tcPr>
          <w:p>
            <w:r>
              <w:rPr>
                <w:sz w:val="16"/>
              </w:rPr>
              <w:t>Institution can configure notification channels/preferences.</w:t>
            </w:r>
          </w:p>
        </w:tc>
      </w:tr>
      <w:tr>
        <w:tc>
          <w:tcPr>
            <w:tcW w:type="dxa" w:w="1152"/>
            <w:tcMar>
              <w:top w:w="100" w:type="dxa"/>
              <w:start w:w="120" w:type="dxa"/>
              <w:bottom w:w="100" w:type="dxa"/>
              <w:end w:w="120" w:type="dxa"/>
            </w:tcMar>
            <w:vAlign w:val="center"/>
          </w:tcPr>
          <w:p>
            <w:r>
              <w:rPr>
                <w:sz w:val="16"/>
              </w:rPr>
              <w:t>FR-019</w:t>
            </w:r>
          </w:p>
        </w:tc>
        <w:tc>
          <w:tcPr>
            <w:tcW w:type="dxa" w:w="8640"/>
            <w:tcMar>
              <w:top w:w="100" w:type="dxa"/>
              <w:start w:w="120" w:type="dxa"/>
              <w:bottom w:w="100" w:type="dxa"/>
              <w:end w:w="120" w:type="dxa"/>
            </w:tcMar>
            <w:vAlign w:val="center"/>
          </w:tcPr>
          <w:p>
            <w:r>
              <w:rPr>
                <w:sz w:val="16"/>
              </w:rPr>
              <w:t>Institution can activate, pause and resume approved products/mandates.</w:t>
            </w:r>
          </w:p>
        </w:tc>
      </w:tr>
      <w:tr>
        <w:tc>
          <w:tcPr>
            <w:tcW w:type="dxa" w:w="1152"/>
            <w:shd w:fill="F7F9FB"/>
            <w:tcMar>
              <w:top w:w="100" w:type="dxa"/>
              <w:start w:w="120" w:type="dxa"/>
              <w:bottom w:w="100" w:type="dxa"/>
              <w:end w:w="120" w:type="dxa"/>
            </w:tcMar>
            <w:vAlign w:val="center"/>
          </w:tcPr>
          <w:p>
            <w:r>
              <w:rPr>
                <w:sz w:val="16"/>
              </w:rPr>
              <w:t>FR-020</w:t>
            </w:r>
          </w:p>
        </w:tc>
        <w:tc>
          <w:tcPr>
            <w:tcW w:type="dxa" w:w="8640"/>
            <w:shd w:fill="F7F9FB"/>
            <w:tcMar>
              <w:top w:w="100" w:type="dxa"/>
              <w:start w:w="120" w:type="dxa"/>
              <w:bottom w:w="100" w:type="dxa"/>
              <w:end w:w="120" w:type="dxa"/>
            </w:tcMar>
            <w:vAlign w:val="center"/>
          </w:tcPr>
          <w:p>
            <w:r>
              <w:rPr>
                <w:sz w:val="16"/>
              </w:rPr>
              <w:t>Institution receives an intelligent opportunity feed.</w:t>
            </w:r>
          </w:p>
        </w:tc>
      </w:tr>
      <w:tr>
        <w:tc>
          <w:tcPr>
            <w:tcW w:type="dxa" w:w="1152"/>
            <w:tcMar>
              <w:top w:w="100" w:type="dxa"/>
              <w:start w:w="120" w:type="dxa"/>
              <w:bottom w:w="100" w:type="dxa"/>
              <w:end w:w="120" w:type="dxa"/>
            </w:tcMar>
            <w:vAlign w:val="center"/>
          </w:tcPr>
          <w:p>
            <w:r>
              <w:rPr>
                <w:sz w:val="16"/>
              </w:rPr>
              <w:t>FR-021</w:t>
            </w:r>
          </w:p>
        </w:tc>
        <w:tc>
          <w:tcPr>
            <w:tcW w:type="dxa" w:w="8640"/>
            <w:tcMar>
              <w:top w:w="100" w:type="dxa"/>
              <w:start w:w="120" w:type="dxa"/>
              <w:bottom w:w="100" w:type="dxa"/>
              <w:end w:w="120" w:type="dxa"/>
            </w:tcMar>
            <w:vAlign w:val="center"/>
          </w:tcPr>
          <w:p>
            <w:r>
              <w:rPr>
                <w:sz w:val="16"/>
              </w:rPr>
              <w:t>Institution can view authorised customer opportunity details.</w:t>
            </w:r>
          </w:p>
        </w:tc>
      </w:tr>
      <w:tr>
        <w:tc>
          <w:tcPr>
            <w:tcW w:type="dxa" w:w="1152"/>
            <w:shd w:fill="F7F9FB"/>
            <w:tcMar>
              <w:top w:w="100" w:type="dxa"/>
              <w:start w:w="120" w:type="dxa"/>
              <w:bottom w:w="100" w:type="dxa"/>
              <w:end w:w="120" w:type="dxa"/>
            </w:tcMar>
            <w:vAlign w:val="center"/>
          </w:tcPr>
          <w:p>
            <w:r>
              <w:rPr>
                <w:sz w:val="16"/>
              </w:rPr>
              <w:t>FR-022</w:t>
            </w:r>
          </w:p>
        </w:tc>
        <w:tc>
          <w:tcPr>
            <w:tcW w:type="dxa" w:w="8640"/>
            <w:shd w:fill="F7F9FB"/>
            <w:tcMar>
              <w:top w:w="100" w:type="dxa"/>
              <w:start w:w="120" w:type="dxa"/>
              <w:bottom w:w="100" w:type="dxa"/>
              <w:end w:w="120" w:type="dxa"/>
            </w:tcMar>
            <w:vAlign w:val="center"/>
          </w:tcPr>
          <w:p>
            <w:r>
              <w:rPr>
                <w:sz w:val="16"/>
              </w:rPr>
              <w:t>Institution can assign/reassign opportunities.</w:t>
            </w:r>
          </w:p>
        </w:tc>
      </w:tr>
      <w:tr>
        <w:tc>
          <w:tcPr>
            <w:tcW w:type="dxa" w:w="1152"/>
            <w:tcMar>
              <w:top w:w="100" w:type="dxa"/>
              <w:start w:w="120" w:type="dxa"/>
              <w:bottom w:w="100" w:type="dxa"/>
              <w:end w:w="120" w:type="dxa"/>
            </w:tcMar>
            <w:vAlign w:val="center"/>
          </w:tcPr>
          <w:p>
            <w:r>
              <w:rPr>
                <w:sz w:val="16"/>
              </w:rPr>
              <w:t>FR-023</w:t>
            </w:r>
          </w:p>
        </w:tc>
        <w:tc>
          <w:tcPr>
            <w:tcW w:type="dxa" w:w="8640"/>
            <w:tcMar>
              <w:top w:w="100" w:type="dxa"/>
              <w:start w:w="120" w:type="dxa"/>
              <w:bottom w:w="100" w:type="dxa"/>
              <w:end w:w="120" w:type="dxa"/>
            </w:tcMar>
            <w:vAlign w:val="center"/>
          </w:tcPr>
          <w:p>
            <w:r>
              <w:rPr>
                <w:sz w:val="16"/>
              </w:rPr>
              <w:t>Institution can record lightweight marketplace statuses/outcomes.</w:t>
            </w:r>
          </w:p>
        </w:tc>
      </w:tr>
      <w:tr>
        <w:tc>
          <w:tcPr>
            <w:tcW w:type="dxa" w:w="1152"/>
            <w:shd w:fill="F7F9FB"/>
            <w:tcMar>
              <w:top w:w="100" w:type="dxa"/>
              <w:start w:w="120" w:type="dxa"/>
              <w:bottom w:w="100" w:type="dxa"/>
              <w:end w:w="120" w:type="dxa"/>
            </w:tcMar>
            <w:vAlign w:val="center"/>
          </w:tcPr>
          <w:p>
            <w:r>
              <w:rPr>
                <w:sz w:val="16"/>
              </w:rPr>
              <w:t>FR-024</w:t>
            </w:r>
          </w:p>
        </w:tc>
        <w:tc>
          <w:tcPr>
            <w:tcW w:type="dxa" w:w="8640"/>
            <w:shd w:fill="F7F9FB"/>
            <w:tcMar>
              <w:top w:w="100" w:type="dxa"/>
              <w:start w:w="120" w:type="dxa"/>
              <w:bottom w:w="100" w:type="dxa"/>
              <w:end w:w="120" w:type="dxa"/>
            </w:tcMar>
            <w:vAlign w:val="center"/>
          </w:tcPr>
          <w:p>
            <w:r>
              <w:rPr>
                <w:sz w:val="16"/>
              </w:rPr>
              <w:t>System supports manager and executive views.</w:t>
            </w:r>
          </w:p>
        </w:tc>
      </w:tr>
      <w:tr>
        <w:tc>
          <w:tcPr>
            <w:tcW w:type="dxa" w:w="1152"/>
            <w:tcMar>
              <w:top w:w="100" w:type="dxa"/>
              <w:start w:w="120" w:type="dxa"/>
              <w:bottom w:w="100" w:type="dxa"/>
              <w:end w:w="120" w:type="dxa"/>
            </w:tcMar>
            <w:vAlign w:val="center"/>
          </w:tcPr>
          <w:p>
            <w:r>
              <w:rPr>
                <w:sz w:val="16"/>
              </w:rPr>
              <w:t>FR-025</w:t>
            </w:r>
          </w:p>
        </w:tc>
        <w:tc>
          <w:tcPr>
            <w:tcW w:type="dxa" w:w="8640"/>
            <w:tcMar>
              <w:top w:w="100" w:type="dxa"/>
              <w:start w:w="120" w:type="dxa"/>
              <w:bottom w:w="100" w:type="dxa"/>
              <w:end w:w="120" w:type="dxa"/>
            </w:tcMar>
            <w:vAlign w:val="center"/>
          </w:tcPr>
          <w:p>
            <w:r>
              <w:rPr>
                <w:sz w:val="16"/>
              </w:rPr>
              <w:t>System generates no-lead/near-match intelligence.</w:t>
            </w:r>
          </w:p>
        </w:tc>
      </w:tr>
      <w:tr>
        <w:tc>
          <w:tcPr>
            <w:tcW w:type="dxa" w:w="1152"/>
            <w:shd w:fill="F7F9FB"/>
            <w:tcMar>
              <w:top w:w="100" w:type="dxa"/>
              <w:start w:w="120" w:type="dxa"/>
              <w:bottom w:w="100" w:type="dxa"/>
              <w:end w:w="120" w:type="dxa"/>
            </w:tcMar>
            <w:vAlign w:val="center"/>
          </w:tcPr>
          <w:p>
            <w:r>
              <w:rPr>
                <w:sz w:val="16"/>
              </w:rPr>
              <w:t>FR-026</w:t>
            </w:r>
          </w:p>
        </w:tc>
        <w:tc>
          <w:tcPr>
            <w:tcW w:type="dxa" w:w="8640"/>
            <w:shd w:fill="F7F9FB"/>
            <w:tcMar>
              <w:top w:w="100" w:type="dxa"/>
              <w:start w:w="120" w:type="dxa"/>
              <w:bottom w:w="100" w:type="dxa"/>
              <w:end w:w="120" w:type="dxa"/>
            </w:tcMar>
            <w:vAlign w:val="center"/>
          </w:tcPr>
          <w:p>
            <w:r>
              <w:rPr>
                <w:sz w:val="16"/>
              </w:rPr>
              <w:t>System provides demand and product opportunity analytics.</w:t>
            </w:r>
          </w:p>
        </w:tc>
      </w:tr>
      <w:tr>
        <w:tc>
          <w:tcPr>
            <w:tcW w:type="dxa" w:w="1152"/>
            <w:tcMar>
              <w:top w:w="100" w:type="dxa"/>
              <w:start w:w="120" w:type="dxa"/>
              <w:bottom w:w="100" w:type="dxa"/>
              <w:end w:w="120" w:type="dxa"/>
            </w:tcMar>
            <w:vAlign w:val="center"/>
          </w:tcPr>
          <w:p>
            <w:r>
              <w:rPr>
                <w:sz w:val="16"/>
              </w:rPr>
              <w:t>FR-027</w:t>
            </w:r>
          </w:p>
        </w:tc>
        <w:tc>
          <w:tcPr>
            <w:tcW w:type="dxa" w:w="8640"/>
            <w:tcMar>
              <w:top w:w="100" w:type="dxa"/>
              <w:start w:w="120" w:type="dxa"/>
              <w:bottom w:w="100" w:type="dxa"/>
              <w:end w:w="120" w:type="dxa"/>
            </w:tcMar>
            <w:vAlign w:val="center"/>
          </w:tcPr>
          <w:p>
            <w:r>
              <w:rPr>
                <w:sz w:val="16"/>
              </w:rPr>
              <w:t>System supports conversational querying of authorised WEZA data.</w:t>
            </w:r>
          </w:p>
        </w:tc>
      </w:tr>
      <w:tr>
        <w:tc>
          <w:tcPr>
            <w:tcW w:type="dxa" w:w="1152"/>
            <w:shd w:fill="F7F9FB"/>
            <w:tcMar>
              <w:top w:w="100" w:type="dxa"/>
              <w:start w:w="120" w:type="dxa"/>
              <w:bottom w:w="100" w:type="dxa"/>
              <w:end w:w="120" w:type="dxa"/>
            </w:tcMar>
            <w:vAlign w:val="center"/>
          </w:tcPr>
          <w:p>
            <w:r>
              <w:rPr>
                <w:sz w:val="16"/>
              </w:rPr>
              <w:t>FR-028</w:t>
            </w:r>
          </w:p>
        </w:tc>
        <w:tc>
          <w:tcPr>
            <w:tcW w:type="dxa" w:w="8640"/>
            <w:shd w:fill="F7F9FB"/>
            <w:tcMar>
              <w:top w:w="100" w:type="dxa"/>
              <w:start w:w="120" w:type="dxa"/>
              <w:bottom w:w="100" w:type="dxa"/>
              <w:end w:w="120" w:type="dxa"/>
            </w:tcMar>
            <w:vAlign w:val="center"/>
          </w:tcPr>
          <w:p>
            <w:r>
              <w:rPr>
                <w:sz w:val="16"/>
              </w:rPr>
              <w:t>System generates role-aware intelligent notifications and digests.</w:t>
            </w:r>
          </w:p>
        </w:tc>
      </w:tr>
      <w:tr>
        <w:tc>
          <w:tcPr>
            <w:tcW w:type="dxa" w:w="1152"/>
            <w:tcMar>
              <w:top w:w="100" w:type="dxa"/>
              <w:start w:w="120" w:type="dxa"/>
              <w:bottom w:w="100" w:type="dxa"/>
              <w:end w:w="120" w:type="dxa"/>
            </w:tcMar>
            <w:vAlign w:val="center"/>
          </w:tcPr>
          <w:p>
            <w:r>
              <w:rPr>
                <w:sz w:val="16"/>
              </w:rPr>
              <w:t>FR-029</w:t>
            </w:r>
          </w:p>
        </w:tc>
        <w:tc>
          <w:tcPr>
            <w:tcW w:type="dxa" w:w="8640"/>
            <w:tcMar>
              <w:top w:w="100" w:type="dxa"/>
              <w:start w:w="120" w:type="dxa"/>
              <w:bottom w:w="100" w:type="dxa"/>
              <w:end w:w="120" w:type="dxa"/>
            </w:tcMar>
            <w:vAlign w:val="center"/>
          </w:tcPr>
          <w:p>
            <w:r>
              <w:rPr>
                <w:sz w:val="16"/>
              </w:rPr>
              <w:t>System records auditable configuration, consent, access and outcome events.</w:t>
            </w:r>
          </w:p>
        </w:tc>
      </w:tr>
      <w:tr>
        <w:tc>
          <w:tcPr>
            <w:tcW w:type="dxa" w:w="1152"/>
            <w:shd w:fill="F7F9FB"/>
            <w:tcMar>
              <w:top w:w="100" w:type="dxa"/>
              <w:start w:w="120" w:type="dxa"/>
              <w:bottom w:w="100" w:type="dxa"/>
              <w:end w:w="120" w:type="dxa"/>
            </w:tcMar>
            <w:vAlign w:val="center"/>
          </w:tcPr>
          <w:p>
            <w:r>
              <w:rPr>
                <w:sz w:val="16"/>
              </w:rPr>
              <w:t>FR-030</w:t>
            </w:r>
          </w:p>
        </w:tc>
        <w:tc>
          <w:tcPr>
            <w:tcW w:type="dxa" w:w="8640"/>
            <w:shd w:fill="F7F9FB"/>
            <w:tcMar>
              <w:top w:w="100" w:type="dxa"/>
              <w:start w:w="120" w:type="dxa"/>
              <w:bottom w:w="100" w:type="dxa"/>
              <w:end w:w="120" w:type="dxa"/>
            </w:tcMar>
            <w:vAlign w:val="center"/>
          </w:tcPr>
          <w:p>
            <w:r>
              <w:rPr>
                <w:sz w:val="16"/>
              </w:rPr>
              <w:t>System supports opportunity rescue subject to customer consent.</w:t>
            </w:r>
          </w:p>
        </w:tc>
      </w:tr>
      <w:tr>
        <w:tc>
          <w:tcPr>
            <w:tcW w:type="dxa" w:w="1152"/>
            <w:tcMar>
              <w:top w:w="100" w:type="dxa"/>
              <w:start w:w="120" w:type="dxa"/>
              <w:bottom w:w="100" w:type="dxa"/>
              <w:end w:w="120" w:type="dxa"/>
            </w:tcMar>
            <w:vAlign w:val="center"/>
          </w:tcPr>
          <w:p>
            <w:r>
              <w:rPr>
                <w:sz w:val="16"/>
              </w:rPr>
              <w:t>FR-031</w:t>
            </w:r>
          </w:p>
        </w:tc>
        <w:tc>
          <w:tcPr>
            <w:tcW w:type="dxa" w:w="8640"/>
            <w:tcMar>
              <w:top w:w="100" w:type="dxa"/>
              <w:start w:w="120" w:type="dxa"/>
              <w:bottom w:w="100" w:type="dxa"/>
              <w:end w:w="120" w:type="dxa"/>
            </w:tcMar>
            <w:vAlign w:val="center"/>
          </w:tcPr>
          <w:p>
            <w:r>
              <w:rPr>
                <w:sz w:val="16"/>
              </w:rPr>
              <w:t>System supports duplicate detection and opportunity freshness controls.</w:t>
            </w:r>
          </w:p>
        </w:tc>
      </w:tr>
      <w:tr>
        <w:tc>
          <w:tcPr>
            <w:tcW w:type="dxa" w:w="1152"/>
            <w:shd w:fill="F7F9FB"/>
            <w:tcMar>
              <w:top w:w="100" w:type="dxa"/>
              <w:start w:w="120" w:type="dxa"/>
              <w:bottom w:w="100" w:type="dxa"/>
              <w:end w:w="120" w:type="dxa"/>
            </w:tcMar>
            <w:vAlign w:val="center"/>
          </w:tcPr>
          <w:p>
            <w:r>
              <w:rPr>
                <w:sz w:val="16"/>
              </w:rPr>
              <w:t>FR-032</w:t>
            </w:r>
          </w:p>
        </w:tc>
        <w:tc>
          <w:tcPr>
            <w:tcW w:type="dxa" w:w="8640"/>
            <w:shd w:fill="F7F9FB"/>
            <w:tcMar>
              <w:top w:w="100" w:type="dxa"/>
              <w:start w:w="120" w:type="dxa"/>
              <w:bottom w:w="100" w:type="dxa"/>
              <w:end w:w="120" w:type="dxa"/>
            </w:tcMar>
            <w:vAlign w:val="center"/>
          </w:tcPr>
          <w:p>
            <w:r>
              <w:rPr>
                <w:sz w:val="16"/>
              </w:rPr>
              <w:t>System supports platform administration, institution/product suspension and network health controls.</w:t>
            </w:r>
          </w:p>
        </w:tc>
      </w:tr>
    </w:tbl>
    <w:p>
      <w:pPr>
        <w:spacing w:after="40"/>
      </w:pPr>
    </w:p>
    <w:p>
      <w:pPr>
        <w:pStyle w:val="Heading1"/>
      </w:pPr>
      <w:r>
        <w:t>38.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160"/>
            <w:shd w:fill="0B1F3A"/>
            <w:tcMar>
              <w:top w:w="100" w:type="dxa"/>
              <w:start w:w="120" w:type="dxa"/>
              <w:bottom w:w="100" w:type="dxa"/>
              <w:end w:w="120" w:type="dxa"/>
            </w:tcMar>
          </w:tcPr>
          <w:p>
            <w:r>
              <w:rPr>
                <w:b/>
                <w:color w:val="FFFFFF"/>
                <w:sz w:val="17"/>
              </w:rPr>
              <w:t>Area</w:t>
            </w:r>
          </w:p>
        </w:tc>
        <w:tc>
          <w:tcPr>
            <w:tcW w:type="dxa" w:w="7632"/>
            <w:shd w:fill="0B1F3A"/>
            <w:tcMar>
              <w:top w:w="100" w:type="dxa"/>
              <w:start w:w="120" w:type="dxa"/>
              <w:bottom w:w="100" w:type="dxa"/>
              <w:end w:w="120" w:type="dxa"/>
            </w:tcMar>
          </w:tcPr>
          <w:p>
            <w:r>
              <w:rPr>
                <w:b/>
                <w:color w:val="FFFFFF"/>
                <w:sz w:val="17"/>
              </w:rPr>
              <w:t>Requirement</w:t>
            </w:r>
          </w:p>
        </w:tc>
      </w:tr>
      <w:tr>
        <w:tc>
          <w:tcPr>
            <w:tcW w:type="dxa" w:w="2160"/>
            <w:tcMar>
              <w:top w:w="100" w:type="dxa"/>
              <w:start w:w="120" w:type="dxa"/>
              <w:bottom w:w="100" w:type="dxa"/>
              <w:end w:w="120" w:type="dxa"/>
            </w:tcMar>
            <w:vAlign w:val="center"/>
          </w:tcPr>
          <w:p>
            <w:r>
              <w:rPr>
                <w:sz w:val="16"/>
              </w:rPr>
              <w:t>Security</w:t>
            </w:r>
          </w:p>
        </w:tc>
        <w:tc>
          <w:tcPr>
            <w:tcW w:type="dxa" w:w="7632"/>
            <w:tcMar>
              <w:top w:w="100" w:type="dxa"/>
              <w:start w:w="120" w:type="dxa"/>
              <w:bottom w:w="100" w:type="dxa"/>
              <w:end w:w="120" w:type="dxa"/>
            </w:tcMar>
            <w:vAlign w:val="center"/>
          </w:tcPr>
          <w:p>
            <w:r>
              <w:rPr>
                <w:sz w:val="16"/>
              </w:rPr>
              <w:t>Encryption in transit/at rest, strong authentication, role-based access, secure document storage, session controls and audit logging.</w:t>
            </w:r>
          </w:p>
        </w:tc>
      </w:tr>
      <w:tr>
        <w:tc>
          <w:tcPr>
            <w:tcW w:type="dxa" w:w="2160"/>
            <w:shd w:fill="F7F9FB"/>
            <w:tcMar>
              <w:top w:w="100" w:type="dxa"/>
              <w:start w:w="120" w:type="dxa"/>
              <w:bottom w:w="100" w:type="dxa"/>
              <w:end w:w="120" w:type="dxa"/>
            </w:tcMar>
            <w:vAlign w:val="center"/>
          </w:tcPr>
          <w:p>
            <w:r>
              <w:rPr>
                <w:sz w:val="16"/>
              </w:rPr>
              <w:t>Privacy</w:t>
            </w:r>
          </w:p>
        </w:tc>
        <w:tc>
          <w:tcPr>
            <w:tcW w:type="dxa" w:w="7632"/>
            <w:shd w:fill="F7F9FB"/>
            <w:tcMar>
              <w:top w:w="100" w:type="dxa"/>
              <w:start w:w="120" w:type="dxa"/>
              <w:bottom w:w="100" w:type="dxa"/>
              <w:end w:w="120" w:type="dxa"/>
            </w:tcMar>
            <w:vAlign w:val="center"/>
          </w:tcPr>
          <w:p>
            <w:r>
              <w:rPr>
                <w:sz w:val="16"/>
              </w:rPr>
              <w:t>Data minimisation, purpose limitation, explicit consent, controlled disclosure, retention and deletion policies.</w:t>
            </w:r>
          </w:p>
        </w:tc>
      </w:tr>
      <w:tr>
        <w:tc>
          <w:tcPr>
            <w:tcW w:type="dxa" w:w="2160"/>
            <w:tcMar>
              <w:top w:w="100" w:type="dxa"/>
              <w:start w:w="120" w:type="dxa"/>
              <w:bottom w:w="100" w:type="dxa"/>
              <w:end w:w="120" w:type="dxa"/>
            </w:tcMar>
            <w:vAlign w:val="center"/>
          </w:tcPr>
          <w:p>
            <w:r>
              <w:rPr>
                <w:sz w:val="16"/>
              </w:rPr>
              <w:t>Availability</w:t>
            </w:r>
          </w:p>
        </w:tc>
        <w:tc>
          <w:tcPr>
            <w:tcW w:type="dxa" w:w="7632"/>
            <w:tcMar>
              <w:top w:w="100" w:type="dxa"/>
              <w:start w:w="120" w:type="dxa"/>
              <w:bottom w:w="100" w:type="dxa"/>
              <w:end w:w="120" w:type="dxa"/>
            </w:tcMar>
            <w:vAlign w:val="center"/>
          </w:tcPr>
          <w:p>
            <w:r>
              <w:rPr>
                <w:sz w:val="16"/>
              </w:rPr>
              <w:t>Customer-facing services should be designed for high availability and graceful degradation.</w:t>
            </w:r>
          </w:p>
        </w:tc>
      </w:tr>
      <w:tr>
        <w:tc>
          <w:tcPr>
            <w:tcW w:type="dxa" w:w="2160"/>
            <w:shd w:fill="F7F9FB"/>
            <w:tcMar>
              <w:top w:w="100" w:type="dxa"/>
              <w:start w:w="120" w:type="dxa"/>
              <w:bottom w:w="100" w:type="dxa"/>
              <w:end w:w="120" w:type="dxa"/>
            </w:tcMar>
            <w:vAlign w:val="center"/>
          </w:tcPr>
          <w:p>
            <w:r>
              <w:rPr>
                <w:sz w:val="16"/>
              </w:rPr>
              <w:t>Performance</w:t>
            </w:r>
          </w:p>
        </w:tc>
        <w:tc>
          <w:tcPr>
            <w:tcW w:type="dxa" w:w="7632"/>
            <w:shd w:fill="F7F9FB"/>
            <w:tcMar>
              <w:top w:w="100" w:type="dxa"/>
              <w:start w:w="120" w:type="dxa"/>
              <w:bottom w:w="100" w:type="dxa"/>
              <w:end w:w="120" w:type="dxa"/>
            </w:tcMar>
            <w:vAlign w:val="center"/>
          </w:tcPr>
          <w:p>
            <w:r>
              <w:rPr>
                <w:sz w:val="16"/>
              </w:rPr>
              <w:t>Conversational interactions and matching should be responsive enough for a real-time user journey.</w:t>
            </w:r>
          </w:p>
        </w:tc>
      </w:tr>
      <w:tr>
        <w:tc>
          <w:tcPr>
            <w:tcW w:type="dxa" w:w="2160"/>
            <w:tcMar>
              <w:top w:w="100" w:type="dxa"/>
              <w:start w:w="120" w:type="dxa"/>
              <w:bottom w:w="100" w:type="dxa"/>
              <w:end w:w="120" w:type="dxa"/>
            </w:tcMar>
            <w:vAlign w:val="center"/>
          </w:tcPr>
          <w:p>
            <w:r>
              <w:rPr>
                <w:sz w:val="16"/>
              </w:rPr>
              <w:t>Scalability</w:t>
            </w:r>
          </w:p>
        </w:tc>
        <w:tc>
          <w:tcPr>
            <w:tcW w:type="dxa" w:w="7632"/>
            <w:tcMar>
              <w:top w:w="100" w:type="dxa"/>
              <w:start w:w="120" w:type="dxa"/>
              <w:bottom w:w="100" w:type="dxa"/>
              <w:end w:w="120" w:type="dxa"/>
            </w:tcMar>
            <w:vAlign w:val="center"/>
          </w:tcPr>
          <w:p>
            <w:r>
              <w:rPr>
                <w:sz w:val="16"/>
              </w:rPr>
              <w:t>Architecture must support growth across customers, institutions, products, countries and future financial-service categories.</w:t>
            </w:r>
          </w:p>
        </w:tc>
      </w:tr>
      <w:tr>
        <w:tc>
          <w:tcPr>
            <w:tcW w:type="dxa" w:w="2160"/>
            <w:shd w:fill="F7F9FB"/>
            <w:tcMar>
              <w:top w:w="100" w:type="dxa"/>
              <w:start w:w="120" w:type="dxa"/>
              <w:bottom w:w="100" w:type="dxa"/>
              <w:end w:w="120" w:type="dxa"/>
            </w:tcMar>
            <w:vAlign w:val="center"/>
          </w:tcPr>
          <w:p>
            <w:r>
              <w:rPr>
                <w:sz w:val="16"/>
              </w:rPr>
              <w:t>Explainability</w:t>
            </w:r>
          </w:p>
        </w:tc>
        <w:tc>
          <w:tcPr>
            <w:tcW w:type="dxa" w:w="7632"/>
            <w:shd w:fill="F7F9FB"/>
            <w:tcMar>
              <w:top w:w="100" w:type="dxa"/>
              <w:start w:w="120" w:type="dxa"/>
              <w:bottom w:w="100" w:type="dxa"/>
              <w:end w:w="120" w:type="dxa"/>
            </w:tcMar>
            <w:vAlign w:val="center"/>
          </w:tcPr>
          <w:p>
            <w:r>
              <w:rPr>
                <w:sz w:val="16"/>
              </w:rPr>
              <w:t>Material AI matches and recommendations must expose understandable reasons to authorised users.</w:t>
            </w:r>
          </w:p>
        </w:tc>
      </w:tr>
      <w:tr>
        <w:tc>
          <w:tcPr>
            <w:tcW w:type="dxa" w:w="2160"/>
            <w:tcMar>
              <w:top w:w="100" w:type="dxa"/>
              <w:start w:w="120" w:type="dxa"/>
              <w:bottom w:w="100" w:type="dxa"/>
              <w:end w:w="120" w:type="dxa"/>
            </w:tcMar>
            <w:vAlign w:val="center"/>
          </w:tcPr>
          <w:p>
            <w:r>
              <w:rPr>
                <w:sz w:val="16"/>
              </w:rPr>
              <w:t>Observability</w:t>
            </w:r>
          </w:p>
        </w:tc>
        <w:tc>
          <w:tcPr>
            <w:tcW w:type="dxa" w:w="7632"/>
            <w:tcMar>
              <w:top w:w="100" w:type="dxa"/>
              <w:start w:w="120" w:type="dxa"/>
              <w:bottom w:w="100" w:type="dxa"/>
              <w:end w:w="120" w:type="dxa"/>
            </w:tcMar>
            <w:vAlign w:val="center"/>
          </w:tcPr>
          <w:p>
            <w:r>
              <w:rPr>
                <w:sz w:val="16"/>
              </w:rPr>
              <w:t>Operational metrics, error logging, alerting and traceability must support production operations.</w:t>
            </w:r>
          </w:p>
        </w:tc>
      </w:tr>
      <w:tr>
        <w:tc>
          <w:tcPr>
            <w:tcW w:type="dxa" w:w="2160"/>
            <w:shd w:fill="F7F9FB"/>
            <w:tcMar>
              <w:top w:w="100" w:type="dxa"/>
              <w:start w:w="120" w:type="dxa"/>
              <w:bottom w:w="100" w:type="dxa"/>
              <w:end w:w="120" w:type="dxa"/>
            </w:tcMar>
            <w:vAlign w:val="center"/>
          </w:tcPr>
          <w:p>
            <w:r>
              <w:rPr>
                <w:sz w:val="16"/>
              </w:rPr>
              <w:t>Accessibility</w:t>
            </w:r>
          </w:p>
        </w:tc>
        <w:tc>
          <w:tcPr>
            <w:tcW w:type="dxa" w:w="7632"/>
            <w:shd w:fill="F7F9FB"/>
            <w:tcMar>
              <w:top w:w="100" w:type="dxa"/>
              <w:start w:w="120" w:type="dxa"/>
              <w:bottom w:w="100" w:type="dxa"/>
              <w:end w:w="120" w:type="dxa"/>
            </w:tcMar>
            <w:vAlign w:val="center"/>
          </w:tcPr>
          <w:p>
            <w:r>
              <w:rPr>
                <w:sz w:val="16"/>
              </w:rPr>
              <w:t>Web experiences should follow recognised accessibility practices and support low-friction mobile usage.</w:t>
            </w:r>
          </w:p>
        </w:tc>
      </w:tr>
      <w:tr>
        <w:tc>
          <w:tcPr>
            <w:tcW w:type="dxa" w:w="2160"/>
            <w:tcMar>
              <w:top w:w="100" w:type="dxa"/>
              <w:start w:w="120" w:type="dxa"/>
              <w:bottom w:w="100" w:type="dxa"/>
              <w:end w:w="120" w:type="dxa"/>
            </w:tcMar>
            <w:vAlign w:val="center"/>
          </w:tcPr>
          <w:p>
            <w:r>
              <w:rPr>
                <w:sz w:val="16"/>
              </w:rPr>
              <w:t>Configurability</w:t>
            </w:r>
          </w:p>
        </w:tc>
        <w:tc>
          <w:tcPr>
            <w:tcW w:type="dxa" w:w="7632"/>
            <w:tcMar>
              <w:top w:w="100" w:type="dxa"/>
              <w:start w:w="120" w:type="dxa"/>
              <w:bottom w:w="100" w:type="dxa"/>
              <w:end w:w="120" w:type="dxa"/>
            </w:tcMar>
            <w:vAlign w:val="center"/>
          </w:tcPr>
          <w:p>
            <w:r>
              <w:rPr>
                <w:sz w:val="16"/>
              </w:rPr>
              <w:t>Product, appetite, country, notification and workflow rules should be configurable rather than hard-coded.</w:t>
            </w:r>
          </w:p>
        </w:tc>
      </w:tr>
    </w:tbl>
    <w:p>
      <w:pPr>
        <w:spacing w:after="40"/>
      </w:pPr>
    </w:p>
    <w:p>
      <w:pPr>
        <w:pStyle w:val="Heading1"/>
      </w:pPr>
      <w:r>
        <w:t>39. V1 Explicit Non-Requirements</w:t>
      </w:r>
    </w:p>
    <w:p>
      <w:pPr>
        <w:pStyle w:val="ListBullet"/>
        <w:spacing w:after="40"/>
      </w:pPr>
      <w:r>
        <w:t>Core banking integration.</w:t>
      </w:r>
    </w:p>
    <w:p>
      <w:pPr>
        <w:pStyle w:val="ListBullet"/>
        <w:spacing w:after="40"/>
      </w:pPr>
      <w:r>
        <w:t>Institution customer-database integration.</w:t>
      </w:r>
    </w:p>
    <w:p>
      <w:pPr>
        <w:pStyle w:val="ListBullet"/>
        <w:spacing w:after="40"/>
      </w:pPr>
      <w:r>
        <w:t>Institution transaction-data access.</w:t>
      </w:r>
    </w:p>
    <w:p>
      <w:pPr>
        <w:pStyle w:val="ListBullet"/>
        <w:spacing w:after="40"/>
      </w:pPr>
      <w:r>
        <w:t>Automatic institutional credit approval.</w:t>
      </w:r>
    </w:p>
    <w:p>
      <w:pPr>
        <w:pStyle w:val="ListBullet"/>
        <w:spacing w:after="40"/>
      </w:pPr>
      <w:r>
        <w:t>WEZA-held deposits or loan funds.</w:t>
      </w:r>
    </w:p>
    <w:p>
      <w:pPr>
        <w:pStyle w:val="ListBullet"/>
        <w:spacing w:after="40"/>
      </w:pPr>
      <w:r>
        <w:t>WEZA-controlled loan disbursement.</w:t>
      </w:r>
    </w:p>
    <w:p>
      <w:pPr>
        <w:pStyle w:val="ListBullet"/>
        <w:spacing w:after="40"/>
      </w:pPr>
      <w:r>
        <w:t>Replacement of the institution's full CRM or Loan Origination System.</w:t>
      </w:r>
    </w:p>
    <w:p>
      <w:pPr>
        <w:pStyle w:val="ListBullet"/>
        <w:spacing w:after="40"/>
      </w:pPr>
      <w:r>
        <w:t>BNPL, P2P, utilities, airtime, insurance, savings or investment transactions in the initial credit-marketplace release.</w:t>
      </w:r>
    </w:p>
    <w:p>
      <w:pPr>
        <w:pStyle w:val="Heading1"/>
      </w:pPr>
      <w:r>
        <w:t>40. Key Business Rules</w:t>
      </w:r>
    </w:p>
    <w:tbl>
      <w:tblPr>
        <w:tblStyle w:val="TableGrid"/>
        <w:tblW w:type="auto" w:w="0"/>
        <w:jc w:val="center"/>
        <w:tblLook w:firstColumn="1" w:firstRow="1" w:lastColumn="0" w:lastRow="0" w:noHBand="0" w:noVBand="1" w:val="04A0"/>
      </w:tblPr>
      <w:tblGrid>
        <w:gridCol w:w="5040"/>
        <w:gridCol w:w="5040"/>
      </w:tblGrid>
      <w:tr>
        <w:tc>
          <w:tcPr>
            <w:tcW w:type="dxa" w:w="1440"/>
            <w:shd w:fill="0B1F3A"/>
            <w:tcMar>
              <w:top w:w="100" w:type="dxa"/>
              <w:start w:w="120" w:type="dxa"/>
              <w:bottom w:w="100" w:type="dxa"/>
              <w:end w:w="120" w:type="dxa"/>
            </w:tcMar>
          </w:tcPr>
          <w:p>
            <w:r>
              <w:rPr>
                <w:b/>
                <w:color w:val="FFFFFF"/>
                <w:sz w:val="17"/>
              </w:rPr>
              <w:t>Rule</w:t>
            </w:r>
          </w:p>
        </w:tc>
        <w:tc>
          <w:tcPr>
            <w:tcW w:type="dxa" w:w="8352"/>
            <w:shd w:fill="0B1F3A"/>
            <w:tcMar>
              <w:top w:w="100" w:type="dxa"/>
              <w:start w:w="120" w:type="dxa"/>
              <w:bottom w:w="100" w:type="dxa"/>
              <w:end w:w="120" w:type="dxa"/>
            </w:tcMar>
          </w:tcPr>
          <w:p>
            <w:r>
              <w:rPr>
                <w:b/>
                <w:color w:val="FFFFFF"/>
                <w:sz w:val="17"/>
              </w:rPr>
              <w:t>Definition</w:t>
            </w:r>
          </w:p>
        </w:tc>
      </w:tr>
      <w:tr>
        <w:tc>
          <w:tcPr>
            <w:tcW w:type="dxa" w:w="1440"/>
            <w:tcMar>
              <w:top w:w="100" w:type="dxa"/>
              <w:start w:w="120" w:type="dxa"/>
              <w:bottom w:w="100" w:type="dxa"/>
              <w:end w:w="120" w:type="dxa"/>
            </w:tcMar>
            <w:vAlign w:val="center"/>
          </w:tcPr>
          <w:p>
            <w:r>
              <w:rPr>
                <w:sz w:val="16"/>
              </w:rPr>
              <w:t>BR-001</w:t>
            </w:r>
          </w:p>
        </w:tc>
        <w:tc>
          <w:tcPr>
            <w:tcW w:type="dxa" w:w="8352"/>
            <w:tcMar>
              <w:top w:w="100" w:type="dxa"/>
              <w:start w:w="120" w:type="dxa"/>
              <w:bottom w:w="100" w:type="dxa"/>
              <w:end w:w="120" w:type="dxa"/>
            </w:tcMar>
            <w:vAlign w:val="center"/>
          </w:tcPr>
          <w:p>
            <w:r>
              <w:rPr>
                <w:sz w:val="16"/>
              </w:rPr>
              <w:t>No institution receives identifiable customer opportunity data before required consent.</w:t>
            </w:r>
          </w:p>
        </w:tc>
      </w:tr>
      <w:tr>
        <w:tc>
          <w:tcPr>
            <w:tcW w:type="dxa" w:w="1440"/>
            <w:shd w:fill="F7F9FB"/>
            <w:tcMar>
              <w:top w:w="100" w:type="dxa"/>
              <w:start w:w="120" w:type="dxa"/>
              <w:bottom w:w="100" w:type="dxa"/>
              <w:end w:w="120" w:type="dxa"/>
            </w:tcMar>
            <w:vAlign w:val="center"/>
          </w:tcPr>
          <w:p>
            <w:r>
              <w:rPr>
                <w:sz w:val="16"/>
              </w:rPr>
              <w:t>BR-002</w:t>
            </w:r>
          </w:p>
        </w:tc>
        <w:tc>
          <w:tcPr>
            <w:tcW w:type="dxa" w:w="8352"/>
            <w:shd w:fill="F7F9FB"/>
            <w:tcMar>
              <w:top w:w="100" w:type="dxa"/>
              <w:start w:w="120" w:type="dxa"/>
              <w:bottom w:w="100" w:type="dxa"/>
              <w:end w:w="120" w:type="dxa"/>
            </w:tcMar>
            <w:vAlign w:val="center"/>
          </w:tcPr>
          <w:p>
            <w:r>
              <w:rPr>
                <w:sz w:val="16"/>
              </w:rPr>
              <w:t>A Match Score is not represented as a probability of approval.</w:t>
            </w:r>
          </w:p>
        </w:tc>
      </w:tr>
      <w:tr>
        <w:tc>
          <w:tcPr>
            <w:tcW w:type="dxa" w:w="1440"/>
            <w:tcMar>
              <w:top w:w="100" w:type="dxa"/>
              <w:start w:w="120" w:type="dxa"/>
              <w:bottom w:w="100" w:type="dxa"/>
              <w:end w:w="120" w:type="dxa"/>
            </w:tcMar>
            <w:vAlign w:val="center"/>
          </w:tcPr>
          <w:p>
            <w:r>
              <w:rPr>
                <w:sz w:val="16"/>
              </w:rPr>
              <w:t>BR-003</w:t>
            </w:r>
          </w:p>
        </w:tc>
        <w:tc>
          <w:tcPr>
            <w:tcW w:type="dxa" w:w="8352"/>
            <w:tcMar>
              <w:top w:w="100" w:type="dxa"/>
              <w:start w:w="120" w:type="dxa"/>
              <w:bottom w:w="100" w:type="dxa"/>
              <w:end w:w="120" w:type="dxa"/>
            </w:tcMar>
            <w:vAlign w:val="center"/>
          </w:tcPr>
          <w:p>
            <w:r>
              <w:rPr>
                <w:sz w:val="16"/>
              </w:rPr>
              <w:t>Formal KYC and final credit decision remain with the institution.</w:t>
            </w:r>
          </w:p>
        </w:tc>
      </w:tr>
      <w:tr>
        <w:tc>
          <w:tcPr>
            <w:tcW w:type="dxa" w:w="1440"/>
            <w:shd w:fill="F7F9FB"/>
            <w:tcMar>
              <w:top w:w="100" w:type="dxa"/>
              <w:start w:w="120" w:type="dxa"/>
              <w:bottom w:w="100" w:type="dxa"/>
              <w:end w:w="120" w:type="dxa"/>
            </w:tcMar>
            <w:vAlign w:val="center"/>
          </w:tcPr>
          <w:p>
            <w:r>
              <w:rPr>
                <w:sz w:val="16"/>
              </w:rPr>
              <w:t>BR-004</w:t>
            </w:r>
          </w:p>
        </w:tc>
        <w:tc>
          <w:tcPr>
            <w:tcW w:type="dxa" w:w="8352"/>
            <w:shd w:fill="F7F9FB"/>
            <w:tcMar>
              <w:top w:w="100" w:type="dxa"/>
              <w:start w:w="120" w:type="dxa"/>
              <w:bottom w:w="100" w:type="dxa"/>
              <w:end w:w="120" w:type="dxa"/>
            </w:tcMar>
            <w:vAlign w:val="center"/>
          </w:tcPr>
          <w:p>
            <w:r>
              <w:rPr>
                <w:sz w:val="16"/>
              </w:rPr>
              <w:t>WEZA does not automatically alter an institution's product or appetite rules.</w:t>
            </w:r>
          </w:p>
        </w:tc>
      </w:tr>
      <w:tr>
        <w:tc>
          <w:tcPr>
            <w:tcW w:type="dxa" w:w="1440"/>
            <w:tcMar>
              <w:top w:w="100" w:type="dxa"/>
              <w:start w:w="120" w:type="dxa"/>
              <w:bottom w:w="100" w:type="dxa"/>
              <w:end w:w="120" w:type="dxa"/>
            </w:tcMar>
            <w:vAlign w:val="center"/>
          </w:tcPr>
          <w:p>
            <w:r>
              <w:rPr>
                <w:sz w:val="16"/>
              </w:rPr>
              <w:t>BR-005</w:t>
            </w:r>
          </w:p>
        </w:tc>
        <w:tc>
          <w:tcPr>
            <w:tcW w:type="dxa" w:w="8352"/>
            <w:tcMar>
              <w:top w:w="100" w:type="dxa"/>
              <w:start w:w="120" w:type="dxa"/>
              <w:bottom w:w="100" w:type="dxa"/>
              <w:end w:w="120" w:type="dxa"/>
            </w:tcMar>
            <w:vAlign w:val="center"/>
          </w:tcPr>
          <w:p>
            <w:r>
              <w:rPr>
                <w:sz w:val="16"/>
              </w:rPr>
              <w:t>Institution-reported outcomes must be labelled as reported unless independently generated by WEZA.</w:t>
            </w:r>
          </w:p>
        </w:tc>
      </w:tr>
      <w:tr>
        <w:tc>
          <w:tcPr>
            <w:tcW w:type="dxa" w:w="1440"/>
            <w:shd w:fill="F7F9FB"/>
            <w:tcMar>
              <w:top w:w="100" w:type="dxa"/>
              <w:start w:w="120" w:type="dxa"/>
              <w:bottom w:w="100" w:type="dxa"/>
              <w:end w:w="120" w:type="dxa"/>
            </w:tcMar>
            <w:vAlign w:val="center"/>
          </w:tcPr>
          <w:p>
            <w:r>
              <w:rPr>
                <w:sz w:val="16"/>
              </w:rPr>
              <w:t>BR-006</w:t>
            </w:r>
          </w:p>
        </w:tc>
        <w:tc>
          <w:tcPr>
            <w:tcW w:type="dxa" w:w="8352"/>
            <w:shd w:fill="F7F9FB"/>
            <w:tcMar>
              <w:top w:w="100" w:type="dxa"/>
              <w:start w:w="120" w:type="dxa"/>
              <w:bottom w:w="100" w:type="dxa"/>
              <w:end w:w="120" w:type="dxa"/>
            </w:tcMar>
            <w:vAlign w:val="center"/>
          </w:tcPr>
          <w:p>
            <w:r>
              <w:rPr>
                <w:sz w:val="16"/>
              </w:rPr>
              <w:t>Customer data shared with one institution is not automatically reusable by another without applicable consent.</w:t>
            </w:r>
          </w:p>
        </w:tc>
      </w:tr>
      <w:tr>
        <w:tc>
          <w:tcPr>
            <w:tcW w:type="dxa" w:w="1440"/>
            <w:tcMar>
              <w:top w:w="100" w:type="dxa"/>
              <w:start w:w="120" w:type="dxa"/>
              <w:bottom w:w="100" w:type="dxa"/>
              <w:end w:w="120" w:type="dxa"/>
            </w:tcMar>
            <w:vAlign w:val="center"/>
          </w:tcPr>
          <w:p>
            <w:r>
              <w:rPr>
                <w:sz w:val="16"/>
              </w:rPr>
              <w:t>BR-007</w:t>
            </w:r>
          </w:p>
        </w:tc>
        <w:tc>
          <w:tcPr>
            <w:tcW w:type="dxa" w:w="8352"/>
            <w:tcMar>
              <w:top w:w="100" w:type="dxa"/>
              <w:start w:w="120" w:type="dxa"/>
              <w:bottom w:w="100" w:type="dxa"/>
              <w:end w:w="120" w:type="dxa"/>
            </w:tcMar>
            <w:vAlign w:val="center"/>
          </w:tcPr>
          <w:p>
            <w:r>
              <w:rPr>
                <w:sz w:val="16"/>
              </w:rPr>
              <w:t>WEZA must not infer a disbursement destination solely from the customer's WhatsApp/OTP number.</w:t>
            </w:r>
          </w:p>
        </w:tc>
      </w:tr>
      <w:tr>
        <w:tc>
          <w:tcPr>
            <w:tcW w:type="dxa" w:w="1440"/>
            <w:shd w:fill="F7F9FB"/>
            <w:tcMar>
              <w:top w:w="100" w:type="dxa"/>
              <w:start w:w="120" w:type="dxa"/>
              <w:bottom w:w="100" w:type="dxa"/>
              <w:end w:w="120" w:type="dxa"/>
            </w:tcMar>
            <w:vAlign w:val="center"/>
          </w:tcPr>
          <w:p>
            <w:r>
              <w:rPr>
                <w:sz w:val="16"/>
              </w:rPr>
              <w:t>BR-008</w:t>
            </w:r>
          </w:p>
        </w:tc>
        <w:tc>
          <w:tcPr>
            <w:tcW w:type="dxa" w:w="8352"/>
            <w:shd w:fill="F7F9FB"/>
            <w:tcMar>
              <w:top w:w="100" w:type="dxa"/>
              <w:start w:w="120" w:type="dxa"/>
              <w:bottom w:w="100" w:type="dxa"/>
              <w:end w:w="120" w:type="dxa"/>
            </w:tcMar>
            <w:vAlign w:val="center"/>
          </w:tcPr>
          <w:p>
            <w:r>
              <w:rPr>
                <w:sz w:val="16"/>
              </w:rPr>
              <w:t>Paid placement must not be presented as objective suitability.</w:t>
            </w:r>
          </w:p>
        </w:tc>
      </w:tr>
      <w:tr>
        <w:tc>
          <w:tcPr>
            <w:tcW w:type="dxa" w:w="1440"/>
            <w:tcMar>
              <w:top w:w="100" w:type="dxa"/>
              <w:start w:w="120" w:type="dxa"/>
              <w:bottom w:w="100" w:type="dxa"/>
              <w:end w:w="120" w:type="dxa"/>
            </w:tcMar>
            <w:vAlign w:val="center"/>
          </w:tcPr>
          <w:p>
            <w:r>
              <w:rPr>
                <w:sz w:val="16"/>
              </w:rPr>
              <w:t>BR-009</w:t>
            </w:r>
          </w:p>
        </w:tc>
        <w:tc>
          <w:tcPr>
            <w:tcW w:type="dxa" w:w="8352"/>
            <w:tcMar>
              <w:top w:w="100" w:type="dxa"/>
              <w:start w:w="120" w:type="dxa"/>
              <w:bottom w:w="100" w:type="dxa"/>
              <w:end w:w="120" w:type="dxa"/>
            </w:tcMar>
            <w:vAlign w:val="center"/>
          </w:tcPr>
          <w:p>
            <w:r>
              <w:rPr>
                <w:sz w:val="16"/>
              </w:rPr>
              <w:t>A billable Qualified Opportunity must satisfy the commercial definition agreed with the institution.</w:t>
            </w:r>
          </w:p>
        </w:tc>
      </w:tr>
      <w:tr>
        <w:tc>
          <w:tcPr>
            <w:tcW w:type="dxa" w:w="1440"/>
            <w:shd w:fill="F7F9FB"/>
            <w:tcMar>
              <w:top w:w="100" w:type="dxa"/>
              <w:start w:w="120" w:type="dxa"/>
              <w:bottom w:w="100" w:type="dxa"/>
              <w:end w:w="120" w:type="dxa"/>
            </w:tcMar>
            <w:vAlign w:val="center"/>
          </w:tcPr>
          <w:p>
            <w:r>
              <w:rPr>
                <w:sz w:val="16"/>
              </w:rPr>
              <w:t>BR-010</w:t>
            </w:r>
          </w:p>
        </w:tc>
        <w:tc>
          <w:tcPr>
            <w:tcW w:type="dxa" w:w="8352"/>
            <w:shd w:fill="F7F9FB"/>
            <w:tcMar>
              <w:top w:w="100" w:type="dxa"/>
              <w:start w:w="120" w:type="dxa"/>
              <w:bottom w:w="100" w:type="dxa"/>
              <w:end w:w="120" w:type="dxa"/>
            </w:tcMar>
            <w:vAlign w:val="center"/>
          </w:tcPr>
          <w:p>
            <w:r>
              <w:rPr>
                <w:sz w:val="16"/>
              </w:rPr>
              <w:t>No-lead states should surface useful near-match intelligence where available.</w:t>
            </w:r>
          </w:p>
        </w:tc>
      </w:tr>
    </w:tbl>
    <w:p>
      <w:pPr>
        <w:spacing w:after="40"/>
      </w:pPr>
    </w:p>
    <w:p>
      <w:pPr>
        <w:pStyle w:val="Heading1"/>
      </w:pPr>
      <w:r>
        <w:t>41. V1 End-to-End Customer Flow</w:t>
      </w:r>
    </w:p>
    <w:p>
      <w:r>
        <w:t>DISCOVER → START → EXPRESS NEED → INTENT ENGINE → PHONE/OTP → IDENTITY/PROFILE → DYNAMIC QUESTIONS → READINESS/QUALITY → OPPORTUNITY ENGINE → SUITABLE OPTIONS → CUSTOMER SELECTS → CONSENT → QUALIFIED OPPORTUNITY → INSTITUTION CONTACT → INSTITUTION KYC/CREDIT PROCESS → APPROVE/DECLINE → INSTITUTION DISBURSES → OUTCOME REPORTED → CUSTOMER JOURNEY UPDATED</w:t>
      </w:r>
    </w:p>
    <w:p>
      <w:pPr>
        <w:pStyle w:val="Heading1"/>
      </w:pPr>
      <w:r>
        <w:t>42. V1 End-to-End Institution Flow</w:t>
      </w:r>
    </w:p>
    <w:p>
      <w:r>
        <w:t>JOIN → VERIFY → WORKSPACE → USERS/ROLES → PRODUCT STUDIO → APPETITE STUDIO → CAPITAL MANDATE → TEAM ROUTING → NOTIFICATIONS → SIMULATE → ACTIVATE → RECEIVE QUALIFIED OPPORTUNITIES → PRIORITISE → ASSIGN → CONTACT → MOVE CUSTOMER INTO EXISTING INTERNAL PROCESS → REPORT OUTCOME → RECEIVE MARKETPLACE INTELLIGENCE → REVIEW/OPTIMISE APPETITE</w:t>
      </w:r>
    </w:p>
    <w:p>
      <w:pPr>
        <w:pStyle w:val="Heading1"/>
      </w:pPr>
      <w:r>
        <w:t>43. Core KPIs</w:t>
      </w:r>
    </w:p>
    <w:tbl>
      <w:tblPr>
        <w:tblStyle w:val="TableGrid"/>
        <w:tblW w:type="auto" w:w="0"/>
        <w:jc w:val="center"/>
        <w:tblLook w:firstColumn="1" w:firstRow="1" w:lastColumn="0" w:lastRow="0" w:noHBand="0" w:noVBand="1" w:val="04A0"/>
      </w:tblPr>
      <w:tblGrid>
        <w:gridCol w:w="5040"/>
        <w:gridCol w:w="5040"/>
      </w:tblGrid>
      <w:tr>
        <w:tc>
          <w:tcPr>
            <w:tcW w:type="dxa" w:w="2160"/>
            <w:shd w:fill="0B1F3A"/>
            <w:tcMar>
              <w:top w:w="100" w:type="dxa"/>
              <w:start w:w="120" w:type="dxa"/>
              <w:bottom w:w="100" w:type="dxa"/>
              <w:end w:w="120" w:type="dxa"/>
            </w:tcMar>
          </w:tcPr>
          <w:p>
            <w:r>
              <w:rPr>
                <w:b/>
                <w:color w:val="FFFFFF"/>
                <w:sz w:val="17"/>
              </w:rPr>
              <w:t>Category</w:t>
            </w:r>
          </w:p>
        </w:tc>
        <w:tc>
          <w:tcPr>
            <w:tcW w:type="dxa" w:w="7632"/>
            <w:shd w:fill="0B1F3A"/>
            <w:tcMar>
              <w:top w:w="100" w:type="dxa"/>
              <w:start w:w="120" w:type="dxa"/>
              <w:bottom w:w="100" w:type="dxa"/>
              <w:end w:w="120" w:type="dxa"/>
            </w:tcMar>
          </w:tcPr>
          <w:p>
            <w:r>
              <w:rPr>
                <w:b/>
                <w:color w:val="FFFFFF"/>
                <w:sz w:val="17"/>
              </w:rPr>
              <w:t>KPIs</w:t>
            </w:r>
          </w:p>
        </w:tc>
      </w:tr>
      <w:tr>
        <w:tc>
          <w:tcPr>
            <w:tcW w:type="dxa" w:w="2160"/>
            <w:tcMar>
              <w:top w:w="100" w:type="dxa"/>
              <w:start w:w="120" w:type="dxa"/>
              <w:bottom w:w="100" w:type="dxa"/>
              <w:end w:w="120" w:type="dxa"/>
            </w:tcMar>
            <w:vAlign w:val="center"/>
          </w:tcPr>
          <w:p>
            <w:r>
              <w:rPr>
                <w:sz w:val="16"/>
              </w:rPr>
              <w:t>Marketplace</w:t>
            </w:r>
          </w:p>
        </w:tc>
        <w:tc>
          <w:tcPr>
            <w:tcW w:type="dxa" w:w="7632"/>
            <w:tcMar>
              <w:top w:w="100" w:type="dxa"/>
              <w:start w:w="120" w:type="dxa"/>
              <w:bottom w:w="100" w:type="dxa"/>
              <w:end w:w="120" w:type="dxa"/>
            </w:tcMar>
            <w:vAlign w:val="center"/>
          </w:tcPr>
          <w:p>
            <w:r>
              <w:rPr>
                <w:sz w:val="16"/>
              </w:rPr>
              <w:t>Active customers, requested financing, participating institutions, active products and active mandates.</w:t>
            </w:r>
          </w:p>
        </w:tc>
      </w:tr>
      <w:tr>
        <w:tc>
          <w:tcPr>
            <w:tcW w:type="dxa" w:w="2160"/>
            <w:shd w:fill="F7F9FB"/>
            <w:tcMar>
              <w:top w:w="100" w:type="dxa"/>
              <w:start w:w="120" w:type="dxa"/>
              <w:bottom w:w="100" w:type="dxa"/>
              <w:end w:w="120" w:type="dxa"/>
            </w:tcMar>
            <w:vAlign w:val="center"/>
          </w:tcPr>
          <w:p>
            <w:r>
              <w:rPr>
                <w:sz w:val="16"/>
              </w:rPr>
              <w:t>Matching</w:t>
            </w:r>
          </w:p>
        </w:tc>
        <w:tc>
          <w:tcPr>
            <w:tcW w:type="dxa" w:w="7632"/>
            <w:shd w:fill="F7F9FB"/>
            <w:tcMar>
              <w:top w:w="100" w:type="dxa"/>
              <w:start w:w="120" w:type="dxa"/>
              <w:bottom w:w="100" w:type="dxa"/>
              <w:end w:w="120" w:type="dxa"/>
            </w:tcMar>
            <w:vAlign w:val="center"/>
          </w:tcPr>
          <w:p>
            <w:r>
              <w:rPr>
                <w:sz w:val="16"/>
              </w:rPr>
              <w:t>Match rate, high-match volume, no-match rate, near-match demand and average matches/customer.</w:t>
            </w:r>
          </w:p>
        </w:tc>
      </w:tr>
      <w:tr>
        <w:tc>
          <w:tcPr>
            <w:tcW w:type="dxa" w:w="2160"/>
            <w:tcMar>
              <w:top w:w="100" w:type="dxa"/>
              <w:start w:w="120" w:type="dxa"/>
              <w:bottom w:w="100" w:type="dxa"/>
              <w:end w:w="120" w:type="dxa"/>
            </w:tcMar>
            <w:vAlign w:val="center"/>
          </w:tcPr>
          <w:p>
            <w:r>
              <w:rPr>
                <w:sz w:val="16"/>
              </w:rPr>
              <w:t>Customer</w:t>
            </w:r>
          </w:p>
        </w:tc>
        <w:tc>
          <w:tcPr>
            <w:tcW w:type="dxa" w:w="7632"/>
            <w:tcMar>
              <w:top w:w="100" w:type="dxa"/>
              <w:start w:w="120" w:type="dxa"/>
              <w:bottom w:w="100" w:type="dxa"/>
              <w:end w:w="120" w:type="dxa"/>
            </w:tcMar>
            <w:vAlign w:val="center"/>
          </w:tcPr>
          <w:p>
            <w:r>
              <w:rPr>
                <w:sz w:val="16"/>
              </w:rPr>
              <w:t>Profile completion, consent rate, institution selection, abandonment and time to first contact.</w:t>
            </w:r>
          </w:p>
        </w:tc>
      </w:tr>
      <w:tr>
        <w:tc>
          <w:tcPr>
            <w:tcW w:type="dxa" w:w="2160"/>
            <w:shd w:fill="F7F9FB"/>
            <w:tcMar>
              <w:top w:w="100" w:type="dxa"/>
              <w:start w:w="120" w:type="dxa"/>
              <w:bottom w:w="100" w:type="dxa"/>
              <w:end w:w="120" w:type="dxa"/>
            </w:tcMar>
            <w:vAlign w:val="center"/>
          </w:tcPr>
          <w:p>
            <w:r>
              <w:rPr>
                <w:sz w:val="16"/>
              </w:rPr>
              <w:t>Institution</w:t>
            </w:r>
          </w:p>
        </w:tc>
        <w:tc>
          <w:tcPr>
            <w:tcW w:type="dxa" w:w="7632"/>
            <w:shd w:fill="F7F9FB"/>
            <w:tcMar>
              <w:top w:w="100" w:type="dxa"/>
              <w:start w:w="120" w:type="dxa"/>
              <w:bottom w:w="100" w:type="dxa"/>
              <w:end w:w="120" w:type="dxa"/>
            </w:tcMar>
            <w:vAlign w:val="center"/>
          </w:tcPr>
          <w:p>
            <w:r>
              <w:rPr>
                <w:sz w:val="16"/>
              </w:rPr>
              <w:t>Qualified opportunities, contact rate, response time, reported progression, approvals, disbursements and conversion.</w:t>
            </w:r>
          </w:p>
        </w:tc>
      </w:tr>
      <w:tr>
        <w:tc>
          <w:tcPr>
            <w:tcW w:type="dxa" w:w="2160"/>
            <w:tcMar>
              <w:top w:w="100" w:type="dxa"/>
              <w:start w:w="120" w:type="dxa"/>
              <w:bottom w:w="100" w:type="dxa"/>
              <w:end w:w="120" w:type="dxa"/>
            </w:tcMar>
            <w:vAlign w:val="center"/>
          </w:tcPr>
          <w:p>
            <w:r>
              <w:rPr>
                <w:sz w:val="16"/>
              </w:rPr>
              <w:t>Commercial</w:t>
            </w:r>
          </w:p>
        </w:tc>
        <w:tc>
          <w:tcPr>
            <w:tcW w:type="dxa" w:w="7632"/>
            <w:tcMar>
              <w:top w:w="100" w:type="dxa"/>
              <w:start w:w="120" w:type="dxa"/>
              <w:bottom w:w="100" w:type="dxa"/>
              <w:end w:w="120" w:type="dxa"/>
            </w:tcMar>
            <w:vAlign w:val="center"/>
          </w:tcPr>
          <w:p>
            <w:r>
              <w:rPr>
                <w:sz w:val="16"/>
              </w:rPr>
              <w:t>Subscription revenue, qualified-opportunity revenue, revenue/institution, revenue/opportunity and retention.</w:t>
            </w:r>
          </w:p>
        </w:tc>
      </w:tr>
      <w:tr>
        <w:tc>
          <w:tcPr>
            <w:tcW w:type="dxa" w:w="2160"/>
            <w:shd w:fill="F7F9FB"/>
            <w:tcMar>
              <w:top w:w="100" w:type="dxa"/>
              <w:start w:w="120" w:type="dxa"/>
              <w:bottom w:w="100" w:type="dxa"/>
              <w:end w:w="120" w:type="dxa"/>
            </w:tcMar>
            <w:vAlign w:val="center"/>
          </w:tcPr>
          <w:p>
            <w:r>
              <w:rPr>
                <w:sz w:val="16"/>
              </w:rPr>
              <w:t>Quality</w:t>
            </w:r>
          </w:p>
        </w:tc>
        <w:tc>
          <w:tcPr>
            <w:tcW w:type="dxa" w:w="7632"/>
            <w:shd w:fill="F7F9FB"/>
            <w:tcMar>
              <w:top w:w="100" w:type="dxa"/>
              <w:start w:w="120" w:type="dxa"/>
              <w:bottom w:w="100" w:type="dxa"/>
              <w:end w:w="120" w:type="dxa"/>
            </w:tcMar>
            <w:vAlign w:val="center"/>
          </w:tcPr>
          <w:p>
            <w:r>
              <w:rPr>
                <w:sz w:val="16"/>
              </w:rPr>
              <w:t>Duplicate rate, stale opportunity rate, customer complaints, institution response SLA and reported lead-quality disputes.</w:t>
            </w:r>
          </w:p>
        </w:tc>
      </w:tr>
    </w:tbl>
    <w:p>
      <w:pPr>
        <w:spacing w:after="40"/>
      </w:pPr>
    </w:p>
    <w:p>
      <w:pPr>
        <w:pStyle w:val="Heading1"/>
      </w:pPr>
      <w:r>
        <w:t>44. Phased Roadmap</w:t>
      </w:r>
    </w:p>
    <w:tbl>
      <w:tblPr>
        <w:tblStyle w:val="TableGrid"/>
        <w:tblW w:type="auto" w:w="0"/>
        <w:jc w:val="center"/>
        <w:tblLook w:firstColumn="1" w:firstRow="1" w:lastColumn="0" w:lastRow="0" w:noHBand="0" w:noVBand="1" w:val="04A0"/>
      </w:tblPr>
      <w:tblGrid>
        <w:gridCol w:w="5040"/>
        <w:gridCol w:w="5040"/>
      </w:tblGrid>
      <w:tr>
        <w:tc>
          <w:tcPr>
            <w:tcW w:type="dxa" w:w="3024"/>
            <w:shd w:fill="0B1F3A"/>
            <w:tcMar>
              <w:top w:w="100" w:type="dxa"/>
              <w:start w:w="120" w:type="dxa"/>
              <w:bottom w:w="100" w:type="dxa"/>
              <w:end w:w="120" w:type="dxa"/>
            </w:tcMar>
          </w:tcPr>
          <w:p>
            <w:r>
              <w:rPr>
                <w:b/>
                <w:color w:val="FFFFFF"/>
                <w:sz w:val="17"/>
              </w:rPr>
              <w:t>Phase</w:t>
            </w:r>
          </w:p>
        </w:tc>
        <w:tc>
          <w:tcPr>
            <w:tcW w:type="dxa" w:w="6768"/>
            <w:shd w:fill="0B1F3A"/>
            <w:tcMar>
              <w:top w:w="100" w:type="dxa"/>
              <w:start w:w="120" w:type="dxa"/>
              <w:bottom w:w="100" w:type="dxa"/>
              <w:end w:w="120" w:type="dxa"/>
            </w:tcMar>
          </w:tcPr>
          <w:p>
            <w:r>
              <w:rPr>
                <w:b/>
                <w:color w:val="FFFFFF"/>
                <w:sz w:val="17"/>
              </w:rPr>
              <w:t>Scope</w:t>
            </w:r>
          </w:p>
        </w:tc>
      </w:tr>
      <w:tr>
        <w:tc>
          <w:tcPr>
            <w:tcW w:type="dxa" w:w="3024"/>
            <w:tcMar>
              <w:top w:w="100" w:type="dxa"/>
              <w:start w:w="120" w:type="dxa"/>
              <w:bottom w:w="100" w:type="dxa"/>
              <w:end w:w="120" w:type="dxa"/>
            </w:tcMar>
            <w:vAlign w:val="center"/>
          </w:tcPr>
          <w:p>
            <w:r>
              <w:rPr>
                <w:sz w:val="16"/>
              </w:rPr>
              <w:t>V1 - WEZA Credit Marketplace</w:t>
            </w:r>
          </w:p>
        </w:tc>
        <w:tc>
          <w:tcPr>
            <w:tcW w:type="dxa" w:w="6768"/>
            <w:tcMar>
              <w:top w:w="100" w:type="dxa"/>
              <w:start w:w="120" w:type="dxa"/>
              <w:bottom w:w="100" w:type="dxa"/>
              <w:end w:w="120" w:type="dxa"/>
            </w:tcMar>
            <w:vAlign w:val="center"/>
          </w:tcPr>
          <w:p>
            <w:r>
              <w:rPr>
                <w:sz w:val="16"/>
              </w:rPr>
              <w:t>WhatsApp/web access, intent, verification, profile, consent, Opportunity Engine, institution onboarding, products, appetite, lead routing, dashboard, notifications, analytics and outcome reporting.</w:t>
            </w:r>
          </w:p>
        </w:tc>
      </w:tr>
      <w:tr>
        <w:tc>
          <w:tcPr>
            <w:tcW w:type="dxa" w:w="3024"/>
            <w:shd w:fill="F7F9FB"/>
            <w:tcMar>
              <w:top w:w="100" w:type="dxa"/>
              <w:start w:w="120" w:type="dxa"/>
              <w:bottom w:w="100" w:type="dxa"/>
              <w:end w:w="120" w:type="dxa"/>
            </w:tcMar>
            <w:vAlign w:val="center"/>
          </w:tcPr>
          <w:p>
            <w:r>
              <w:rPr>
                <w:sz w:val="16"/>
              </w:rPr>
              <w:t>V1.5 - Marketplace Intelligence</w:t>
            </w:r>
          </w:p>
        </w:tc>
        <w:tc>
          <w:tcPr>
            <w:tcW w:type="dxa" w:w="6768"/>
            <w:shd w:fill="F7F9FB"/>
            <w:tcMar>
              <w:top w:w="100" w:type="dxa"/>
              <w:start w:w="120" w:type="dxa"/>
              <w:bottom w:w="100" w:type="dxa"/>
              <w:end w:w="120" w:type="dxa"/>
            </w:tcMar>
            <w:vAlign w:val="center"/>
          </w:tcPr>
          <w:p>
            <w:r>
              <w:rPr>
                <w:sz w:val="16"/>
              </w:rPr>
              <w:t>Advanced simulations, opportunity radius, demand maps, product opportunity intelligence, richer executive briefs and customer My WEZA experience.</w:t>
            </w:r>
          </w:p>
        </w:tc>
      </w:tr>
      <w:tr>
        <w:tc>
          <w:tcPr>
            <w:tcW w:type="dxa" w:w="3024"/>
            <w:tcMar>
              <w:top w:w="100" w:type="dxa"/>
              <w:start w:w="120" w:type="dxa"/>
              <w:bottom w:w="100" w:type="dxa"/>
              <w:end w:w="120" w:type="dxa"/>
            </w:tcMar>
            <w:vAlign w:val="center"/>
          </w:tcPr>
          <w:p>
            <w:r>
              <w:rPr>
                <w:sz w:val="16"/>
              </w:rPr>
              <w:t>V2 - Persistent Financial Marketplace</w:t>
            </w:r>
          </w:p>
        </w:tc>
        <w:tc>
          <w:tcPr>
            <w:tcW w:type="dxa" w:w="6768"/>
            <w:tcMar>
              <w:top w:w="100" w:type="dxa"/>
              <w:start w:w="120" w:type="dxa"/>
              <w:bottom w:w="100" w:type="dxa"/>
              <w:end w:w="120" w:type="dxa"/>
            </w:tcMar>
            <w:vAlign w:val="center"/>
          </w:tcPr>
          <w:p>
            <w:r>
              <w:rPr>
                <w:sz w:val="16"/>
              </w:rPr>
              <w:t>Mobile app, Financial Vault, richer financial identity, embedded distribution and additional credit journeys.</w:t>
            </w:r>
          </w:p>
        </w:tc>
      </w:tr>
      <w:tr>
        <w:tc>
          <w:tcPr>
            <w:tcW w:type="dxa" w:w="3024"/>
            <w:shd w:fill="F7F9FB"/>
            <w:tcMar>
              <w:top w:w="100" w:type="dxa"/>
              <w:start w:w="120" w:type="dxa"/>
              <w:bottom w:w="100" w:type="dxa"/>
              <w:end w:w="120" w:type="dxa"/>
            </w:tcMar>
            <w:vAlign w:val="center"/>
          </w:tcPr>
          <w:p>
            <w:r>
              <w:rPr>
                <w:sz w:val="16"/>
              </w:rPr>
              <w:t>Future</w:t>
            </w:r>
          </w:p>
        </w:tc>
        <w:tc>
          <w:tcPr>
            <w:tcW w:type="dxa" w:w="6768"/>
            <w:shd w:fill="F7F9FB"/>
            <w:tcMar>
              <w:top w:w="100" w:type="dxa"/>
              <w:start w:w="120" w:type="dxa"/>
              <w:bottom w:w="100" w:type="dxa"/>
              <w:end w:w="120" w:type="dxa"/>
            </w:tcMar>
            <w:vAlign w:val="center"/>
          </w:tcPr>
          <w:p>
            <w:r>
              <w:rPr>
                <w:sz w:val="16"/>
              </w:rPr>
              <w:t>BNPL, payments/utilities, airtime/data, insurance, savings, investments and separately governed P2P capabilities.</w:t>
            </w:r>
          </w:p>
        </w:tc>
      </w:tr>
    </w:tbl>
    <w:p>
      <w:pPr>
        <w:spacing w:after="40"/>
      </w:pPr>
    </w:p>
    <w:p>
      <w:pPr>
        <w:pStyle w:val="Heading1"/>
      </w:pPr>
      <w:r>
        <w:t>45. Final Product Definition</w:t>
      </w:r>
    </w:p>
    <w:tbl>
      <w:tblPr>
        <w:tblW w:type="auto" w:w="0"/>
        <w:jc w:val="center"/>
        <w:tblLook w:firstColumn="1" w:firstRow="1" w:lastColumn="0" w:lastRow="0" w:noHBand="0" w:noVBand="1" w:val="04A0"/>
      </w:tblPr>
      <w:tblGrid>
        <w:gridCol w:w="10080"/>
      </w:tblGrid>
      <w:tr>
        <w:tc>
          <w:tcPr>
            <w:tcW w:type="dxa" w:w="10080"/>
            <w:shd w:fill="EAF3FA"/>
            <w:tcMar>
              <w:top w:w="150" w:type="dxa"/>
              <w:start w:w="180" w:type="dxa"/>
              <w:bottom w:w="150" w:type="dxa"/>
              <w:end w:w="180" w:type="dxa"/>
            </w:tcMar>
          </w:tcPr>
          <w:p>
            <w:pPr>
              <w:pStyle w:val="Callout"/>
            </w:pPr>
            <w:r>
              <w:t>WEZA is an intelligent financial marketplace connecting financial demand with institutional capital.</w:t>
            </w:r>
          </w:p>
        </w:tc>
      </w:tr>
    </w:tbl>
    <w:p>
      <w:pPr>
        <w:spacing w:after="20"/>
      </w:pPr>
    </w:p>
    <w:p>
      <w:r>
        <w:t>Individuals and businesses express financing needs conversationally, complete preliminary marketplace verification and profiling, discover suitable participating institutions and consent to having qualified opportunities routed to selected providers.</w:t>
      </w:r>
    </w:p>
    <w:p>
      <w:r>
        <w:t>Financial institutions join the WEZA Network without connecting core banking systems or sharing existing customer databases. They configure products, eligibility criteria, risk appetite, capital mandates, routing and notifications inside WEZA. The Opportunity Engine continuously matches consented customer demand against these configurations and delivers explainable, prioritised opportunities through the WEZA Institutional Command Centre.</w:t>
      </w:r>
    </w:p>
    <w:p>
      <w:r>
        <w:t>The financial institution conducts its formal KYC, underwriting, approval, contracting and disbursement using its existing processes. WEZA captures lightweight marketplace outcomes to improve demand intelligence, opportunity management and alignment between institutional appetite and market demand.</w:t>
      </w:r>
    </w:p>
    <w:p>
      <w:pPr>
        <w:pStyle w:val="Eyebrow"/>
      </w:pPr>
      <w:r>
        <w:t>The strategic promise is simple:</w:t>
      </w:r>
    </w:p>
    <w:p>
      <w:pPr>
        <w:pStyle w:val="Callout"/>
      </w:pPr>
      <w:r>
        <w:t>Customer: Tell WEZA what financing you need.</w:t>
      </w:r>
    </w:p>
    <w:p>
      <w:pPr>
        <w:pStyle w:val="Callout"/>
      </w:pPr>
      <w:r>
        <w:t>Institution: Tell WEZA what customers you want.</w:t>
      </w:r>
    </w:p>
    <w:p>
      <w:pPr>
        <w:pStyle w:val="Callout"/>
      </w:pPr>
      <w:r>
        <w:t>WEZA: Understand. Qualify. Match. Route. Track. Learn.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8"/>
        <w:sz w:val="14"/>
      </w:rPr>
      <w:t>WEZA Business Requirements Document  |  Otic Technologies Limited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B1F3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X">
    <w:name w:val="SubtitleX"/>
    <w:pPr>
      <w:spacing w:after="100"/>
    </w:pPr>
    <w:rPr>
      <w:rFonts w:ascii="Aptos" w:hAnsi="Aptos"/>
      <w:b w:val="0"/>
      <w:color w:val="5F6B78"/>
      <w:sz w:val="24"/>
    </w:rPr>
  </w:style>
  <w:style w:type="paragraph" w:customStyle="1" w:styleId="Eyebrow">
    <w:name w:val="Eyebrow"/>
    <w:pPr>
      <w:spacing w:after="100"/>
    </w:pPr>
    <w:rPr>
      <w:rFonts w:ascii="Aptos" w:hAnsi="Aptos"/>
      <w:b/>
      <w:color w:val="C99A3D"/>
      <w:sz w:val="17"/>
    </w:rPr>
  </w:style>
  <w:style w:type="paragraph" w:customStyle="1" w:styleId="Callout">
    <w:name w:val="Callout"/>
    <w:pPr>
      <w:spacing w:after="100"/>
    </w:pPr>
    <w:rPr>
      <w:rFonts w:ascii="Aptos" w:hAnsi="Aptos"/>
      <w:b/>
      <w:color w:val="0B1F3A"/>
      <w:sz w:val="22"/>
    </w:rPr>
  </w:style>
  <w:style w:type="paragraph" w:customStyle="1" w:styleId="Small">
    <w:name w:val="Small"/>
    <w:pPr>
      <w:spacing w:after="100"/>
    </w:pPr>
    <w:rPr>
      <w:rFonts w:ascii="Aptos" w:hAnsi="Aptos"/>
      <w:b w:val="0"/>
      <w:color w:val="5F6B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