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OTIC TECHNOLOGIES</w:t>
      </w:r>
    </w:p>
    <w:p>
      <w:pPr>
        <w:pStyle w:val="Title"/>
      </w:pPr>
      <w:r>
        <w:t>WEZA</w:t>
      </w:r>
    </w:p>
    <w:p>
      <w:pPr>
        <w:pStyle w:val="SubtitleX"/>
      </w:pPr>
      <w:r>
        <w:t>Functional Specification Document (FSD)</w:t>
      </w:r>
    </w:p>
    <w:p>
      <w:pPr>
        <w:pStyle w:val="Callout"/>
      </w:pPr>
      <w:r>
        <w:t>Intelligent Financial Marketplace &amp; Opportunity Network</w:t>
      </w:r>
    </w:p>
    <w:p>
      <w:pPr>
        <w:pStyle w:val="Small"/>
      </w:pPr>
      <w:r>
        <w:t>Version 1.0  |  October 2026</w:t>
      </w:r>
    </w:p>
    <w:p>
      <w:pPr>
        <w:pStyle w:val="Small"/>
      </w:pPr>
      <w:r>
        <w:t>Product Owner: Otic Technologies Limited</w:t>
      </w:r>
    </w:p>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People bring financial needs. Institutions bring financial appetite. WEZA intelligently brings the two together without requiring access to institutional core databases.</w:t>
            </w:r>
          </w:p>
        </w:tc>
      </w:tr>
    </w:tbl>
    <w:p>
      <w:pPr>
        <w:spacing w:after="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2880"/>
            <w:shd w:fill="0B1F3A"/>
            <w:tcMar>
              <w:top w:w="90" w:type="dxa"/>
              <w:start w:w="110" w:type="dxa"/>
              <w:bottom w:w="90" w:type="dxa"/>
              <w:end w:w="110" w:type="dxa"/>
            </w:tcMar>
          </w:tcPr>
          <w:p>
            <w:r>
              <w:rPr>
                <w:b/>
                <w:color w:val="FFFFFF"/>
                <w:sz w:val="16"/>
              </w:rPr>
              <w:t>Field</w:t>
            </w:r>
          </w:p>
        </w:tc>
        <w:tc>
          <w:tcPr>
            <w:tcW w:type="dxa" w:w="6912"/>
            <w:shd w:fill="0B1F3A"/>
            <w:tcMar>
              <w:top w:w="90" w:type="dxa"/>
              <w:start w:w="110" w:type="dxa"/>
              <w:bottom w:w="90" w:type="dxa"/>
              <w:end w:w="110" w:type="dxa"/>
            </w:tcMar>
          </w:tcPr>
          <w:p>
            <w:r>
              <w:rPr>
                <w:b/>
                <w:color w:val="FFFFFF"/>
                <w:sz w:val="16"/>
              </w:rPr>
              <w:t>Detail</w:t>
            </w:r>
          </w:p>
        </w:tc>
      </w:tr>
      <w:tr>
        <w:tc>
          <w:tcPr>
            <w:tcW w:type="dxa" w:w="2880"/>
            <w:tcMar>
              <w:top w:w="90" w:type="dxa"/>
              <w:start w:w="110" w:type="dxa"/>
              <w:bottom w:w="90" w:type="dxa"/>
              <w:end w:w="110" w:type="dxa"/>
            </w:tcMar>
            <w:vAlign w:val="center"/>
          </w:tcPr>
          <w:p>
            <w:r>
              <w:rPr>
                <w:sz w:val="15"/>
              </w:rPr>
              <w:t>Document</w:t>
            </w:r>
          </w:p>
        </w:tc>
        <w:tc>
          <w:tcPr>
            <w:tcW w:type="dxa" w:w="6912"/>
            <w:tcMar>
              <w:top w:w="90" w:type="dxa"/>
              <w:start w:w="110" w:type="dxa"/>
              <w:bottom w:w="90" w:type="dxa"/>
              <w:end w:w="110" w:type="dxa"/>
            </w:tcMar>
            <w:vAlign w:val="center"/>
          </w:tcPr>
          <w:p>
            <w:r>
              <w:rPr>
                <w:sz w:val="15"/>
              </w:rPr>
              <w:t>WEZA Functional Specification Document</w:t>
            </w:r>
          </w:p>
        </w:tc>
      </w:tr>
      <w:tr>
        <w:tc>
          <w:tcPr>
            <w:tcW w:type="dxa" w:w="2880"/>
            <w:shd w:fill="F7F9FB"/>
            <w:tcMar>
              <w:top w:w="90" w:type="dxa"/>
              <w:start w:w="110" w:type="dxa"/>
              <w:bottom w:w="90" w:type="dxa"/>
              <w:end w:w="110" w:type="dxa"/>
            </w:tcMar>
            <w:vAlign w:val="center"/>
          </w:tcPr>
          <w:p>
            <w:r>
              <w:rPr>
                <w:sz w:val="15"/>
              </w:rPr>
              <w:t>Version</w:t>
            </w:r>
          </w:p>
        </w:tc>
        <w:tc>
          <w:tcPr>
            <w:tcW w:type="dxa" w:w="6912"/>
            <w:shd w:fill="F7F9FB"/>
            <w:tcMar>
              <w:top w:w="90" w:type="dxa"/>
              <w:start w:w="110" w:type="dxa"/>
              <w:bottom w:w="90" w:type="dxa"/>
              <w:end w:w="110" w:type="dxa"/>
            </w:tcMar>
            <w:vAlign w:val="center"/>
          </w:tcPr>
          <w:p>
            <w:r>
              <w:rPr>
                <w:sz w:val="15"/>
              </w:rPr>
              <w:t>1.0</w:t>
            </w:r>
          </w:p>
        </w:tc>
      </w:tr>
      <w:tr>
        <w:tc>
          <w:tcPr>
            <w:tcW w:type="dxa" w:w="2880"/>
            <w:tcMar>
              <w:top w:w="90" w:type="dxa"/>
              <w:start w:w="110" w:type="dxa"/>
              <w:bottom w:w="90" w:type="dxa"/>
              <w:end w:w="110" w:type="dxa"/>
            </w:tcMar>
            <w:vAlign w:val="center"/>
          </w:tcPr>
          <w:p>
            <w:r>
              <w:rPr>
                <w:sz w:val="15"/>
              </w:rPr>
              <w:t>Date</w:t>
            </w:r>
          </w:p>
        </w:tc>
        <w:tc>
          <w:tcPr>
            <w:tcW w:type="dxa" w:w="6912"/>
            <w:tcMar>
              <w:top w:w="90" w:type="dxa"/>
              <w:start w:w="110" w:type="dxa"/>
              <w:bottom w:w="90" w:type="dxa"/>
              <w:end w:w="110" w:type="dxa"/>
            </w:tcMar>
            <w:vAlign w:val="center"/>
          </w:tcPr>
          <w:p>
            <w:r>
              <w:rPr>
                <w:sz w:val="15"/>
              </w:rPr>
              <w:t>October 2026</w:t>
            </w:r>
          </w:p>
        </w:tc>
      </w:tr>
      <w:tr>
        <w:tc>
          <w:tcPr>
            <w:tcW w:type="dxa" w:w="2880"/>
            <w:shd w:fill="F7F9FB"/>
            <w:tcMar>
              <w:top w:w="90" w:type="dxa"/>
              <w:start w:w="110" w:type="dxa"/>
              <w:bottom w:w="90" w:type="dxa"/>
              <w:end w:w="110" w:type="dxa"/>
            </w:tcMar>
            <w:vAlign w:val="center"/>
          </w:tcPr>
          <w:p>
            <w:r>
              <w:rPr>
                <w:sz w:val="15"/>
              </w:rPr>
              <w:t>Owner</w:t>
            </w:r>
          </w:p>
        </w:tc>
        <w:tc>
          <w:tcPr>
            <w:tcW w:type="dxa" w:w="6912"/>
            <w:shd w:fill="F7F9FB"/>
            <w:tcMar>
              <w:top w:w="90" w:type="dxa"/>
              <w:start w:w="110" w:type="dxa"/>
              <w:bottom w:w="90" w:type="dxa"/>
              <w:end w:w="110" w:type="dxa"/>
            </w:tcMar>
            <w:vAlign w:val="center"/>
          </w:tcPr>
          <w:p>
            <w:r>
              <w:rPr>
                <w:sz w:val="15"/>
              </w:rPr>
              <w:t>Otic Technologies Limited</w:t>
            </w:r>
          </w:p>
        </w:tc>
      </w:tr>
      <w:tr>
        <w:tc>
          <w:tcPr>
            <w:tcW w:type="dxa" w:w="2880"/>
            <w:tcMar>
              <w:top w:w="90" w:type="dxa"/>
              <w:start w:w="110" w:type="dxa"/>
              <w:bottom w:w="90" w:type="dxa"/>
              <w:end w:w="110" w:type="dxa"/>
            </w:tcMar>
            <w:vAlign w:val="center"/>
          </w:tcPr>
          <w:p>
            <w:r>
              <w:rPr>
                <w:sz w:val="15"/>
              </w:rPr>
              <w:t>Related Document</w:t>
            </w:r>
          </w:p>
        </w:tc>
        <w:tc>
          <w:tcPr>
            <w:tcW w:type="dxa" w:w="6912"/>
            <w:tcMar>
              <w:top w:w="90" w:type="dxa"/>
              <w:start w:w="110" w:type="dxa"/>
              <w:bottom w:w="90" w:type="dxa"/>
              <w:end w:w="110" w:type="dxa"/>
            </w:tcMar>
            <w:vAlign w:val="center"/>
          </w:tcPr>
          <w:p>
            <w:r>
              <w:rPr>
                <w:sz w:val="15"/>
              </w:rPr>
              <w:t>WEZA Business Requirements Document v1.0</w:t>
            </w:r>
          </w:p>
        </w:tc>
      </w:tr>
      <w:tr>
        <w:tc>
          <w:tcPr>
            <w:tcW w:type="dxa" w:w="2880"/>
            <w:shd w:fill="F7F9FB"/>
            <w:tcMar>
              <w:top w:w="90" w:type="dxa"/>
              <w:start w:w="110" w:type="dxa"/>
              <w:bottom w:w="90" w:type="dxa"/>
              <w:end w:w="110" w:type="dxa"/>
            </w:tcMar>
            <w:vAlign w:val="center"/>
          </w:tcPr>
          <w:p>
            <w:r>
              <w:rPr>
                <w:sz w:val="15"/>
              </w:rPr>
              <w:t>Initial Release</w:t>
            </w:r>
          </w:p>
        </w:tc>
        <w:tc>
          <w:tcPr>
            <w:tcW w:type="dxa" w:w="6912"/>
            <w:shd w:fill="F7F9FB"/>
            <w:tcMar>
              <w:top w:w="90" w:type="dxa"/>
              <w:start w:w="110" w:type="dxa"/>
              <w:bottom w:w="90" w:type="dxa"/>
              <w:end w:w="110" w:type="dxa"/>
            </w:tcMar>
            <w:vAlign w:val="center"/>
          </w:tcPr>
          <w:p>
            <w:r>
              <w:rPr>
                <w:sz w:val="15"/>
              </w:rPr>
              <w:t>WEZA Credit Marketplace</w:t>
            </w:r>
          </w:p>
        </w:tc>
      </w:tr>
      <w:tr>
        <w:tc>
          <w:tcPr>
            <w:tcW w:type="dxa" w:w="2880"/>
            <w:tcMar>
              <w:top w:w="90" w:type="dxa"/>
              <w:start w:w="110" w:type="dxa"/>
              <w:bottom w:w="90" w:type="dxa"/>
              <w:end w:w="110" w:type="dxa"/>
            </w:tcMar>
            <w:vAlign w:val="center"/>
          </w:tcPr>
          <w:p>
            <w:r>
              <w:rPr>
                <w:sz w:val="15"/>
              </w:rPr>
              <w:t>Architecture Boundary</w:t>
            </w:r>
          </w:p>
        </w:tc>
        <w:tc>
          <w:tcPr>
            <w:tcW w:type="dxa" w:w="6912"/>
            <w:tcMar>
              <w:top w:w="90" w:type="dxa"/>
              <w:start w:w="110" w:type="dxa"/>
              <w:bottom w:w="90" w:type="dxa"/>
              <w:end w:w="110" w:type="dxa"/>
            </w:tcMar>
            <w:vAlign w:val="center"/>
          </w:tcPr>
          <w:p>
            <w:r>
              <w:rPr>
                <w:sz w:val="15"/>
              </w:rPr>
              <w:t>Zero core-system and institutional customer-database integration required</w:t>
            </w:r>
          </w:p>
        </w:tc>
      </w:tr>
      <w:tr>
        <w:tc>
          <w:tcPr>
            <w:tcW w:type="dxa" w:w="2880"/>
            <w:shd w:fill="F7F9FB"/>
            <w:tcMar>
              <w:top w:w="90" w:type="dxa"/>
              <w:start w:w="110" w:type="dxa"/>
              <w:bottom w:w="90" w:type="dxa"/>
              <w:end w:w="110" w:type="dxa"/>
            </w:tcMar>
            <w:vAlign w:val="center"/>
          </w:tcPr>
          <w:p>
            <w:r>
              <w:rPr>
                <w:sz w:val="15"/>
              </w:rPr>
              <w:t>Status</w:t>
            </w:r>
          </w:p>
        </w:tc>
        <w:tc>
          <w:tcPr>
            <w:tcW w:type="dxa" w:w="6912"/>
            <w:shd w:fill="F7F9FB"/>
            <w:tcMar>
              <w:top w:w="90" w:type="dxa"/>
              <w:start w:w="110" w:type="dxa"/>
              <w:bottom w:w="90" w:type="dxa"/>
              <w:end w:w="110" w:type="dxa"/>
            </w:tcMar>
            <w:vAlign w:val="center"/>
          </w:tcPr>
          <w:p>
            <w:r>
              <w:rPr>
                <w:sz w:val="15"/>
              </w:rPr>
              <w:t>Functional baseline for UX, engineering, QA, commercial and governance review</w:t>
            </w:r>
          </w:p>
        </w:tc>
      </w:tr>
    </w:tbl>
    <w:p>
      <w:pPr>
        <w:spacing w:after="20"/>
      </w:pPr>
    </w:p>
    <w:p>
      <w:pPr>
        <w:pStyle w:val="Heading1"/>
      </w:pPr>
      <w:r>
        <w:t>1. Purpose and Functional Scope</w:t>
      </w:r>
    </w:p>
    <w:p>
      <w:r>
        <w:t>This Functional Specification Document translates the WEZA Business Requirements into implementable system behaviour. It defines customer and institution journeys, functional modules, screens, data objects, states, permissions, matching logic, consent, opportunity routing, notifications, commercial events, exception handling and acceptance criteria.</w:t>
      </w:r>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Customer: Tell WEZA what financing you need.  |  Institution: Tell WEZA what customers you want.  |  WEZA: Understand. Qualify. Match. Route. Track. Learn.</w:t>
            </w:r>
          </w:p>
        </w:tc>
      </w:tr>
    </w:tbl>
    <w:p>
      <w:pPr>
        <w:spacing w:after="0"/>
      </w:pPr>
    </w:p>
    <w:p>
      <w:r>
        <w:t>WEZA V1 is a zero-core-integration marketplace. Institutions shall not be required to connect core banking, loan origination, CRM, transaction, customer or data-warehouse systems. Institutions configure marketplace supply inside WEZA and receive consented qualified opportunities inside WEZA.</w:t>
      </w:r>
    </w:p>
    <w:p>
      <w:pPr>
        <w:pStyle w:val="Heading1"/>
      </w:pPr>
      <w:r>
        <w:t>2. Functional Architecture</w:t>
      </w:r>
    </w:p>
    <w:tbl>
      <w:tblPr>
        <w:tblStyle w:val="TableGrid"/>
        <w:tblW w:type="auto" w:w="0"/>
        <w:jc w:val="center"/>
        <w:tblLook w:firstColumn="1" w:firstRow="1" w:lastColumn="0" w:lastRow="0" w:noHBand="0" w:noVBand="1" w:val="04A0"/>
      </w:tblPr>
      <w:tblGrid>
        <w:gridCol w:w="5083"/>
        <w:gridCol w:w="5083"/>
      </w:tblGrid>
      <w:tr>
        <w:tc>
          <w:tcPr>
            <w:tcW w:type="dxa" w:w="2592"/>
            <w:shd w:fill="0B1F3A"/>
            <w:tcMar>
              <w:top w:w="90" w:type="dxa"/>
              <w:start w:w="110" w:type="dxa"/>
              <w:bottom w:w="90" w:type="dxa"/>
              <w:end w:w="110" w:type="dxa"/>
            </w:tcMar>
          </w:tcPr>
          <w:p>
            <w:r>
              <w:rPr>
                <w:b/>
                <w:color w:val="FFFFFF"/>
                <w:sz w:val="16"/>
              </w:rPr>
              <w:t>Module</w:t>
            </w:r>
          </w:p>
        </w:tc>
        <w:tc>
          <w:tcPr>
            <w:tcW w:type="dxa" w:w="7200"/>
            <w:shd w:fill="0B1F3A"/>
            <w:tcMar>
              <w:top w:w="90" w:type="dxa"/>
              <w:start w:w="110" w:type="dxa"/>
              <w:bottom w:w="90" w:type="dxa"/>
              <w:end w:w="110" w:type="dxa"/>
            </w:tcMar>
          </w:tcPr>
          <w:p>
            <w:r>
              <w:rPr>
                <w:b/>
                <w:color w:val="FFFFFF"/>
                <w:sz w:val="16"/>
              </w:rPr>
              <w:t>Function</w:t>
            </w:r>
          </w:p>
        </w:tc>
      </w:tr>
      <w:tr>
        <w:tc>
          <w:tcPr>
            <w:tcW w:type="dxa" w:w="2592"/>
            <w:tcMar>
              <w:top w:w="90" w:type="dxa"/>
              <w:start w:w="110" w:type="dxa"/>
              <w:bottom w:w="90" w:type="dxa"/>
              <w:end w:w="110" w:type="dxa"/>
            </w:tcMar>
            <w:vAlign w:val="center"/>
          </w:tcPr>
          <w:p>
            <w:r>
              <w:rPr>
                <w:sz w:val="15"/>
              </w:rPr>
              <w:t>WEZA Public</w:t>
            </w:r>
          </w:p>
        </w:tc>
        <w:tc>
          <w:tcPr>
            <w:tcW w:type="dxa" w:w="7200"/>
            <w:tcMar>
              <w:top w:w="90" w:type="dxa"/>
              <w:start w:w="110" w:type="dxa"/>
              <w:bottom w:w="90" w:type="dxa"/>
              <w:end w:w="110" w:type="dxa"/>
            </w:tcMar>
            <w:vAlign w:val="center"/>
          </w:tcPr>
          <w:p>
            <w:r>
              <w:rPr>
                <w:sz w:val="15"/>
              </w:rPr>
              <w:t>Discovery, campaigns, partner links and acquisition attribution.</w:t>
            </w:r>
          </w:p>
        </w:tc>
      </w:tr>
      <w:tr>
        <w:tc>
          <w:tcPr>
            <w:tcW w:type="dxa" w:w="2592"/>
            <w:shd w:fill="F7F9FB"/>
            <w:tcMar>
              <w:top w:w="90" w:type="dxa"/>
              <w:start w:w="110" w:type="dxa"/>
              <w:bottom w:w="90" w:type="dxa"/>
              <w:end w:w="110" w:type="dxa"/>
            </w:tcMar>
            <w:vAlign w:val="center"/>
          </w:tcPr>
          <w:p>
            <w:r>
              <w:rPr>
                <w:sz w:val="15"/>
              </w:rPr>
              <w:t>WEZA Conversation</w:t>
            </w:r>
          </w:p>
        </w:tc>
        <w:tc>
          <w:tcPr>
            <w:tcW w:type="dxa" w:w="7200"/>
            <w:shd w:fill="F7F9FB"/>
            <w:tcMar>
              <w:top w:w="90" w:type="dxa"/>
              <w:start w:w="110" w:type="dxa"/>
              <w:bottom w:w="90" w:type="dxa"/>
              <w:end w:w="110" w:type="dxa"/>
            </w:tcMar>
            <w:vAlign w:val="center"/>
          </w:tcPr>
          <w:p>
            <w:r>
              <w:rPr>
                <w:sz w:val="15"/>
              </w:rPr>
              <w:t>WhatsApp/web customer conversation and journey orchestration.</w:t>
            </w:r>
          </w:p>
        </w:tc>
      </w:tr>
      <w:tr>
        <w:tc>
          <w:tcPr>
            <w:tcW w:type="dxa" w:w="2592"/>
            <w:tcMar>
              <w:top w:w="90" w:type="dxa"/>
              <w:start w:w="110" w:type="dxa"/>
              <w:bottom w:w="90" w:type="dxa"/>
              <w:end w:w="110" w:type="dxa"/>
            </w:tcMar>
            <w:vAlign w:val="center"/>
          </w:tcPr>
          <w:p>
            <w:r>
              <w:rPr>
                <w:sz w:val="15"/>
              </w:rPr>
              <w:t>Financial Intent Engine</w:t>
            </w:r>
          </w:p>
        </w:tc>
        <w:tc>
          <w:tcPr>
            <w:tcW w:type="dxa" w:w="7200"/>
            <w:tcMar>
              <w:top w:w="90" w:type="dxa"/>
              <w:start w:w="110" w:type="dxa"/>
              <w:bottom w:w="90" w:type="dxa"/>
              <w:end w:w="110" w:type="dxa"/>
            </w:tcMar>
            <w:vAlign w:val="center"/>
          </w:tcPr>
          <w:p>
            <w:r>
              <w:rPr>
                <w:sz w:val="15"/>
              </w:rPr>
              <w:t>Extract financial objective, amount, purpose, customer type and missing information.</w:t>
            </w:r>
          </w:p>
        </w:tc>
      </w:tr>
      <w:tr>
        <w:tc>
          <w:tcPr>
            <w:tcW w:type="dxa" w:w="2592"/>
            <w:shd w:fill="F7F9FB"/>
            <w:tcMar>
              <w:top w:w="90" w:type="dxa"/>
              <w:start w:w="110" w:type="dxa"/>
              <w:bottom w:w="90" w:type="dxa"/>
              <w:end w:w="110" w:type="dxa"/>
            </w:tcMar>
            <w:vAlign w:val="center"/>
          </w:tcPr>
          <w:p>
            <w:r>
              <w:rPr>
                <w:sz w:val="15"/>
              </w:rPr>
              <w:t>Identity &amp; Verification</w:t>
            </w:r>
          </w:p>
        </w:tc>
        <w:tc>
          <w:tcPr>
            <w:tcW w:type="dxa" w:w="7200"/>
            <w:shd w:fill="F7F9FB"/>
            <w:tcMar>
              <w:top w:w="90" w:type="dxa"/>
              <w:start w:w="110" w:type="dxa"/>
              <w:bottom w:w="90" w:type="dxa"/>
              <w:end w:w="110" w:type="dxa"/>
            </w:tcMar>
            <w:vAlign w:val="center"/>
          </w:tcPr>
          <w:p>
            <w:r>
              <w:rPr>
                <w:sz w:val="15"/>
              </w:rPr>
              <w:t>Phone OTP, identity/document capture and marketplace verification states.</w:t>
            </w:r>
          </w:p>
        </w:tc>
      </w:tr>
      <w:tr>
        <w:tc>
          <w:tcPr>
            <w:tcW w:type="dxa" w:w="2592"/>
            <w:tcMar>
              <w:top w:w="90" w:type="dxa"/>
              <w:start w:w="110" w:type="dxa"/>
              <w:bottom w:w="90" w:type="dxa"/>
              <w:end w:w="110" w:type="dxa"/>
            </w:tcMar>
            <w:vAlign w:val="center"/>
          </w:tcPr>
          <w:p>
            <w:r>
              <w:rPr>
                <w:sz w:val="15"/>
              </w:rPr>
              <w:t>Customer Profile Engine</w:t>
            </w:r>
          </w:p>
        </w:tc>
        <w:tc>
          <w:tcPr>
            <w:tcW w:type="dxa" w:w="7200"/>
            <w:tcMar>
              <w:top w:w="90" w:type="dxa"/>
              <w:start w:w="110" w:type="dxa"/>
              <w:bottom w:w="90" w:type="dxa"/>
              <w:end w:w="110" w:type="dxa"/>
            </w:tcMar>
            <w:vAlign w:val="center"/>
          </w:tcPr>
          <w:p>
            <w:r>
              <w:rPr>
                <w:sz w:val="15"/>
              </w:rPr>
              <w:t>Structured reusable customer and financial-need profile.</w:t>
            </w:r>
          </w:p>
        </w:tc>
      </w:tr>
      <w:tr>
        <w:tc>
          <w:tcPr>
            <w:tcW w:type="dxa" w:w="2592"/>
            <w:shd w:fill="F7F9FB"/>
            <w:tcMar>
              <w:top w:w="90" w:type="dxa"/>
              <w:start w:w="110" w:type="dxa"/>
              <w:bottom w:w="90" w:type="dxa"/>
              <w:end w:w="110" w:type="dxa"/>
            </w:tcMar>
            <w:vAlign w:val="center"/>
          </w:tcPr>
          <w:p>
            <w:r>
              <w:rPr>
                <w:sz w:val="15"/>
              </w:rPr>
              <w:t>Trust &amp; Consent Layer</w:t>
            </w:r>
          </w:p>
        </w:tc>
        <w:tc>
          <w:tcPr>
            <w:tcW w:type="dxa" w:w="7200"/>
            <w:shd w:fill="F7F9FB"/>
            <w:tcMar>
              <w:top w:w="90" w:type="dxa"/>
              <w:start w:w="110" w:type="dxa"/>
              <w:bottom w:w="90" w:type="dxa"/>
              <w:end w:w="110" w:type="dxa"/>
            </w:tcMar>
            <w:vAlign w:val="center"/>
          </w:tcPr>
          <w:p>
            <w:r>
              <w:rPr>
                <w:sz w:val="15"/>
              </w:rPr>
              <w:t>Institution-specific consent, permission scope and audit.</w:t>
            </w:r>
          </w:p>
        </w:tc>
      </w:tr>
      <w:tr>
        <w:tc>
          <w:tcPr>
            <w:tcW w:type="dxa" w:w="2592"/>
            <w:tcMar>
              <w:top w:w="90" w:type="dxa"/>
              <w:start w:w="110" w:type="dxa"/>
              <w:bottom w:w="90" w:type="dxa"/>
              <w:end w:w="110" w:type="dxa"/>
            </w:tcMar>
            <w:vAlign w:val="center"/>
          </w:tcPr>
          <w:p>
            <w:r>
              <w:rPr>
                <w:sz w:val="15"/>
              </w:rPr>
              <w:t>Opportunity Engine</w:t>
            </w:r>
          </w:p>
        </w:tc>
        <w:tc>
          <w:tcPr>
            <w:tcW w:type="dxa" w:w="7200"/>
            <w:tcMar>
              <w:top w:w="90" w:type="dxa"/>
              <w:start w:w="110" w:type="dxa"/>
              <w:bottom w:w="90" w:type="dxa"/>
              <w:end w:w="110" w:type="dxa"/>
            </w:tcMar>
            <w:vAlign w:val="center"/>
          </w:tcPr>
          <w:p>
            <w:r>
              <w:rPr>
                <w:sz w:val="15"/>
              </w:rPr>
              <w:t>Readiness, Quality Score, eligibility, Match Score, ranking and explainability.</w:t>
            </w:r>
          </w:p>
        </w:tc>
      </w:tr>
      <w:tr>
        <w:tc>
          <w:tcPr>
            <w:tcW w:type="dxa" w:w="2592"/>
            <w:shd w:fill="F7F9FB"/>
            <w:tcMar>
              <w:top w:w="90" w:type="dxa"/>
              <w:start w:w="110" w:type="dxa"/>
              <w:bottom w:w="90" w:type="dxa"/>
              <w:end w:w="110" w:type="dxa"/>
            </w:tcMar>
            <w:vAlign w:val="center"/>
          </w:tcPr>
          <w:p>
            <w:r>
              <w:rPr>
                <w:sz w:val="15"/>
              </w:rPr>
              <w:t>Market Clearing Layer</w:t>
            </w:r>
          </w:p>
        </w:tc>
        <w:tc>
          <w:tcPr>
            <w:tcW w:type="dxa" w:w="7200"/>
            <w:shd w:fill="F7F9FB"/>
            <w:tcMar>
              <w:top w:w="90" w:type="dxa"/>
              <w:start w:w="110" w:type="dxa"/>
              <w:bottom w:w="90" w:type="dxa"/>
              <w:end w:w="110" w:type="dxa"/>
            </w:tcMar>
            <w:vAlign w:val="center"/>
          </w:tcPr>
          <w:p>
            <w:r>
              <w:rPr>
                <w:sz w:val="15"/>
              </w:rPr>
              <w:t>Continuously reconciles active demand with active products, appetite and marketplace capacity.</w:t>
            </w:r>
          </w:p>
        </w:tc>
      </w:tr>
      <w:tr>
        <w:tc>
          <w:tcPr>
            <w:tcW w:type="dxa" w:w="2592"/>
            <w:tcMar>
              <w:top w:w="90" w:type="dxa"/>
              <w:start w:w="110" w:type="dxa"/>
              <w:bottom w:w="90" w:type="dxa"/>
              <w:end w:w="110" w:type="dxa"/>
            </w:tcMar>
            <w:vAlign w:val="center"/>
          </w:tcPr>
          <w:p>
            <w:r>
              <w:rPr>
                <w:sz w:val="15"/>
              </w:rPr>
              <w:t>Customer Marketplace</w:t>
            </w:r>
          </w:p>
        </w:tc>
        <w:tc>
          <w:tcPr>
            <w:tcW w:type="dxa" w:w="7200"/>
            <w:tcMar>
              <w:top w:w="90" w:type="dxa"/>
              <w:start w:w="110" w:type="dxa"/>
              <w:bottom w:w="90" w:type="dxa"/>
              <w:end w:w="110" w:type="dxa"/>
            </w:tcMar>
            <w:vAlign w:val="center"/>
          </w:tcPr>
          <w:p>
            <w:r>
              <w:rPr>
                <w:sz w:val="15"/>
              </w:rPr>
              <w:t>Options, institution selection, consent and opportunity submission.</w:t>
            </w:r>
          </w:p>
        </w:tc>
      </w:tr>
      <w:tr>
        <w:tc>
          <w:tcPr>
            <w:tcW w:type="dxa" w:w="2592"/>
            <w:shd w:fill="F7F9FB"/>
            <w:tcMar>
              <w:top w:w="90" w:type="dxa"/>
              <w:start w:w="110" w:type="dxa"/>
              <w:bottom w:w="90" w:type="dxa"/>
              <w:end w:w="110" w:type="dxa"/>
            </w:tcMar>
            <w:vAlign w:val="center"/>
          </w:tcPr>
          <w:p>
            <w:r>
              <w:rPr>
                <w:sz w:val="15"/>
              </w:rPr>
              <w:t>WEZA Institutional</w:t>
            </w:r>
          </w:p>
        </w:tc>
        <w:tc>
          <w:tcPr>
            <w:tcW w:type="dxa" w:w="7200"/>
            <w:shd w:fill="F7F9FB"/>
            <w:tcMar>
              <w:top w:w="90" w:type="dxa"/>
              <w:start w:w="110" w:type="dxa"/>
              <w:bottom w:w="90" w:type="dxa"/>
              <w:end w:w="110" w:type="dxa"/>
            </w:tcMar>
            <w:vAlign w:val="center"/>
          </w:tcPr>
          <w:p>
            <w:r>
              <w:rPr>
                <w:sz w:val="15"/>
              </w:rPr>
              <w:t>Institution onboarding, users, products, appetite, opportunity workflow and intelligence.</w:t>
            </w:r>
          </w:p>
        </w:tc>
      </w:tr>
      <w:tr>
        <w:tc>
          <w:tcPr>
            <w:tcW w:type="dxa" w:w="2592"/>
            <w:tcMar>
              <w:top w:w="90" w:type="dxa"/>
              <w:start w:w="110" w:type="dxa"/>
              <w:bottom w:w="90" w:type="dxa"/>
              <w:end w:w="110" w:type="dxa"/>
            </w:tcMar>
            <w:vAlign w:val="center"/>
          </w:tcPr>
          <w:p>
            <w:r>
              <w:rPr>
                <w:sz w:val="15"/>
              </w:rPr>
              <w:t>Commercial Engine</w:t>
            </w:r>
          </w:p>
        </w:tc>
        <w:tc>
          <w:tcPr>
            <w:tcW w:type="dxa" w:w="7200"/>
            <w:tcMar>
              <w:top w:w="90" w:type="dxa"/>
              <w:start w:w="110" w:type="dxa"/>
              <w:bottom w:w="90" w:type="dxa"/>
              <w:end w:w="110" w:type="dxa"/>
            </w:tcMar>
            <w:vAlign w:val="center"/>
          </w:tcPr>
          <w:p>
            <w:r>
              <w:rPr>
                <w:sz w:val="15"/>
              </w:rPr>
              <w:t>Qualified Opportunity billing events, subscriptions, attribution and disputes.</w:t>
            </w:r>
          </w:p>
        </w:tc>
      </w:tr>
      <w:tr>
        <w:tc>
          <w:tcPr>
            <w:tcW w:type="dxa" w:w="2592"/>
            <w:shd w:fill="F7F9FB"/>
            <w:tcMar>
              <w:top w:w="90" w:type="dxa"/>
              <w:start w:w="110" w:type="dxa"/>
              <w:bottom w:w="90" w:type="dxa"/>
              <w:end w:w="110" w:type="dxa"/>
            </w:tcMar>
            <w:vAlign w:val="center"/>
          </w:tcPr>
          <w:p>
            <w:r>
              <w:rPr>
                <w:sz w:val="15"/>
              </w:rPr>
              <w:t>Marketplace Integrity</w:t>
            </w:r>
          </w:p>
        </w:tc>
        <w:tc>
          <w:tcPr>
            <w:tcW w:type="dxa" w:w="7200"/>
            <w:shd w:fill="F7F9FB"/>
            <w:tcMar>
              <w:top w:w="90" w:type="dxa"/>
              <w:start w:w="110" w:type="dxa"/>
              <w:bottom w:w="90" w:type="dxa"/>
              <w:end w:w="110" w:type="dxa"/>
            </w:tcMar>
            <w:vAlign w:val="center"/>
          </w:tcPr>
          <w:p>
            <w:r>
              <w:rPr>
                <w:sz w:val="15"/>
              </w:rPr>
              <w:t>Duplicate, spam, suspicious pattern and abuse controls.</w:t>
            </w:r>
          </w:p>
        </w:tc>
      </w:tr>
      <w:tr>
        <w:tc>
          <w:tcPr>
            <w:tcW w:type="dxa" w:w="2592"/>
            <w:tcMar>
              <w:top w:w="90" w:type="dxa"/>
              <w:start w:w="110" w:type="dxa"/>
              <w:bottom w:w="90" w:type="dxa"/>
              <w:end w:w="110" w:type="dxa"/>
            </w:tcMar>
            <w:vAlign w:val="center"/>
          </w:tcPr>
          <w:p>
            <w:r>
              <w:rPr>
                <w:sz w:val="15"/>
              </w:rPr>
              <w:t>WEZA Administration</w:t>
            </w:r>
          </w:p>
        </w:tc>
        <w:tc>
          <w:tcPr>
            <w:tcW w:type="dxa" w:w="7200"/>
            <w:tcMar>
              <w:top w:w="90" w:type="dxa"/>
              <w:start w:w="110" w:type="dxa"/>
              <w:bottom w:w="90" w:type="dxa"/>
              <w:end w:w="110" w:type="dxa"/>
            </w:tcMar>
            <w:vAlign w:val="center"/>
          </w:tcPr>
          <w:p>
            <w:r>
              <w:rPr>
                <w:sz w:val="15"/>
              </w:rPr>
              <w:t>Network governance, institution verification, support, configuration and audit.</w:t>
            </w:r>
          </w:p>
        </w:tc>
      </w:tr>
    </w:tbl>
    <w:p>
      <w:pPr>
        <w:spacing w:after="20"/>
      </w:pPr>
    </w:p>
    <w:p>
      <w:pPr>
        <w:pStyle w:val="Heading1"/>
      </w:pPr>
      <w:r>
        <w:t>3. Core Functional Actors</w:t>
      </w:r>
    </w:p>
    <w:tbl>
      <w:tblPr>
        <w:tblStyle w:val="TableGrid"/>
        <w:tblW w:type="auto" w:w="0"/>
        <w:jc w:val="center"/>
        <w:tblLook w:firstColumn="1" w:firstRow="1" w:lastColumn="0" w:lastRow="0" w:noHBand="0" w:noVBand="1" w:val="04A0"/>
      </w:tblPr>
      <w:tblGrid>
        <w:gridCol w:w="5083"/>
        <w:gridCol w:w="5083"/>
      </w:tblGrid>
      <w:tr>
        <w:tc>
          <w:tcPr>
            <w:tcW w:type="dxa" w:w="2448"/>
            <w:shd w:fill="0B1F3A"/>
            <w:tcMar>
              <w:top w:w="90" w:type="dxa"/>
              <w:start w:w="110" w:type="dxa"/>
              <w:bottom w:w="90" w:type="dxa"/>
              <w:end w:w="110" w:type="dxa"/>
            </w:tcMar>
          </w:tcPr>
          <w:p>
            <w:r>
              <w:rPr>
                <w:b/>
                <w:color w:val="FFFFFF"/>
                <w:sz w:val="16"/>
              </w:rPr>
              <w:t>Actor</w:t>
            </w:r>
          </w:p>
        </w:tc>
        <w:tc>
          <w:tcPr>
            <w:tcW w:type="dxa" w:w="7344"/>
            <w:shd w:fill="0B1F3A"/>
            <w:tcMar>
              <w:top w:w="90" w:type="dxa"/>
              <w:start w:w="110" w:type="dxa"/>
              <w:bottom w:w="90" w:type="dxa"/>
              <w:end w:w="110" w:type="dxa"/>
            </w:tcMar>
          </w:tcPr>
          <w:p>
            <w:r>
              <w:rPr>
                <w:b/>
                <w:color w:val="FFFFFF"/>
                <w:sz w:val="16"/>
              </w:rPr>
              <w:t>Core Permissions</w:t>
            </w:r>
          </w:p>
        </w:tc>
      </w:tr>
      <w:tr>
        <w:tc>
          <w:tcPr>
            <w:tcW w:type="dxa" w:w="2448"/>
            <w:tcMar>
              <w:top w:w="90" w:type="dxa"/>
              <w:start w:w="110" w:type="dxa"/>
              <w:bottom w:w="90" w:type="dxa"/>
              <w:end w:w="110" w:type="dxa"/>
            </w:tcMar>
            <w:vAlign w:val="center"/>
          </w:tcPr>
          <w:p>
            <w:r>
              <w:rPr>
                <w:sz w:val="15"/>
              </w:rPr>
              <w:t>Customer</w:t>
            </w:r>
          </w:p>
        </w:tc>
        <w:tc>
          <w:tcPr>
            <w:tcW w:type="dxa" w:w="7344"/>
            <w:tcMar>
              <w:top w:w="90" w:type="dxa"/>
              <w:start w:w="110" w:type="dxa"/>
              <w:bottom w:w="90" w:type="dxa"/>
              <w:end w:w="110" w:type="dxa"/>
            </w:tcMar>
            <w:vAlign w:val="center"/>
          </w:tcPr>
          <w:p>
            <w:r>
              <w:rPr>
                <w:sz w:val="15"/>
              </w:rPr>
              <w:t>Create financial need, verify identity/contact, provide profile, view matches, consent, submit, track and withdraw.</w:t>
            </w:r>
          </w:p>
        </w:tc>
      </w:tr>
      <w:tr>
        <w:tc>
          <w:tcPr>
            <w:tcW w:type="dxa" w:w="2448"/>
            <w:shd w:fill="F7F9FB"/>
            <w:tcMar>
              <w:top w:w="90" w:type="dxa"/>
              <w:start w:w="110" w:type="dxa"/>
              <w:bottom w:w="90" w:type="dxa"/>
              <w:end w:w="110" w:type="dxa"/>
            </w:tcMar>
            <w:vAlign w:val="center"/>
          </w:tcPr>
          <w:p>
            <w:r>
              <w:rPr>
                <w:sz w:val="15"/>
              </w:rPr>
              <w:t>Institution Administrator</w:t>
            </w:r>
          </w:p>
        </w:tc>
        <w:tc>
          <w:tcPr>
            <w:tcW w:type="dxa" w:w="7344"/>
            <w:shd w:fill="F7F9FB"/>
            <w:tcMar>
              <w:top w:w="90" w:type="dxa"/>
              <w:start w:w="110" w:type="dxa"/>
              <w:bottom w:w="90" w:type="dxa"/>
              <w:end w:w="110" w:type="dxa"/>
            </w:tcMar>
            <w:vAlign w:val="center"/>
          </w:tcPr>
          <w:p>
            <w:r>
              <w:rPr>
                <w:sz w:val="15"/>
              </w:rPr>
              <w:t>Workspace, users, permissions and institution settings.</w:t>
            </w:r>
          </w:p>
        </w:tc>
      </w:tr>
      <w:tr>
        <w:tc>
          <w:tcPr>
            <w:tcW w:type="dxa" w:w="2448"/>
            <w:tcMar>
              <w:top w:w="90" w:type="dxa"/>
              <w:start w:w="110" w:type="dxa"/>
              <w:bottom w:w="90" w:type="dxa"/>
              <w:end w:w="110" w:type="dxa"/>
            </w:tcMar>
            <w:vAlign w:val="center"/>
          </w:tcPr>
          <w:p>
            <w:r>
              <w:rPr>
                <w:sz w:val="15"/>
              </w:rPr>
              <w:t>Executive</w:t>
            </w:r>
          </w:p>
        </w:tc>
        <w:tc>
          <w:tcPr>
            <w:tcW w:type="dxa" w:w="7344"/>
            <w:tcMar>
              <w:top w:w="90" w:type="dxa"/>
              <w:start w:w="110" w:type="dxa"/>
              <w:bottom w:w="90" w:type="dxa"/>
              <w:end w:w="110" w:type="dxa"/>
            </w:tcMar>
            <w:vAlign w:val="center"/>
          </w:tcPr>
          <w:p>
            <w:r>
              <w:rPr>
                <w:sz w:val="15"/>
              </w:rPr>
              <w:t>Strategic marketplace intelligence and approved simulations.</w:t>
            </w:r>
          </w:p>
        </w:tc>
      </w:tr>
      <w:tr>
        <w:tc>
          <w:tcPr>
            <w:tcW w:type="dxa" w:w="2448"/>
            <w:shd w:fill="F7F9FB"/>
            <w:tcMar>
              <w:top w:w="90" w:type="dxa"/>
              <w:start w:w="110" w:type="dxa"/>
              <w:bottom w:w="90" w:type="dxa"/>
              <w:end w:w="110" w:type="dxa"/>
            </w:tcMar>
            <w:vAlign w:val="center"/>
          </w:tcPr>
          <w:p>
            <w:r>
              <w:rPr>
                <w:sz w:val="15"/>
              </w:rPr>
              <w:t>Business/Product Lead</w:t>
            </w:r>
          </w:p>
        </w:tc>
        <w:tc>
          <w:tcPr>
            <w:tcW w:type="dxa" w:w="7344"/>
            <w:shd w:fill="F7F9FB"/>
            <w:tcMar>
              <w:top w:w="90" w:type="dxa"/>
              <w:start w:w="110" w:type="dxa"/>
              <w:bottom w:w="90" w:type="dxa"/>
              <w:end w:w="110" w:type="dxa"/>
            </w:tcMar>
            <w:vAlign w:val="center"/>
          </w:tcPr>
          <w:p>
            <w:r>
              <w:rPr>
                <w:sz w:val="15"/>
              </w:rPr>
              <w:t>Products, mandates, campaigns and opportunity performance.</w:t>
            </w:r>
          </w:p>
        </w:tc>
      </w:tr>
      <w:tr>
        <w:tc>
          <w:tcPr>
            <w:tcW w:type="dxa" w:w="2448"/>
            <w:tcMar>
              <w:top w:w="90" w:type="dxa"/>
              <w:start w:w="110" w:type="dxa"/>
              <w:bottom w:w="90" w:type="dxa"/>
              <w:end w:w="110" w:type="dxa"/>
            </w:tcMar>
            <w:vAlign w:val="center"/>
          </w:tcPr>
          <w:p>
            <w:r>
              <w:rPr>
                <w:sz w:val="15"/>
              </w:rPr>
              <w:t>Credit/Risk Lead</w:t>
            </w:r>
          </w:p>
        </w:tc>
        <w:tc>
          <w:tcPr>
            <w:tcW w:type="dxa" w:w="7344"/>
            <w:tcMar>
              <w:top w:w="90" w:type="dxa"/>
              <w:start w:w="110" w:type="dxa"/>
              <w:bottom w:w="90" w:type="dxa"/>
              <w:end w:w="110" w:type="dxa"/>
            </w:tcMar>
            <w:vAlign w:val="center"/>
          </w:tcPr>
          <w:p>
            <w:r>
              <w:rPr>
                <w:sz w:val="15"/>
              </w:rPr>
              <w:t>Appetite rules, simulations and outcome-pattern review.</w:t>
            </w:r>
          </w:p>
        </w:tc>
      </w:tr>
      <w:tr>
        <w:tc>
          <w:tcPr>
            <w:tcW w:type="dxa" w:w="2448"/>
            <w:shd w:fill="F7F9FB"/>
            <w:tcMar>
              <w:top w:w="90" w:type="dxa"/>
              <w:start w:w="110" w:type="dxa"/>
              <w:bottom w:w="90" w:type="dxa"/>
              <w:end w:w="110" w:type="dxa"/>
            </w:tcMar>
            <w:vAlign w:val="center"/>
          </w:tcPr>
          <w:p>
            <w:r>
              <w:rPr>
                <w:sz w:val="15"/>
              </w:rPr>
              <w:t>Team Manager</w:t>
            </w:r>
          </w:p>
        </w:tc>
        <w:tc>
          <w:tcPr>
            <w:tcW w:type="dxa" w:w="7344"/>
            <w:shd w:fill="F7F9FB"/>
            <w:tcMar>
              <w:top w:w="90" w:type="dxa"/>
              <w:start w:w="110" w:type="dxa"/>
              <w:bottom w:w="90" w:type="dxa"/>
              <w:end w:w="110" w:type="dxa"/>
            </w:tcMar>
            <w:vAlign w:val="center"/>
          </w:tcPr>
          <w:p>
            <w:r>
              <w:rPr>
                <w:sz w:val="15"/>
              </w:rPr>
              <w:t>Assignments, response targets, team queues and escalations.</w:t>
            </w:r>
          </w:p>
        </w:tc>
      </w:tr>
      <w:tr>
        <w:tc>
          <w:tcPr>
            <w:tcW w:type="dxa" w:w="2448"/>
            <w:tcMar>
              <w:top w:w="90" w:type="dxa"/>
              <w:start w:w="110" w:type="dxa"/>
              <w:bottom w:w="90" w:type="dxa"/>
              <w:end w:w="110" w:type="dxa"/>
            </w:tcMar>
            <w:vAlign w:val="center"/>
          </w:tcPr>
          <w:p>
            <w:r>
              <w:rPr>
                <w:sz w:val="15"/>
              </w:rPr>
              <w:t>Relationship/Business Officer</w:t>
            </w:r>
          </w:p>
        </w:tc>
        <w:tc>
          <w:tcPr>
            <w:tcW w:type="dxa" w:w="7344"/>
            <w:tcMar>
              <w:top w:w="90" w:type="dxa"/>
              <w:start w:w="110" w:type="dxa"/>
              <w:bottom w:w="90" w:type="dxa"/>
              <w:end w:w="110" w:type="dxa"/>
            </w:tcMar>
            <w:vAlign w:val="center"/>
          </w:tcPr>
          <w:p>
            <w:r>
              <w:rPr>
                <w:sz w:val="15"/>
              </w:rPr>
              <w:t>Assigned opportunities, contact actions and lightweight outcome updates.</w:t>
            </w:r>
          </w:p>
        </w:tc>
      </w:tr>
      <w:tr>
        <w:tc>
          <w:tcPr>
            <w:tcW w:type="dxa" w:w="2448"/>
            <w:shd w:fill="F7F9FB"/>
            <w:tcMar>
              <w:top w:w="90" w:type="dxa"/>
              <w:start w:w="110" w:type="dxa"/>
              <w:bottom w:w="90" w:type="dxa"/>
              <w:end w:w="110" w:type="dxa"/>
            </w:tcMar>
            <w:vAlign w:val="center"/>
          </w:tcPr>
          <w:p>
            <w:r>
              <w:rPr>
                <w:sz w:val="15"/>
              </w:rPr>
              <w:t>Compliance</w:t>
            </w:r>
          </w:p>
        </w:tc>
        <w:tc>
          <w:tcPr>
            <w:tcW w:type="dxa" w:w="7344"/>
            <w:shd w:fill="F7F9FB"/>
            <w:tcMar>
              <w:top w:w="90" w:type="dxa"/>
              <w:start w:w="110" w:type="dxa"/>
              <w:bottom w:w="90" w:type="dxa"/>
              <w:end w:w="110" w:type="dxa"/>
            </w:tcMar>
            <w:vAlign w:val="center"/>
          </w:tcPr>
          <w:p>
            <w:r>
              <w:rPr>
                <w:sz w:val="15"/>
              </w:rPr>
              <w:t>Consent/access/audit visibility within assigned scope.</w:t>
            </w:r>
          </w:p>
        </w:tc>
      </w:tr>
      <w:tr>
        <w:tc>
          <w:tcPr>
            <w:tcW w:type="dxa" w:w="2448"/>
            <w:tcMar>
              <w:top w:w="90" w:type="dxa"/>
              <w:start w:w="110" w:type="dxa"/>
              <w:bottom w:w="90" w:type="dxa"/>
              <w:end w:w="110" w:type="dxa"/>
            </w:tcMar>
            <w:vAlign w:val="center"/>
          </w:tcPr>
          <w:p>
            <w:r>
              <w:rPr>
                <w:sz w:val="15"/>
              </w:rPr>
              <w:t>WEZA Operations/Admin</w:t>
            </w:r>
          </w:p>
        </w:tc>
        <w:tc>
          <w:tcPr>
            <w:tcW w:type="dxa" w:w="7344"/>
            <w:tcMar>
              <w:top w:w="90" w:type="dxa"/>
              <w:start w:w="110" w:type="dxa"/>
              <w:bottom w:w="90" w:type="dxa"/>
              <w:end w:w="110" w:type="dxa"/>
            </w:tcMar>
            <w:vAlign w:val="center"/>
          </w:tcPr>
          <w:p>
            <w:r>
              <w:rPr>
                <w:sz w:val="15"/>
              </w:rPr>
              <w:t>Institution verification, network controls, disputes, support and configuration.</w:t>
            </w:r>
          </w:p>
        </w:tc>
      </w:tr>
    </w:tbl>
    <w:p>
      <w:pPr>
        <w:spacing w:after="20"/>
      </w:pPr>
    </w:p>
    <w:p>
      <w:pPr>
        <w:pStyle w:val="Heading1"/>
      </w:pPr>
      <w:r>
        <w:t>4. Customer Discovery and Session Initiation</w:t>
      </w:r>
    </w:p>
    <w:p>
      <w:pPr>
        <w:pStyle w:val="Heading2"/>
      </w:pPr>
      <w:r>
        <w:t>FSD-CUS-001 - Acquisition Attribution</w:t>
      </w:r>
    </w:p>
    <w:p>
      <w:r>
        <w:t>Every supported WEZA entry point should accept a Source ID and optional Campaign/Partner ID. The system shall persist acquisition lineage from session through Qualified Opportunity and commercial event.</w:t>
      </w:r>
    </w:p>
    <w:p>
      <w:pPr>
        <w:pStyle w:val="Heading2"/>
      </w:pPr>
      <w:r>
        <w:t>FSD-CUS-002 - Start Conversation</w:t>
      </w:r>
    </w:p>
    <w:p>
      <w:r>
        <w:t>Trigger: customer opens WEZA via WhatsApp or web. System creates/retrieves a customer session, records source attribution and asks the customer to describe the financial need in natural language.</w:t>
      </w:r>
    </w:p>
    <w:p>
      <w:r>
        <w:t>Default prompt: 'Welcome to WEZA. Tell me what you would like financing for.'</w:t>
      </w:r>
    </w:p>
    <w:p>
      <w:pPr>
        <w:pStyle w:val="Heading2"/>
      </w:pPr>
      <w:r>
        <w:t>FSD-CUS-003 - Resume Journey</w:t>
      </w:r>
    </w:p>
    <w:p>
      <w:r>
        <w:t>If a verified customer returns with an incomplete active journey, WEZA shall offer to continue it rather than restart, subject to session, consent and data-validity rules.</w:t>
      </w:r>
    </w:p>
    <w:p>
      <w:pPr>
        <w:pStyle w:val="Heading1"/>
      </w:pPr>
      <w:r>
        <w:t>5. Financial Intent Engine</w:t>
      </w:r>
    </w:p>
    <w:p>
      <w:pPr>
        <w:pStyle w:val="Heading2"/>
      </w:pPr>
      <w:r>
        <w:t>FSD-INT-001 - Natural Language Extraction</w:t>
      </w:r>
    </w:p>
    <w:p>
      <w:r>
        <w:t>The engine shall extract, where available: requested amount, currency, purpose, customer type, likely product family, sector/activity, urgency and confidence.</w:t>
      </w:r>
    </w:p>
    <w:tbl>
      <w:tblPr>
        <w:tblStyle w:val="TableGrid"/>
        <w:tblW w:type="auto" w:w="0"/>
        <w:jc w:val="center"/>
        <w:tblLook w:firstColumn="1" w:firstRow="1" w:lastColumn="0" w:lastRow="0" w:noHBand="0" w:noVBand="1" w:val="04A0"/>
      </w:tblPr>
      <w:tblGrid>
        <w:gridCol w:w="5083"/>
        <w:gridCol w:w="5083"/>
      </w:tblGrid>
      <w:tr>
        <w:tc>
          <w:tcPr>
            <w:tcW w:type="dxa" w:w="4032"/>
            <w:shd w:fill="0B1F3A"/>
            <w:tcMar>
              <w:top w:w="90" w:type="dxa"/>
              <w:start w:w="110" w:type="dxa"/>
              <w:bottom w:w="90" w:type="dxa"/>
              <w:end w:w="110" w:type="dxa"/>
            </w:tcMar>
          </w:tcPr>
          <w:p>
            <w:r>
              <w:rPr>
                <w:b/>
                <w:color w:val="FFFFFF"/>
                <w:sz w:val="16"/>
              </w:rPr>
              <w:t>Input Example</w:t>
            </w:r>
          </w:p>
        </w:tc>
        <w:tc>
          <w:tcPr>
            <w:tcW w:type="dxa" w:w="5760"/>
            <w:shd w:fill="0B1F3A"/>
            <w:tcMar>
              <w:top w:w="90" w:type="dxa"/>
              <w:start w:w="110" w:type="dxa"/>
              <w:bottom w:w="90" w:type="dxa"/>
              <w:end w:w="110" w:type="dxa"/>
            </w:tcMar>
          </w:tcPr>
          <w:p>
            <w:r>
              <w:rPr>
                <w:b/>
                <w:color w:val="FFFFFF"/>
                <w:sz w:val="16"/>
              </w:rPr>
              <w:t>Structured Output</w:t>
            </w:r>
          </w:p>
        </w:tc>
      </w:tr>
      <w:tr>
        <w:tc>
          <w:tcPr>
            <w:tcW w:type="dxa" w:w="4032"/>
            <w:tcMar>
              <w:top w:w="90" w:type="dxa"/>
              <w:start w:w="110" w:type="dxa"/>
              <w:bottom w:w="90" w:type="dxa"/>
              <w:end w:w="110" w:type="dxa"/>
            </w:tcMar>
            <w:vAlign w:val="center"/>
          </w:tcPr>
          <w:p>
            <w:r>
              <w:rPr>
                <w:sz w:val="15"/>
              </w:rPr>
              <w:t>'I need UGX 20 million to buy equipment for my bakery.'</w:t>
            </w:r>
          </w:p>
        </w:tc>
        <w:tc>
          <w:tcPr>
            <w:tcW w:type="dxa" w:w="5760"/>
            <w:tcMar>
              <w:top w:w="90" w:type="dxa"/>
              <w:start w:w="110" w:type="dxa"/>
              <w:bottom w:w="90" w:type="dxa"/>
              <w:end w:w="110" w:type="dxa"/>
            </w:tcMar>
            <w:vAlign w:val="center"/>
          </w:tcPr>
          <w:p>
            <w:r>
              <w:rPr>
                <w:sz w:val="15"/>
              </w:rPr>
              <w:t>Amount: UGX 20M; Purpose: Equipment; Customer Type: SME; Sector: Bakery/Food; Candidate Product: Asset/SME Finance.</w:t>
            </w:r>
          </w:p>
        </w:tc>
      </w:tr>
      <w:tr>
        <w:tc>
          <w:tcPr>
            <w:tcW w:type="dxa" w:w="4032"/>
            <w:shd w:fill="F7F9FB"/>
            <w:tcMar>
              <w:top w:w="90" w:type="dxa"/>
              <w:start w:w="110" w:type="dxa"/>
              <w:bottom w:w="90" w:type="dxa"/>
              <w:end w:w="110" w:type="dxa"/>
            </w:tcMar>
            <w:vAlign w:val="center"/>
          </w:tcPr>
          <w:p>
            <w:r>
              <w:rPr>
                <w:sz w:val="15"/>
              </w:rPr>
              <w:t>'I need money for school fees.'</w:t>
            </w:r>
          </w:p>
        </w:tc>
        <w:tc>
          <w:tcPr>
            <w:tcW w:type="dxa" w:w="5760"/>
            <w:shd w:fill="F7F9FB"/>
            <w:tcMar>
              <w:top w:w="90" w:type="dxa"/>
              <w:start w:w="110" w:type="dxa"/>
              <w:bottom w:w="90" w:type="dxa"/>
              <w:end w:w="110" w:type="dxa"/>
            </w:tcMar>
            <w:vAlign w:val="center"/>
          </w:tcPr>
          <w:p>
            <w:r>
              <w:rPr>
                <w:sz w:val="15"/>
              </w:rPr>
              <w:t>Purpose: School Fees; Amount: Missing; Customer Type: Unknown; follow-up required.</w:t>
            </w:r>
          </w:p>
        </w:tc>
      </w:tr>
    </w:tbl>
    <w:p>
      <w:pPr>
        <w:spacing w:after="20"/>
      </w:pPr>
    </w:p>
    <w:p>
      <w:pPr>
        <w:pStyle w:val="Heading2"/>
      </w:pPr>
      <w:r>
        <w:t>FSD-INT-002 - Missing Information</w:t>
      </w:r>
    </w:p>
    <w:p>
      <w:r>
        <w:t>The engine shall ask the minimum next question needed to progress. It shall not require the customer to know formal product terminology.</w:t>
      </w:r>
    </w:p>
    <w:p>
      <w:pPr>
        <w:pStyle w:val="Heading2"/>
      </w:pPr>
      <w:r>
        <w:t>FSD-INT-003 - Intent Confirmation</w:t>
      </w:r>
    </w:p>
    <w:p>
      <w:r>
        <w:t>Before matching, the system shall allow the customer to confirm or correct critical interpreted information such as amount and purpose.</w:t>
      </w:r>
    </w:p>
    <w:p>
      <w:pPr>
        <w:pStyle w:val="Heading1"/>
      </w:pPr>
      <w:r>
        <w:t>6. Dynamic Customer Profiling</w:t>
      </w:r>
    </w:p>
    <w:p>
      <w:r>
        <w:t>Question paths shall be configurable by customer type, financial need and product family.</w:t>
      </w:r>
    </w:p>
    <w:tbl>
      <w:tblPr>
        <w:tblStyle w:val="TableGrid"/>
        <w:tblW w:type="auto" w:w="0"/>
        <w:jc w:val="center"/>
        <w:tblLook w:firstColumn="1" w:firstRow="1" w:lastColumn="0" w:lastRow="0" w:noHBand="0" w:noVBand="1" w:val="04A0"/>
      </w:tblPr>
      <w:tblGrid>
        <w:gridCol w:w="5083"/>
        <w:gridCol w:w="5083"/>
      </w:tblGrid>
      <w:tr>
        <w:tc>
          <w:tcPr>
            <w:tcW w:type="dxa" w:w="2016"/>
            <w:shd w:fill="0B1F3A"/>
            <w:tcMar>
              <w:top w:w="90" w:type="dxa"/>
              <w:start w:w="110" w:type="dxa"/>
              <w:bottom w:w="90" w:type="dxa"/>
              <w:end w:w="110" w:type="dxa"/>
            </w:tcMar>
          </w:tcPr>
          <w:p>
            <w:r>
              <w:rPr>
                <w:b/>
                <w:color w:val="FFFFFF"/>
                <w:sz w:val="16"/>
              </w:rPr>
              <w:t>Profile</w:t>
            </w:r>
          </w:p>
        </w:tc>
        <w:tc>
          <w:tcPr>
            <w:tcW w:type="dxa" w:w="7776"/>
            <w:shd w:fill="0B1F3A"/>
            <w:tcMar>
              <w:top w:w="90" w:type="dxa"/>
              <w:start w:w="110" w:type="dxa"/>
              <w:bottom w:w="90" w:type="dxa"/>
              <w:end w:w="110" w:type="dxa"/>
            </w:tcMar>
          </w:tcPr>
          <w:p>
            <w:r>
              <w:rPr>
                <w:b/>
                <w:color w:val="FFFFFF"/>
                <w:sz w:val="16"/>
              </w:rPr>
              <w:t>Illustrative Fields</w:t>
            </w:r>
          </w:p>
        </w:tc>
      </w:tr>
      <w:tr>
        <w:tc>
          <w:tcPr>
            <w:tcW w:type="dxa" w:w="2016"/>
            <w:tcMar>
              <w:top w:w="90" w:type="dxa"/>
              <w:start w:w="110" w:type="dxa"/>
              <w:bottom w:w="90" w:type="dxa"/>
              <w:end w:w="110" w:type="dxa"/>
            </w:tcMar>
            <w:vAlign w:val="center"/>
          </w:tcPr>
          <w:p>
            <w:r>
              <w:rPr>
                <w:sz w:val="15"/>
              </w:rPr>
              <w:t>Salaried</w:t>
            </w:r>
          </w:p>
        </w:tc>
        <w:tc>
          <w:tcPr>
            <w:tcW w:type="dxa" w:w="7776"/>
            <w:tcMar>
              <w:top w:w="90" w:type="dxa"/>
              <w:start w:w="110" w:type="dxa"/>
              <w:bottom w:w="90" w:type="dxa"/>
              <w:end w:w="110" w:type="dxa"/>
            </w:tcMar>
            <w:vAlign w:val="center"/>
          </w:tcPr>
          <w:p>
            <w:r>
              <w:rPr>
                <w:sz w:val="15"/>
              </w:rPr>
              <w:t>Employer, employment status/duration, reported income, obligations, amount, purpose and location.</w:t>
            </w:r>
          </w:p>
        </w:tc>
      </w:tr>
      <w:tr>
        <w:tc>
          <w:tcPr>
            <w:tcW w:type="dxa" w:w="2016"/>
            <w:shd w:fill="F7F9FB"/>
            <w:tcMar>
              <w:top w:w="90" w:type="dxa"/>
              <w:start w:w="110" w:type="dxa"/>
              <w:bottom w:w="90" w:type="dxa"/>
              <w:end w:w="110" w:type="dxa"/>
            </w:tcMar>
            <w:vAlign w:val="center"/>
          </w:tcPr>
          <w:p>
            <w:r>
              <w:rPr>
                <w:sz w:val="15"/>
              </w:rPr>
              <w:t>SME</w:t>
            </w:r>
          </w:p>
        </w:tc>
        <w:tc>
          <w:tcPr>
            <w:tcW w:type="dxa" w:w="7776"/>
            <w:shd w:fill="F7F9FB"/>
            <w:tcMar>
              <w:top w:w="90" w:type="dxa"/>
              <w:start w:w="110" w:type="dxa"/>
              <w:bottom w:w="90" w:type="dxa"/>
              <w:end w:w="110" w:type="dxa"/>
            </w:tcMar>
            <w:vAlign w:val="center"/>
          </w:tcPr>
          <w:p>
            <w:r>
              <w:rPr>
                <w:sz w:val="15"/>
              </w:rPr>
              <w:t>Business name/type, sector, location, age, reported turnover, registration, obligations, amount and purpose.</w:t>
            </w:r>
          </w:p>
        </w:tc>
      </w:tr>
      <w:tr>
        <w:tc>
          <w:tcPr>
            <w:tcW w:type="dxa" w:w="2016"/>
            <w:tcMar>
              <w:top w:w="90" w:type="dxa"/>
              <w:start w:w="110" w:type="dxa"/>
              <w:bottom w:w="90" w:type="dxa"/>
              <w:end w:w="110" w:type="dxa"/>
            </w:tcMar>
            <w:vAlign w:val="center"/>
          </w:tcPr>
          <w:p>
            <w:r>
              <w:rPr>
                <w:sz w:val="15"/>
              </w:rPr>
              <w:t>Agriculture</w:t>
            </w:r>
          </w:p>
        </w:tc>
        <w:tc>
          <w:tcPr>
            <w:tcW w:type="dxa" w:w="7776"/>
            <w:tcMar>
              <w:top w:w="90" w:type="dxa"/>
              <w:start w:w="110" w:type="dxa"/>
              <w:bottom w:w="90" w:type="dxa"/>
              <w:end w:w="110" w:type="dxa"/>
            </w:tcMar>
            <w:vAlign w:val="center"/>
          </w:tcPr>
          <w:p>
            <w:r>
              <w:rPr>
                <w:sz w:val="15"/>
              </w:rPr>
              <w:t>Activity, location, operating period, cycle, financing purpose, amount and relevant supporting information.</w:t>
            </w:r>
          </w:p>
        </w:tc>
      </w:tr>
    </w:tbl>
    <w:p>
      <w:pPr>
        <w:spacing w:after="20"/>
      </w:pPr>
    </w:p>
    <w:p>
      <w:r>
        <w:t>The system shall minimise repeated questions and may request confirmation where previously stored information is old or materially relevant.</w:t>
      </w:r>
    </w:p>
    <w:p>
      <w:pPr>
        <w:pStyle w:val="Heading1"/>
      </w:pPr>
      <w:r>
        <w:t>7. Identity and Marketplace Verification</w:t>
      </w:r>
    </w:p>
    <w:p>
      <w:pPr>
        <w:pStyle w:val="Heading2"/>
      </w:pPr>
      <w:r>
        <w:t>FSD-IDV-001 - Phone OTP</w:t>
      </w:r>
    </w:p>
    <w:p>
      <w:pPr>
        <w:pStyle w:val="ListNumber"/>
        <w:spacing w:after="40"/>
      </w:pPr>
      <w:r>
        <w:t>Capture phone number.</w:t>
      </w:r>
    </w:p>
    <w:p>
      <w:pPr>
        <w:pStyle w:val="ListNumber"/>
        <w:spacing w:after="40"/>
      </w:pPr>
      <w:r>
        <w:t>Generate OTP.</w:t>
      </w:r>
    </w:p>
    <w:p>
      <w:pPr>
        <w:pStyle w:val="ListNumber"/>
        <w:spacing w:after="40"/>
      </w:pPr>
      <w:r>
        <w:t>Send through configured verification channel.</w:t>
      </w:r>
    </w:p>
    <w:p>
      <w:pPr>
        <w:pStyle w:val="ListNumber"/>
        <w:spacing w:after="40"/>
      </w:pPr>
      <w:r>
        <w:t>Validate customer-entered OTP.</w:t>
      </w:r>
    </w:p>
    <w:p>
      <w:pPr>
        <w:pStyle w:val="ListNumber"/>
        <w:spacing w:after="40"/>
      </w:pPr>
      <w:r>
        <w:t>Set Phone Verified on success.</w:t>
      </w:r>
    </w:p>
    <w:p>
      <w:r>
        <w:t>Failure states: Incorrect OTP; Expired OTP; Maximum Attempts Exceeded; Delivery Failure. Resend shall be rate-limited.</w:t>
      </w:r>
    </w:p>
    <w:p>
      <w:pPr>
        <w:pStyle w:val="Heading2"/>
      </w:pPr>
      <w:r>
        <w:t>FSD-IDV-002 - Identity Capture</w:t>
      </w:r>
    </w:p>
    <w:p>
      <w:r>
        <w:t>The system may capture legal name, national identification/NIN, identification document and business registration information as configured. Marketplace verification must remain visibly distinct from formal institution KYC.</w:t>
      </w:r>
    </w:p>
    <w:p>
      <w:pPr>
        <w:pStyle w:val="Heading2"/>
      </w:pPr>
      <w:r>
        <w:t>FSD-IDV-003 - Disbursement Boundary</w:t>
      </w:r>
    </w:p>
    <w:p>
      <w:r>
        <w:t>The phone number used for WhatsApp/OTP shall never automatically be treated as an authorised disbursement destination. The institution validates payment destination under its own controls.</w:t>
      </w:r>
    </w:p>
    <w:p>
      <w:pPr>
        <w:pStyle w:val="Heading1"/>
      </w:pPr>
      <w:r>
        <w:t>8. Customer Financial Profile</w:t>
      </w:r>
    </w:p>
    <w:p>
      <w:r>
        <w:t>WEZA shall maintain a structured profile containing customer identity/contact, customer type, financial needs, relevant employment/business data, customer-provided financial information, documents, verification status, preferences and consent records.</w:t>
      </w:r>
    </w:p>
    <w:p>
      <w:pPr>
        <w:pStyle w:val="Heading2"/>
      </w:pPr>
      <w:r>
        <w:t>FSD-PRO-001 - Data Validity</w:t>
      </w:r>
    </w:p>
    <w:p>
      <w:r>
        <w:t>Profile fields may have validation status, source, capture timestamp and expiry/reconfirmation requirements.</w:t>
      </w:r>
    </w:p>
    <w:p>
      <w:pPr>
        <w:pStyle w:val="Heading2"/>
      </w:pPr>
      <w:r>
        <w:t>FSD-PRO-002 - Customer Correction</w:t>
      </w:r>
    </w:p>
    <w:p>
      <w:r>
        <w:t>Customers shall be able to correct relevant profile information before routing. Material changes after matching shall trigger re-evaluation.</w:t>
      </w:r>
    </w:p>
    <w:p>
      <w:pPr>
        <w:pStyle w:val="Heading1"/>
      </w:pPr>
      <w:r>
        <w:t>9. Customer Readiness and Quality</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0B1F3A"/>
            <w:tcMar>
              <w:top w:w="90" w:type="dxa"/>
              <w:start w:w="110" w:type="dxa"/>
              <w:bottom w:w="90" w:type="dxa"/>
              <w:end w:w="110" w:type="dxa"/>
            </w:tcMar>
          </w:tcPr>
          <w:p>
            <w:r>
              <w:rPr>
                <w:b/>
                <w:color w:val="FFFFFF"/>
                <w:sz w:val="16"/>
              </w:rPr>
              <w:t>State</w:t>
            </w:r>
          </w:p>
        </w:tc>
        <w:tc>
          <w:tcPr>
            <w:tcW w:type="dxa" w:w="3600"/>
            <w:shd w:fill="0B1F3A"/>
            <w:tcMar>
              <w:top w:w="90" w:type="dxa"/>
              <w:start w:w="110" w:type="dxa"/>
              <w:bottom w:w="90" w:type="dxa"/>
              <w:end w:w="110" w:type="dxa"/>
            </w:tcMar>
          </w:tcPr>
          <w:p>
            <w:r>
              <w:rPr>
                <w:b/>
                <w:color w:val="FFFFFF"/>
                <w:sz w:val="16"/>
              </w:rPr>
              <w:t>Definition</w:t>
            </w:r>
          </w:p>
        </w:tc>
        <w:tc>
          <w:tcPr>
            <w:tcW w:type="dxa" w:w="4176"/>
            <w:shd w:fill="0B1F3A"/>
            <w:tcMar>
              <w:top w:w="90" w:type="dxa"/>
              <w:start w:w="110" w:type="dxa"/>
              <w:bottom w:w="90" w:type="dxa"/>
              <w:end w:w="110" w:type="dxa"/>
            </w:tcMar>
          </w:tcPr>
          <w:p>
            <w:r>
              <w:rPr>
                <w:b/>
                <w:color w:val="FFFFFF"/>
                <w:sz w:val="16"/>
              </w:rPr>
              <w:t>Action</w:t>
            </w:r>
          </w:p>
        </w:tc>
      </w:tr>
      <w:tr>
        <w:tc>
          <w:tcPr>
            <w:tcW w:type="dxa" w:w="2016"/>
            <w:tcMar>
              <w:top w:w="90" w:type="dxa"/>
              <w:start w:w="110" w:type="dxa"/>
              <w:bottom w:w="90" w:type="dxa"/>
              <w:end w:w="110" w:type="dxa"/>
            </w:tcMar>
            <w:vAlign w:val="center"/>
          </w:tcPr>
          <w:p>
            <w:r>
              <w:rPr>
                <w:sz w:val="15"/>
              </w:rPr>
              <w:t>READY_NOW</w:t>
            </w:r>
          </w:p>
        </w:tc>
        <w:tc>
          <w:tcPr>
            <w:tcW w:type="dxa" w:w="3600"/>
            <w:tcMar>
              <w:top w:w="90" w:type="dxa"/>
              <w:start w:w="110" w:type="dxa"/>
              <w:bottom w:w="90" w:type="dxa"/>
              <w:end w:w="110" w:type="dxa"/>
            </w:tcMar>
            <w:vAlign w:val="center"/>
          </w:tcPr>
          <w:p>
            <w:r>
              <w:rPr>
                <w:sz w:val="15"/>
              </w:rPr>
              <w:t>Minimum configured marketplace information is complete.</w:t>
            </w:r>
          </w:p>
        </w:tc>
        <w:tc>
          <w:tcPr>
            <w:tcW w:type="dxa" w:w="4176"/>
            <w:tcMar>
              <w:top w:w="90" w:type="dxa"/>
              <w:start w:w="110" w:type="dxa"/>
              <w:bottom w:w="90" w:type="dxa"/>
              <w:end w:w="110" w:type="dxa"/>
            </w:tcMar>
            <w:vAlign w:val="center"/>
          </w:tcPr>
          <w:p>
            <w:r>
              <w:rPr>
                <w:sz w:val="15"/>
              </w:rPr>
              <w:t>Proceed to matching.</w:t>
            </w:r>
          </w:p>
        </w:tc>
      </w:tr>
      <w:tr>
        <w:tc>
          <w:tcPr>
            <w:tcW w:type="dxa" w:w="2016"/>
            <w:shd w:fill="F7F9FB"/>
            <w:tcMar>
              <w:top w:w="90" w:type="dxa"/>
              <w:start w:w="110" w:type="dxa"/>
              <w:bottom w:w="90" w:type="dxa"/>
              <w:end w:w="110" w:type="dxa"/>
            </w:tcMar>
            <w:vAlign w:val="center"/>
          </w:tcPr>
          <w:p>
            <w:r>
              <w:rPr>
                <w:sz w:val="15"/>
              </w:rPr>
              <w:t>ALMOST_READY</w:t>
            </w:r>
          </w:p>
        </w:tc>
        <w:tc>
          <w:tcPr>
            <w:tcW w:type="dxa" w:w="3600"/>
            <w:shd w:fill="F7F9FB"/>
            <w:tcMar>
              <w:top w:w="90" w:type="dxa"/>
              <w:start w:w="110" w:type="dxa"/>
              <w:bottom w:w="90" w:type="dxa"/>
              <w:end w:w="110" w:type="dxa"/>
            </w:tcMar>
            <w:vAlign w:val="center"/>
          </w:tcPr>
          <w:p>
            <w:r>
              <w:rPr>
                <w:sz w:val="15"/>
              </w:rPr>
              <w:t>Potential match exists but required information/documentation is incomplete.</w:t>
            </w:r>
          </w:p>
        </w:tc>
        <w:tc>
          <w:tcPr>
            <w:tcW w:type="dxa" w:w="4176"/>
            <w:shd w:fill="F7F9FB"/>
            <w:tcMar>
              <w:top w:w="90" w:type="dxa"/>
              <w:start w:w="110" w:type="dxa"/>
              <w:bottom w:w="90" w:type="dxa"/>
              <w:end w:w="110" w:type="dxa"/>
            </w:tcMar>
            <w:vAlign w:val="center"/>
          </w:tcPr>
          <w:p>
            <w:r>
              <w:rPr>
                <w:sz w:val="15"/>
              </w:rPr>
              <w:t>Guide customer to missing item.</w:t>
            </w:r>
          </w:p>
        </w:tc>
      </w:tr>
      <w:tr>
        <w:tc>
          <w:tcPr>
            <w:tcW w:type="dxa" w:w="2016"/>
            <w:tcMar>
              <w:top w:w="90" w:type="dxa"/>
              <w:start w:w="110" w:type="dxa"/>
              <w:bottom w:w="90" w:type="dxa"/>
              <w:end w:w="110" w:type="dxa"/>
            </w:tcMar>
            <w:vAlign w:val="center"/>
          </w:tcPr>
          <w:p>
            <w:r>
              <w:rPr>
                <w:sz w:val="15"/>
              </w:rPr>
              <w:t>NO_CURRENT_MATCH</w:t>
            </w:r>
          </w:p>
        </w:tc>
        <w:tc>
          <w:tcPr>
            <w:tcW w:type="dxa" w:w="3600"/>
            <w:tcMar>
              <w:top w:w="90" w:type="dxa"/>
              <w:start w:w="110" w:type="dxa"/>
              <w:bottom w:w="90" w:type="dxa"/>
              <w:end w:w="110" w:type="dxa"/>
            </w:tcMar>
            <w:vAlign w:val="center"/>
          </w:tcPr>
          <w:p>
            <w:r>
              <w:rPr>
                <w:sz w:val="15"/>
              </w:rPr>
              <w:t>No active provider currently meets matching threshold.</w:t>
            </w:r>
          </w:p>
        </w:tc>
        <w:tc>
          <w:tcPr>
            <w:tcW w:type="dxa" w:w="4176"/>
            <w:tcMar>
              <w:top w:w="90" w:type="dxa"/>
              <w:start w:w="110" w:type="dxa"/>
              <w:bottom w:w="90" w:type="dxa"/>
              <w:end w:w="110" w:type="dxa"/>
            </w:tcMar>
            <w:vAlign w:val="center"/>
          </w:tcPr>
          <w:p>
            <w:r>
              <w:rPr>
                <w:sz w:val="15"/>
              </w:rPr>
              <w:t>Explain state and offer Waiting Room where enabled.</w:t>
            </w:r>
          </w:p>
        </w:tc>
      </w:tr>
    </w:tbl>
    <w:p>
      <w:pPr>
        <w:spacing w:after="20"/>
      </w:pPr>
    </w:p>
    <w:p>
      <w:pPr>
        <w:pStyle w:val="Heading2"/>
      </w:pPr>
      <w:r>
        <w:t>FSD-SCR-001 - WEZA Quality Score</w:t>
      </w:r>
    </w:p>
    <w:p>
      <w:r>
        <w:t>Quality Score measures marketplace completeness and readiness, not creditworthiness or probability of approval. Inputs may include phone/identity status, required profile completeness, document completeness, consistency and responsiveness.</w:t>
      </w:r>
    </w:p>
    <w:p>
      <w:pPr>
        <w:pStyle w:val="Heading2"/>
      </w:pPr>
      <w:r>
        <w:t>FSD-SCR-002 - Score Explainability</w:t>
      </w:r>
    </w:p>
    <w:p>
      <w:r>
        <w:t>Authorised users shall be able to see the main factors contributing to the score. Score logic shall be versioned.</w:t>
      </w:r>
    </w:p>
    <w:p>
      <w:pPr>
        <w:pStyle w:val="Heading1"/>
      </w:pPr>
      <w:r>
        <w:t>10. Opportunity Engine and Market Clearing</w:t>
      </w:r>
    </w:p>
    <w:p>
      <w:pPr>
        <w:pStyle w:val="Heading2"/>
      </w:pPr>
      <w:r>
        <w:t>FSD-MAT-001 - Candidate Retrieval</w:t>
      </w:r>
    </w:p>
    <w:p>
      <w:r>
        <w:t>The engine shall consider only institutions, products and appetite mandates in eligible active states.</w:t>
      </w:r>
    </w:p>
    <w:p>
      <w:pPr>
        <w:pStyle w:val="Heading2"/>
      </w:pPr>
      <w:r>
        <w:t>FSD-MAT-002 - Match Evaluation</w:t>
      </w:r>
    </w:p>
    <w:p>
      <w:r>
        <w:t>The Match Score is institution-specific and shall evaluate relevant product eligibility, institution appetite, customer readiness, customer preference and configured marketplace capacity.</w:t>
      </w:r>
    </w:p>
    <w:p>
      <w:pPr>
        <w:pStyle w:val="Heading2"/>
      </w:pPr>
      <w:r>
        <w:t>FSD-MAT-003 - Explainability</w:t>
      </w:r>
    </w:p>
    <w:p>
      <w:r>
        <w:t>Every match shall persist a structured explanation snapshot: matched criteria, near-miss criteria, exclusions and rule version.</w:t>
      </w:r>
    </w:p>
    <w:p>
      <w:pPr>
        <w:pStyle w:val="Heading2"/>
      </w:pPr>
      <w:r>
        <w:t>FSD-MAT-004 - Market Clearing</w:t>
      </w:r>
    </w:p>
    <w:p>
      <w:r>
        <w:t>The Market Clearing layer shall periodically or event-driven re-evaluate eligible active demand against changes in products, appetite, capacity and customer status. It shall never disclose identifiable customer data solely because a new match appears.</w:t>
      </w:r>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Matching determines relevance. It does not constitute underwriting, approval or a promise of finance.</w:t>
            </w:r>
          </w:p>
        </w:tc>
      </w:tr>
    </w:tbl>
    <w:p>
      <w:pPr>
        <w:spacing w:after="0"/>
      </w:pPr>
    </w:p>
    <w:p>
      <w:pPr>
        <w:pStyle w:val="Heading1"/>
      </w:pPr>
      <w:r>
        <w:t>11. Privacy-Preserving Opportunity Levels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0B1F3A"/>
            <w:tcMar>
              <w:top w:w="90" w:type="dxa"/>
              <w:start w:w="110" w:type="dxa"/>
              <w:bottom w:w="90" w:type="dxa"/>
              <w:end w:w="110" w:type="dxa"/>
            </w:tcMar>
          </w:tcPr>
          <w:p>
            <w:r>
              <w:rPr>
                <w:b/>
                <w:color w:val="FFFFFF"/>
                <w:sz w:val="16"/>
              </w:rPr>
              <w:t>Level</w:t>
            </w:r>
          </w:p>
        </w:tc>
        <w:tc>
          <w:tcPr>
            <w:tcW w:type="dxa" w:w="3168"/>
            <w:shd w:fill="0B1F3A"/>
            <w:tcMar>
              <w:top w:w="90" w:type="dxa"/>
              <w:start w:w="110" w:type="dxa"/>
              <w:bottom w:w="90" w:type="dxa"/>
              <w:end w:w="110" w:type="dxa"/>
            </w:tcMar>
          </w:tcPr>
          <w:p>
            <w:r>
              <w:rPr>
                <w:b/>
                <w:color w:val="FFFFFF"/>
                <w:sz w:val="16"/>
              </w:rPr>
              <w:t>Visibility</w:t>
            </w:r>
          </w:p>
        </w:tc>
        <w:tc>
          <w:tcPr>
            <w:tcW w:type="dxa" w:w="4032"/>
            <w:shd w:fill="0B1F3A"/>
            <w:tcMar>
              <w:top w:w="90" w:type="dxa"/>
              <w:start w:w="110" w:type="dxa"/>
              <w:bottom w:w="90" w:type="dxa"/>
              <w:end w:w="110" w:type="dxa"/>
            </w:tcMar>
          </w:tcPr>
          <w:p>
            <w:r>
              <w:rPr>
                <w:b/>
                <w:color w:val="FFFFFF"/>
                <w:sz w:val="16"/>
              </w:rPr>
              <w:t>Purpose</w:t>
            </w:r>
          </w:p>
        </w:tc>
      </w:tr>
      <w:tr>
        <w:tc>
          <w:tcPr>
            <w:tcW w:type="dxa" w:w="2592"/>
            <w:tcMar>
              <w:top w:w="90" w:type="dxa"/>
              <w:start w:w="110" w:type="dxa"/>
              <w:bottom w:w="90" w:type="dxa"/>
              <w:end w:w="110" w:type="dxa"/>
            </w:tcMar>
            <w:vAlign w:val="center"/>
          </w:tcPr>
          <w:p>
            <w:r>
              <w:rPr>
                <w:sz w:val="15"/>
              </w:rPr>
              <w:t>Level 1 - Market Intelligence</w:t>
            </w:r>
          </w:p>
        </w:tc>
        <w:tc>
          <w:tcPr>
            <w:tcW w:type="dxa" w:w="3168"/>
            <w:tcMar>
              <w:top w:w="90" w:type="dxa"/>
              <w:start w:w="110" w:type="dxa"/>
              <w:bottom w:w="90" w:type="dxa"/>
              <w:end w:w="110" w:type="dxa"/>
            </w:tcMar>
            <w:vAlign w:val="center"/>
          </w:tcPr>
          <w:p>
            <w:r>
              <w:rPr>
                <w:sz w:val="15"/>
              </w:rPr>
              <w:t>Aggregated/anonymised only.</w:t>
            </w:r>
          </w:p>
        </w:tc>
        <w:tc>
          <w:tcPr>
            <w:tcW w:type="dxa" w:w="4032"/>
            <w:tcMar>
              <w:top w:w="90" w:type="dxa"/>
              <w:start w:w="110" w:type="dxa"/>
              <w:bottom w:w="90" w:type="dxa"/>
              <w:end w:w="110" w:type="dxa"/>
            </w:tcMar>
            <w:vAlign w:val="center"/>
          </w:tcPr>
          <w:p>
            <w:r>
              <w:rPr>
                <w:sz w:val="15"/>
              </w:rPr>
              <w:t>Demand trends, liquidity and product-gap intelligence.</w:t>
            </w:r>
          </w:p>
        </w:tc>
      </w:tr>
      <w:tr>
        <w:tc>
          <w:tcPr>
            <w:tcW w:type="dxa" w:w="2592"/>
            <w:shd w:fill="F7F9FB"/>
            <w:tcMar>
              <w:top w:w="90" w:type="dxa"/>
              <w:start w:w="110" w:type="dxa"/>
              <w:bottom w:w="90" w:type="dxa"/>
              <w:end w:w="110" w:type="dxa"/>
            </w:tcMar>
            <w:vAlign w:val="center"/>
          </w:tcPr>
          <w:p>
            <w:r>
              <w:rPr>
                <w:sz w:val="15"/>
              </w:rPr>
              <w:t>Level 2 - Opportunity Preview</w:t>
            </w:r>
          </w:p>
        </w:tc>
        <w:tc>
          <w:tcPr>
            <w:tcW w:type="dxa" w:w="3168"/>
            <w:shd w:fill="F7F9FB"/>
            <w:tcMar>
              <w:top w:w="90" w:type="dxa"/>
              <w:start w:w="110" w:type="dxa"/>
              <w:bottom w:w="90" w:type="dxa"/>
              <w:end w:w="110" w:type="dxa"/>
            </w:tcMar>
            <w:vAlign w:val="center"/>
          </w:tcPr>
          <w:p>
            <w:r>
              <w:rPr>
                <w:sz w:val="15"/>
              </w:rPr>
              <w:t>Non-identifiable individual opportunity summary.</w:t>
            </w:r>
          </w:p>
        </w:tc>
        <w:tc>
          <w:tcPr>
            <w:tcW w:type="dxa" w:w="4032"/>
            <w:shd w:fill="F7F9FB"/>
            <w:tcMar>
              <w:top w:w="90" w:type="dxa"/>
              <w:start w:w="110" w:type="dxa"/>
              <w:bottom w:w="90" w:type="dxa"/>
              <w:end w:w="110" w:type="dxa"/>
            </w:tcMar>
            <w:vAlign w:val="center"/>
          </w:tcPr>
          <w:p>
            <w:r>
              <w:rPr>
                <w:sz w:val="15"/>
              </w:rPr>
              <w:t>Allow permitted institution interest/capacity decisions without customer identity disclosure.</w:t>
            </w:r>
          </w:p>
        </w:tc>
      </w:tr>
      <w:tr>
        <w:tc>
          <w:tcPr>
            <w:tcW w:type="dxa" w:w="2592"/>
            <w:tcMar>
              <w:top w:w="90" w:type="dxa"/>
              <w:start w:w="110" w:type="dxa"/>
              <w:bottom w:w="90" w:type="dxa"/>
              <w:end w:w="110" w:type="dxa"/>
            </w:tcMar>
            <w:vAlign w:val="center"/>
          </w:tcPr>
          <w:p>
            <w:r>
              <w:rPr>
                <w:sz w:val="15"/>
              </w:rPr>
              <w:t>Level 3 - Qualified Opportunity</w:t>
            </w:r>
          </w:p>
        </w:tc>
        <w:tc>
          <w:tcPr>
            <w:tcW w:type="dxa" w:w="3168"/>
            <w:tcMar>
              <w:top w:w="90" w:type="dxa"/>
              <w:start w:w="110" w:type="dxa"/>
              <w:bottom w:w="90" w:type="dxa"/>
              <w:end w:w="110" w:type="dxa"/>
            </w:tcMar>
            <w:vAlign w:val="center"/>
          </w:tcPr>
          <w:p>
            <w:r>
              <w:rPr>
                <w:sz w:val="15"/>
              </w:rPr>
              <w:t>Identifiable data within explicit consent scope.</w:t>
            </w:r>
          </w:p>
        </w:tc>
        <w:tc>
          <w:tcPr>
            <w:tcW w:type="dxa" w:w="4032"/>
            <w:tcMar>
              <w:top w:w="90" w:type="dxa"/>
              <w:start w:w="110" w:type="dxa"/>
              <w:bottom w:w="90" w:type="dxa"/>
              <w:end w:w="110" w:type="dxa"/>
            </w:tcMar>
            <w:vAlign w:val="center"/>
          </w:tcPr>
          <w:p>
            <w:r>
              <w:rPr>
                <w:sz w:val="15"/>
              </w:rPr>
              <w:t>Enable the selected/authorised institution to contact and progress the customer.</w:t>
            </w:r>
          </w:p>
        </w:tc>
      </w:tr>
    </w:tbl>
    <w:p>
      <w:pPr>
        <w:spacing w:after="20"/>
      </w:pPr>
    </w:p>
    <w:p>
      <w:pPr>
        <w:pStyle w:val="Heading2"/>
      </w:pPr>
      <w:r>
        <w:t>FSD-PRV-001 - Preview Rules</w:t>
      </w:r>
    </w:p>
    <w:p>
      <w:r>
        <w:t>An Opportunity Preview shall not expose name, phone, NIN, raw identity documents or other direct identifiers.</w:t>
      </w:r>
    </w:p>
    <w:p>
      <w:pPr>
        <w:pStyle w:val="Heading2"/>
      </w:pPr>
      <w:r>
        <w:t>FSD-PRV-002 - Disclosure Upgrade</w:t>
      </w:r>
    </w:p>
    <w:p>
      <w:r>
        <w:t>The system may move from Preview to Qualified Opportunity only after the applicable customer selection/consent event.</w:t>
      </w:r>
    </w:p>
    <w:p>
      <w:pPr>
        <w:pStyle w:val="Heading1"/>
      </w:pPr>
      <w:r>
        <w:t>12. Customer Marketplace and Preference</w:t>
      </w:r>
    </w:p>
    <w:p>
      <w:pPr>
        <w:pStyle w:val="Heading2"/>
      </w:pPr>
      <w:r>
        <w:t>FSD-MKT-001 - Present Options</w:t>
      </w:r>
    </w:p>
    <w:p>
      <w:r>
        <w:t>Suitable options may show institution, product, potential amount/range, indicative tenor, approved customer-facing cost information, key requirements and why the option matched.</w:t>
      </w:r>
    </w:p>
    <w:p>
      <w:pPr>
        <w:pStyle w:val="Heading2"/>
      </w:pPr>
      <w:r>
        <w:t>FSD-MKT-002 - Customer Preference</w:t>
      </w:r>
    </w:p>
    <w:p>
      <w:r>
        <w:t>Where enabled, the customer may express preferences such as lower monthly payment, shorter/longer tenor, lower collateral burden, digital journey, proximity, response speed or a specific provider. Preference influences ranking only within policy and eligibility constraints.</w:t>
      </w:r>
    </w:p>
    <w:p>
      <w:pPr>
        <w:pStyle w:val="Heading2"/>
      </w:pPr>
      <w:r>
        <w:t>FSD-MKT-003 - Why / Why Not</w:t>
      </w:r>
    </w:p>
    <w:p>
      <w:r>
        <w:t>WEZA should explain why an option matched and, where appropriate and permissible, why another option did not match without revealing confidential institution logic.</w:t>
      </w:r>
    </w:p>
    <w:p>
      <w:pPr>
        <w:pStyle w:val="Heading1"/>
      </w:pPr>
      <w:r>
        <w:t>13. Consent and Customer Data Control</w:t>
      </w:r>
    </w:p>
    <w:p>
      <w:pPr>
        <w:pStyle w:val="Heading2"/>
      </w:pPr>
      <w:r>
        <w:t>FSD-CON-001 - Institution-Specific Consent</w:t>
      </w:r>
    </w:p>
    <w:p>
      <w:r>
        <w:t>Before Level 3 disclosure, WEZA shall show institution, purpose and data categories to be shared. Consent record fields: Consent ID, Customer ID, Institution ID, Opportunity ID, purpose, categories, timestamp, version and status.</w:t>
      </w:r>
    </w:p>
    <w:p>
      <w:pPr>
        <w:pStyle w:val="Heading2"/>
      </w:pPr>
      <w:r>
        <w:t>FSD-CON-002 - Withdrawal</w:t>
      </w:r>
    </w:p>
    <w:p>
      <w:r>
        <w:t>Where withdrawal is legally/operationally available, the system shall record it and stop future WEZA disclosures. It cannot retroactively erase information already lawfully received by an institution; the customer should be informed of this distinction.</w:t>
      </w:r>
    </w:p>
    <w:p>
      <w:pPr>
        <w:pStyle w:val="Heading2"/>
      </w:pPr>
      <w:r>
        <w:t>FSD-CON-003 - Contact Preference</w:t>
      </w:r>
    </w:p>
    <w:p>
      <w:r>
        <w:t>Customer may specify preferred contact channel and permitted contact window where supported.</w:t>
      </w:r>
    </w:p>
    <w:p>
      <w:pPr>
        <w:pStyle w:val="Heading1"/>
      </w:pPr>
      <w:r>
        <w:t>14. Qualified Opportunity Creation</w:t>
      </w:r>
    </w:p>
    <w:p>
      <w:pPr>
        <w:pStyle w:val="Heading2"/>
      </w:pPr>
      <w:r>
        <w:t>FSD-OPP-001 - Preconditions</w:t>
      </w:r>
    </w:p>
    <w:p>
      <w:pPr>
        <w:pStyle w:val="ListBullet"/>
        <w:spacing w:after="40"/>
      </w:pPr>
      <w:r>
        <w:t>Customer verified to configured marketplace level.</w:t>
      </w:r>
    </w:p>
    <w:p>
      <w:pPr>
        <w:pStyle w:val="ListBullet"/>
        <w:spacing w:after="40"/>
      </w:pPr>
      <w:r>
        <w:t>Financial intent established.</w:t>
      </w:r>
    </w:p>
    <w:p>
      <w:pPr>
        <w:pStyle w:val="ListBullet"/>
        <w:spacing w:after="40"/>
      </w:pPr>
      <w:r>
        <w:t>Mandatory profile complete.</w:t>
      </w:r>
    </w:p>
    <w:p>
      <w:pPr>
        <w:pStyle w:val="ListBullet"/>
        <w:spacing w:after="40"/>
      </w:pPr>
      <w:r>
        <w:t>Eligible active product and appetite exist.</w:t>
      </w:r>
    </w:p>
    <w:p>
      <w:pPr>
        <w:pStyle w:val="ListBullet"/>
        <w:spacing w:after="40"/>
      </w:pPr>
      <w:r>
        <w:t>Minimum match threshold satisfied.</w:t>
      </w:r>
    </w:p>
    <w:p>
      <w:pPr>
        <w:pStyle w:val="ListBullet"/>
        <w:spacing w:after="40"/>
      </w:pPr>
      <w:r>
        <w:t>Customer selected/authorised institution.</w:t>
      </w:r>
    </w:p>
    <w:p>
      <w:pPr>
        <w:pStyle w:val="ListBullet"/>
        <w:spacing w:after="40"/>
      </w:pPr>
      <w:r>
        <w:t>Valid consent captured.</w:t>
      </w:r>
    </w:p>
    <w:p>
      <w:pPr>
        <w:pStyle w:val="ListBullet"/>
        <w:spacing w:after="40"/>
      </w:pPr>
      <w:r>
        <w:t>Duplicate/commercial checks passed.</w:t>
      </w:r>
    </w:p>
    <w:p>
      <w:pPr>
        <w:pStyle w:val="Heading2"/>
      </w:pPr>
      <w:r>
        <w:t>FSD-OPP-002 - Creation</w:t>
      </w:r>
    </w:p>
    <w:p>
      <w:r>
        <w:t>System generates Opportunity ID and freezes a versioned snapshot of relevant customer data, product/appetite criteria, Quality Score, Match Score, explainability factors, consent and source attribution.</w:t>
      </w:r>
    </w:p>
    <w:p>
      <w:pPr>
        <w:pStyle w:val="Heading2"/>
      </w:pPr>
      <w:r>
        <w:t>FSD-OPP-003 - Commercial Lineage</w:t>
      </w:r>
    </w:p>
    <w:p>
      <w:r>
        <w:t>Opportunity shall permanently retain Customer Source → Campaign/Partner → Qualification → Institution → Billable Event → Outcome lineage.</w:t>
      </w:r>
    </w:p>
    <w:p>
      <w:pPr>
        <w:pStyle w:val="Heading1"/>
      </w:pPr>
      <w:r>
        <w:t>15. Opportunity Routing and Contact</w:t>
      </w:r>
    </w:p>
    <w:p>
      <w:r>
        <w:t>Qualified Opportunity → Institution Workspace → Routing Rules → Assigned Team/User → Notification Engine.</w:t>
      </w:r>
    </w:p>
    <w:p>
      <w:pPr>
        <w:pStyle w:val="Heading2"/>
      </w:pPr>
      <w:r>
        <w:t>FSD-OPP-004 - Contact Protection</w:t>
      </w:r>
    </w:p>
    <w:p>
      <w:r>
        <w:t>Architecture should support an optional Contact Through WEZA mode where initial institution-customer engagement can occur without unnecessary immediate exposure of direct contact information. Direct details may be released according to consent and workflow rules.</w:t>
      </w:r>
    </w:p>
    <w:p>
      <w:pPr>
        <w:pStyle w:val="Heading2"/>
      </w:pPr>
      <w:r>
        <w:t>FSD-OPP-005 - Routing Failure</w:t>
      </w:r>
    </w:p>
    <w:p>
      <w:r>
        <w:t>If institution, product or mandate becomes ineligible before disclosure, customer data shall not be routed. The system shall re-run matching and inform the customer appropriately.</w:t>
      </w:r>
    </w:p>
    <w:p>
      <w:pPr>
        <w:pStyle w:val="Heading1"/>
      </w:pPr>
      <w:r>
        <w:t>16. Institution Registration and Verification</w:t>
      </w:r>
    </w:p>
    <w:p>
      <w:r>
        <w:t>States: DRAFT → SUBMITTED → UNDER_VERIFICATION → APPROVED → CONFIGURING → READY → ACTIVE → PAUSED/SUSPENDED → CLOSED.</w:t>
      </w:r>
    </w:p>
    <w:p>
      <w:r>
        <w:t>Required fields include legal name, institution type, licence/regulatory information, authorised representative, business contact and compliance contact.</w:t>
      </w:r>
    </w:p>
    <w:p>
      <w:r>
        <w:t>Approval is required before the institution can access identifiable customer opportunities.</w:t>
      </w:r>
    </w:p>
    <w:p>
      <w:pPr>
        <w:pStyle w:val="Heading1"/>
      </w:pPr>
      <w:r>
        <w:t>17. Institutional Workspace and RBAC</w:t>
      </w:r>
    </w:p>
    <w:p>
      <w:r>
        <w:t>Each institution receives an isolated workspace. Institution A cannot access Institution B's identifiable opportunities.</w:t>
      </w:r>
    </w:p>
    <w:tbl>
      <w:tblPr>
        <w:tblStyle w:val="TableGrid"/>
        <w:tblW w:type="auto" w:w="0"/>
        <w:jc w:val="center"/>
        <w:tblLook w:firstColumn="1" w:firstRow="1" w:lastColumn="0" w:lastRow="0" w:noHBand="0" w:noVBand="1" w:val="04A0"/>
      </w:tblPr>
      <w:tblGrid>
        <w:gridCol w:w="5083"/>
        <w:gridCol w:w="5083"/>
      </w:tblGrid>
      <w:tr>
        <w:tc>
          <w:tcPr>
            <w:tcW w:type="dxa" w:w="2160"/>
            <w:shd w:fill="0B1F3A"/>
            <w:tcMar>
              <w:top w:w="90" w:type="dxa"/>
              <w:start w:w="110" w:type="dxa"/>
              <w:bottom w:w="90" w:type="dxa"/>
              <w:end w:w="110" w:type="dxa"/>
            </w:tcMar>
          </w:tcPr>
          <w:p>
            <w:r>
              <w:rPr>
                <w:b/>
                <w:color w:val="FFFFFF"/>
                <w:sz w:val="16"/>
              </w:rPr>
              <w:t>Role</w:t>
            </w:r>
          </w:p>
        </w:tc>
        <w:tc>
          <w:tcPr>
            <w:tcW w:type="dxa" w:w="7632"/>
            <w:shd w:fill="0B1F3A"/>
            <w:tcMar>
              <w:top w:w="90" w:type="dxa"/>
              <w:start w:w="110" w:type="dxa"/>
              <w:bottom w:w="90" w:type="dxa"/>
              <w:end w:w="110" w:type="dxa"/>
            </w:tcMar>
          </w:tcPr>
          <w:p>
            <w:r>
              <w:rPr>
                <w:b/>
                <w:color w:val="FFFFFF"/>
                <w:sz w:val="16"/>
              </w:rPr>
              <w:t>Key Functions</w:t>
            </w:r>
          </w:p>
        </w:tc>
      </w:tr>
      <w:tr>
        <w:tc>
          <w:tcPr>
            <w:tcW w:type="dxa" w:w="2160"/>
            <w:tcMar>
              <w:top w:w="90" w:type="dxa"/>
              <w:start w:w="110" w:type="dxa"/>
              <w:bottom w:w="90" w:type="dxa"/>
              <w:end w:w="110" w:type="dxa"/>
            </w:tcMar>
            <w:vAlign w:val="center"/>
          </w:tcPr>
          <w:p>
            <w:r>
              <w:rPr>
                <w:sz w:val="15"/>
              </w:rPr>
              <w:t>Administrator</w:t>
            </w:r>
          </w:p>
        </w:tc>
        <w:tc>
          <w:tcPr>
            <w:tcW w:type="dxa" w:w="7632"/>
            <w:tcMar>
              <w:top w:w="90" w:type="dxa"/>
              <w:start w:w="110" w:type="dxa"/>
              <w:bottom w:w="90" w:type="dxa"/>
              <w:end w:w="110" w:type="dxa"/>
            </w:tcMar>
            <w:vAlign w:val="center"/>
          </w:tcPr>
          <w:p>
            <w:r>
              <w:rPr>
                <w:sz w:val="15"/>
              </w:rPr>
              <w:t>Users, roles, workspace settings.</w:t>
            </w:r>
          </w:p>
        </w:tc>
      </w:tr>
      <w:tr>
        <w:tc>
          <w:tcPr>
            <w:tcW w:type="dxa" w:w="2160"/>
            <w:shd w:fill="F7F9FB"/>
            <w:tcMar>
              <w:top w:w="90" w:type="dxa"/>
              <w:start w:w="110" w:type="dxa"/>
              <w:bottom w:w="90" w:type="dxa"/>
              <w:end w:w="110" w:type="dxa"/>
            </w:tcMar>
            <w:vAlign w:val="center"/>
          </w:tcPr>
          <w:p>
            <w:r>
              <w:rPr>
                <w:sz w:val="15"/>
              </w:rPr>
              <w:t>Executive</w:t>
            </w:r>
          </w:p>
        </w:tc>
        <w:tc>
          <w:tcPr>
            <w:tcW w:type="dxa" w:w="7632"/>
            <w:shd w:fill="F7F9FB"/>
            <w:tcMar>
              <w:top w:w="90" w:type="dxa"/>
              <w:start w:w="110" w:type="dxa"/>
              <w:bottom w:w="90" w:type="dxa"/>
              <w:end w:w="110" w:type="dxa"/>
            </w:tcMar>
            <w:vAlign w:val="center"/>
          </w:tcPr>
          <w:p>
            <w:r>
              <w:rPr>
                <w:sz w:val="15"/>
              </w:rPr>
              <w:t>Strategic marketplace intelligence.</w:t>
            </w:r>
          </w:p>
        </w:tc>
      </w:tr>
      <w:tr>
        <w:tc>
          <w:tcPr>
            <w:tcW w:type="dxa" w:w="2160"/>
            <w:tcMar>
              <w:top w:w="90" w:type="dxa"/>
              <w:start w:w="110" w:type="dxa"/>
              <w:bottom w:w="90" w:type="dxa"/>
              <w:end w:w="110" w:type="dxa"/>
            </w:tcMar>
            <w:vAlign w:val="center"/>
          </w:tcPr>
          <w:p>
            <w:r>
              <w:rPr>
                <w:sz w:val="15"/>
              </w:rPr>
              <w:t>Business/Product</w:t>
            </w:r>
          </w:p>
        </w:tc>
        <w:tc>
          <w:tcPr>
            <w:tcW w:type="dxa" w:w="7632"/>
            <w:tcMar>
              <w:top w:w="90" w:type="dxa"/>
              <w:start w:w="110" w:type="dxa"/>
              <w:bottom w:w="90" w:type="dxa"/>
              <w:end w:w="110" w:type="dxa"/>
            </w:tcMar>
            <w:vAlign w:val="center"/>
          </w:tcPr>
          <w:p>
            <w:r>
              <w:rPr>
                <w:sz w:val="15"/>
              </w:rPr>
              <w:t>Products, mandates, campaigns.</w:t>
            </w:r>
          </w:p>
        </w:tc>
      </w:tr>
      <w:tr>
        <w:tc>
          <w:tcPr>
            <w:tcW w:type="dxa" w:w="2160"/>
            <w:shd w:fill="F7F9FB"/>
            <w:tcMar>
              <w:top w:w="90" w:type="dxa"/>
              <w:start w:w="110" w:type="dxa"/>
              <w:bottom w:w="90" w:type="dxa"/>
              <w:end w:w="110" w:type="dxa"/>
            </w:tcMar>
            <w:vAlign w:val="center"/>
          </w:tcPr>
          <w:p>
            <w:r>
              <w:rPr>
                <w:sz w:val="15"/>
              </w:rPr>
              <w:t>Credit/Risk</w:t>
            </w:r>
          </w:p>
        </w:tc>
        <w:tc>
          <w:tcPr>
            <w:tcW w:type="dxa" w:w="7632"/>
            <w:shd w:fill="F7F9FB"/>
            <w:tcMar>
              <w:top w:w="90" w:type="dxa"/>
              <w:start w:w="110" w:type="dxa"/>
              <w:bottom w:w="90" w:type="dxa"/>
              <w:end w:w="110" w:type="dxa"/>
            </w:tcMar>
            <w:vAlign w:val="center"/>
          </w:tcPr>
          <w:p>
            <w:r>
              <w:rPr>
                <w:sz w:val="15"/>
              </w:rPr>
              <w:t>Appetite, simulations, outcome patterns.</w:t>
            </w:r>
          </w:p>
        </w:tc>
      </w:tr>
      <w:tr>
        <w:tc>
          <w:tcPr>
            <w:tcW w:type="dxa" w:w="2160"/>
            <w:tcMar>
              <w:top w:w="90" w:type="dxa"/>
              <w:start w:w="110" w:type="dxa"/>
              <w:bottom w:w="90" w:type="dxa"/>
              <w:end w:w="110" w:type="dxa"/>
            </w:tcMar>
            <w:vAlign w:val="center"/>
          </w:tcPr>
          <w:p>
            <w:r>
              <w:rPr>
                <w:sz w:val="15"/>
              </w:rPr>
              <w:t>Manager</w:t>
            </w:r>
          </w:p>
        </w:tc>
        <w:tc>
          <w:tcPr>
            <w:tcW w:type="dxa" w:w="7632"/>
            <w:tcMar>
              <w:top w:w="90" w:type="dxa"/>
              <w:start w:w="110" w:type="dxa"/>
              <w:bottom w:w="90" w:type="dxa"/>
              <w:end w:w="110" w:type="dxa"/>
            </w:tcMar>
            <w:vAlign w:val="center"/>
          </w:tcPr>
          <w:p>
            <w:r>
              <w:rPr>
                <w:sz w:val="15"/>
              </w:rPr>
              <w:t>Queues, assignment, response performance.</w:t>
            </w:r>
          </w:p>
        </w:tc>
      </w:tr>
      <w:tr>
        <w:tc>
          <w:tcPr>
            <w:tcW w:type="dxa" w:w="2160"/>
            <w:shd w:fill="F7F9FB"/>
            <w:tcMar>
              <w:top w:w="90" w:type="dxa"/>
              <w:start w:w="110" w:type="dxa"/>
              <w:bottom w:w="90" w:type="dxa"/>
              <w:end w:w="110" w:type="dxa"/>
            </w:tcMar>
            <w:vAlign w:val="center"/>
          </w:tcPr>
          <w:p>
            <w:r>
              <w:rPr>
                <w:sz w:val="15"/>
              </w:rPr>
              <w:t>Officer</w:t>
            </w:r>
          </w:p>
        </w:tc>
        <w:tc>
          <w:tcPr>
            <w:tcW w:type="dxa" w:w="7632"/>
            <w:shd w:fill="F7F9FB"/>
            <w:tcMar>
              <w:top w:w="90" w:type="dxa"/>
              <w:start w:w="110" w:type="dxa"/>
              <w:bottom w:w="90" w:type="dxa"/>
              <w:end w:w="110" w:type="dxa"/>
            </w:tcMar>
            <w:vAlign w:val="center"/>
          </w:tcPr>
          <w:p>
            <w:r>
              <w:rPr>
                <w:sz w:val="15"/>
              </w:rPr>
              <w:t>Assigned opportunities and status updates.</w:t>
            </w:r>
          </w:p>
        </w:tc>
      </w:tr>
      <w:tr>
        <w:tc>
          <w:tcPr>
            <w:tcW w:type="dxa" w:w="2160"/>
            <w:tcMar>
              <w:top w:w="90" w:type="dxa"/>
              <w:start w:w="110" w:type="dxa"/>
              <w:bottom w:w="90" w:type="dxa"/>
              <w:end w:w="110" w:type="dxa"/>
            </w:tcMar>
            <w:vAlign w:val="center"/>
          </w:tcPr>
          <w:p>
            <w:r>
              <w:rPr>
                <w:sz w:val="15"/>
              </w:rPr>
              <w:t>Compliance</w:t>
            </w:r>
          </w:p>
        </w:tc>
        <w:tc>
          <w:tcPr>
            <w:tcW w:type="dxa" w:w="7632"/>
            <w:tcMar>
              <w:top w:w="90" w:type="dxa"/>
              <w:start w:w="110" w:type="dxa"/>
              <w:bottom w:w="90" w:type="dxa"/>
              <w:end w:w="110" w:type="dxa"/>
            </w:tcMar>
            <w:vAlign w:val="center"/>
          </w:tcPr>
          <w:p>
            <w:r>
              <w:rPr>
                <w:sz w:val="15"/>
              </w:rPr>
              <w:t>Consent/access/audit views within scope.</w:t>
            </w:r>
          </w:p>
        </w:tc>
      </w:tr>
    </w:tbl>
    <w:p>
      <w:pPr>
        <w:spacing w:after="20"/>
      </w:pPr>
    </w:p>
    <w:p>
      <w:pPr>
        <w:pStyle w:val="Heading1"/>
      </w:pPr>
      <w:r>
        <w:t>18. AI Institutional Onboarding Agent</w:t>
      </w:r>
    </w:p>
    <w:p>
      <w:r>
        <w:t>The agent may guide configuration and extract proposed product criteria from institution-provided approved documents. All consequential extracted rules remain DRAFT until authorised review and approval.</w:t>
      </w:r>
    </w:p>
    <w:p>
      <w:r>
        <w:t>The onboarding agent shall maintain provenance linking proposed fields to their source document/input where technically feasible.</w:t>
      </w:r>
    </w:p>
    <w:p>
      <w:pPr>
        <w:pStyle w:val="Heading1"/>
      </w:pPr>
      <w:r>
        <w:t>19. Product Studio</w:t>
      </w:r>
    </w:p>
    <w:p>
      <w:r>
        <w:t>Product states: DRAFT → PENDING_APPROVAL → ACTIVE → PAUSED → ARCHIVED.</w:t>
      </w:r>
    </w:p>
    <w:tbl>
      <w:tblPr>
        <w:tblStyle w:val="TableGrid"/>
        <w:tblW w:type="auto" w:w="0"/>
        <w:jc w:val="center"/>
        <w:tblLook w:firstColumn="1" w:firstRow="1" w:lastColumn="0" w:lastRow="0" w:noHBand="0" w:noVBand="1" w:val="04A0"/>
      </w:tblPr>
      <w:tblGrid>
        <w:gridCol w:w="5083"/>
        <w:gridCol w:w="5083"/>
      </w:tblGrid>
      <w:tr>
        <w:tc>
          <w:tcPr>
            <w:tcW w:type="dxa" w:w="2304"/>
            <w:shd w:fill="0B1F3A"/>
            <w:tcMar>
              <w:top w:w="90" w:type="dxa"/>
              <w:start w:w="110" w:type="dxa"/>
              <w:bottom w:w="90" w:type="dxa"/>
              <w:end w:w="110" w:type="dxa"/>
            </w:tcMar>
          </w:tcPr>
          <w:p>
            <w:r>
              <w:rPr>
                <w:b/>
                <w:color w:val="FFFFFF"/>
                <w:sz w:val="16"/>
              </w:rPr>
              <w:t>Field Group</w:t>
            </w:r>
          </w:p>
        </w:tc>
        <w:tc>
          <w:tcPr>
            <w:tcW w:type="dxa" w:w="7488"/>
            <w:shd w:fill="0B1F3A"/>
            <w:tcMar>
              <w:top w:w="90" w:type="dxa"/>
              <w:start w:w="110" w:type="dxa"/>
              <w:bottom w:w="90" w:type="dxa"/>
              <w:end w:w="110" w:type="dxa"/>
            </w:tcMar>
          </w:tcPr>
          <w:p>
            <w:r>
              <w:rPr>
                <w:b/>
                <w:color w:val="FFFFFF"/>
                <w:sz w:val="16"/>
              </w:rPr>
              <w:t>Fields</w:t>
            </w:r>
          </w:p>
        </w:tc>
      </w:tr>
      <w:tr>
        <w:tc>
          <w:tcPr>
            <w:tcW w:type="dxa" w:w="2304"/>
            <w:tcMar>
              <w:top w:w="90" w:type="dxa"/>
              <w:start w:w="110" w:type="dxa"/>
              <w:bottom w:w="90" w:type="dxa"/>
              <w:end w:w="110" w:type="dxa"/>
            </w:tcMar>
            <w:vAlign w:val="center"/>
          </w:tcPr>
          <w:p>
            <w:r>
              <w:rPr>
                <w:sz w:val="15"/>
              </w:rPr>
              <w:t>Identity</w:t>
            </w:r>
          </w:p>
        </w:tc>
        <w:tc>
          <w:tcPr>
            <w:tcW w:type="dxa" w:w="7488"/>
            <w:tcMar>
              <w:top w:w="90" w:type="dxa"/>
              <w:start w:w="110" w:type="dxa"/>
              <w:bottom w:w="90" w:type="dxa"/>
              <w:end w:w="110" w:type="dxa"/>
            </w:tcMar>
            <w:vAlign w:val="center"/>
          </w:tcPr>
          <w:p>
            <w:r>
              <w:rPr>
                <w:sz w:val="15"/>
              </w:rPr>
              <w:t>Product name, family, description, status.</w:t>
            </w:r>
          </w:p>
        </w:tc>
      </w:tr>
      <w:tr>
        <w:tc>
          <w:tcPr>
            <w:tcW w:type="dxa" w:w="2304"/>
            <w:shd w:fill="F7F9FB"/>
            <w:tcMar>
              <w:top w:w="90" w:type="dxa"/>
              <w:start w:w="110" w:type="dxa"/>
              <w:bottom w:w="90" w:type="dxa"/>
              <w:end w:w="110" w:type="dxa"/>
            </w:tcMar>
            <w:vAlign w:val="center"/>
          </w:tcPr>
          <w:p>
            <w:r>
              <w:rPr>
                <w:sz w:val="15"/>
              </w:rPr>
              <w:t>Terms</w:t>
            </w:r>
          </w:p>
        </w:tc>
        <w:tc>
          <w:tcPr>
            <w:tcW w:type="dxa" w:w="7488"/>
            <w:shd w:fill="F7F9FB"/>
            <w:tcMar>
              <w:top w:w="90" w:type="dxa"/>
              <w:start w:w="110" w:type="dxa"/>
              <w:bottom w:w="90" w:type="dxa"/>
              <w:end w:w="110" w:type="dxa"/>
            </w:tcMar>
            <w:vAlign w:val="center"/>
          </w:tcPr>
          <w:p>
            <w:r>
              <w:rPr>
                <w:sz w:val="15"/>
              </w:rPr>
              <w:t>Min/max amount, min/max tenor, approved indicative pricing fields.</w:t>
            </w:r>
          </w:p>
        </w:tc>
      </w:tr>
      <w:tr>
        <w:tc>
          <w:tcPr>
            <w:tcW w:type="dxa" w:w="2304"/>
            <w:tcMar>
              <w:top w:w="90" w:type="dxa"/>
              <w:start w:w="110" w:type="dxa"/>
              <w:bottom w:w="90" w:type="dxa"/>
              <w:end w:w="110" w:type="dxa"/>
            </w:tcMar>
            <w:vAlign w:val="center"/>
          </w:tcPr>
          <w:p>
            <w:r>
              <w:rPr>
                <w:sz w:val="15"/>
              </w:rPr>
              <w:t>Eligibility</w:t>
            </w:r>
          </w:p>
        </w:tc>
        <w:tc>
          <w:tcPr>
            <w:tcW w:type="dxa" w:w="7488"/>
            <w:tcMar>
              <w:top w:w="90" w:type="dxa"/>
              <w:start w:w="110" w:type="dxa"/>
              <w:bottom w:w="90" w:type="dxa"/>
              <w:end w:w="110" w:type="dxa"/>
            </w:tcMar>
            <w:vAlign w:val="center"/>
          </w:tcPr>
          <w:p>
            <w:r>
              <w:rPr>
                <w:sz w:val="15"/>
              </w:rPr>
              <w:t>Customer type, income/turnover, business/employment age, sector, geography and configurable rules.</w:t>
            </w:r>
          </w:p>
        </w:tc>
      </w:tr>
      <w:tr>
        <w:tc>
          <w:tcPr>
            <w:tcW w:type="dxa" w:w="2304"/>
            <w:shd w:fill="F7F9FB"/>
            <w:tcMar>
              <w:top w:w="90" w:type="dxa"/>
              <w:start w:w="110" w:type="dxa"/>
              <w:bottom w:w="90" w:type="dxa"/>
              <w:end w:w="110" w:type="dxa"/>
            </w:tcMar>
            <w:vAlign w:val="center"/>
          </w:tcPr>
          <w:p>
            <w:r>
              <w:rPr>
                <w:sz w:val="15"/>
              </w:rPr>
              <w:t>Requirements</w:t>
            </w:r>
          </w:p>
        </w:tc>
        <w:tc>
          <w:tcPr>
            <w:tcW w:type="dxa" w:w="7488"/>
            <w:shd w:fill="F7F9FB"/>
            <w:tcMar>
              <w:top w:w="90" w:type="dxa"/>
              <w:start w:w="110" w:type="dxa"/>
              <w:bottom w:w="90" w:type="dxa"/>
              <w:end w:w="110" w:type="dxa"/>
            </w:tcMar>
            <w:vAlign w:val="center"/>
          </w:tcPr>
          <w:p>
            <w:r>
              <w:rPr>
                <w:sz w:val="15"/>
              </w:rPr>
              <w:t>Documents/information needed for marketplace qualification.</w:t>
            </w:r>
          </w:p>
        </w:tc>
      </w:tr>
      <w:tr>
        <w:tc>
          <w:tcPr>
            <w:tcW w:type="dxa" w:w="2304"/>
            <w:tcMar>
              <w:top w:w="90" w:type="dxa"/>
              <w:start w:w="110" w:type="dxa"/>
              <w:bottom w:w="90" w:type="dxa"/>
              <w:end w:w="110" w:type="dxa"/>
            </w:tcMar>
            <w:vAlign w:val="center"/>
          </w:tcPr>
          <w:p>
            <w:r>
              <w:rPr>
                <w:sz w:val="15"/>
              </w:rPr>
              <w:t>Governance</w:t>
            </w:r>
          </w:p>
        </w:tc>
        <w:tc>
          <w:tcPr>
            <w:tcW w:type="dxa" w:w="7488"/>
            <w:tcMar>
              <w:top w:w="90" w:type="dxa"/>
              <w:start w:w="110" w:type="dxa"/>
              <w:bottom w:w="90" w:type="dxa"/>
              <w:end w:w="110" w:type="dxa"/>
            </w:tcMar>
            <w:vAlign w:val="center"/>
          </w:tcPr>
          <w:p>
            <w:r>
              <w:rPr>
                <w:sz w:val="15"/>
              </w:rPr>
              <w:t>Owner, approver, effective dates, rule version.</w:t>
            </w:r>
          </w:p>
        </w:tc>
      </w:tr>
    </w:tbl>
    <w:p>
      <w:pPr>
        <w:spacing w:after="20"/>
      </w:pPr>
    </w:p>
    <w:p>
      <w:pPr>
        <w:pStyle w:val="Heading1"/>
      </w:pPr>
      <w:r>
        <w:t>20. Appetite Studio and Capital Mandates</w:t>
      </w:r>
    </w:p>
    <w:p>
      <w:r>
        <w:t>Appetite describes what customers the institution currently wants WEZA to find. It is distinct from permanent product eligibility.</w:t>
      </w:r>
    </w:p>
    <w:p>
      <w:pPr>
        <w:pStyle w:val="ListBullet"/>
        <w:spacing w:after="40"/>
      </w:pPr>
      <w:r>
        <w:t>Product/customer segment.</w:t>
      </w:r>
    </w:p>
    <w:p>
      <w:pPr>
        <w:pStyle w:val="ListBullet"/>
        <w:spacing w:after="40"/>
      </w:pPr>
      <w:r>
        <w:t>Ticket range.</w:t>
      </w:r>
    </w:p>
    <w:p>
      <w:pPr>
        <w:pStyle w:val="ListBullet"/>
        <w:spacing w:after="40"/>
      </w:pPr>
      <w:r>
        <w:t>Sector/geography.</w:t>
      </w:r>
    </w:p>
    <w:p>
      <w:pPr>
        <w:pStyle w:val="ListBullet"/>
        <w:spacing w:after="40"/>
      </w:pPr>
      <w:r>
        <w:t>Business/employment characteristics.</w:t>
      </w:r>
    </w:p>
    <w:p>
      <w:pPr>
        <w:pStyle w:val="ListBullet"/>
        <w:spacing w:after="40"/>
      </w:pPr>
      <w:r>
        <w:t>Target opportunity count or financing-demand value.</w:t>
      </w:r>
    </w:p>
    <w:p>
      <w:pPr>
        <w:pStyle w:val="ListBullet"/>
        <w:spacing w:after="40"/>
      </w:pPr>
      <w:r>
        <w:t>Campaign dates.</w:t>
      </w:r>
    </w:p>
    <w:p>
      <w:pPr>
        <w:pStyle w:val="ListBullet"/>
        <w:spacing w:after="40"/>
      </w:pPr>
      <w:r>
        <w:t>Minimum Match Score.</w:t>
      </w:r>
    </w:p>
    <w:p>
      <w:pPr>
        <w:pStyle w:val="ListBullet"/>
        <w:spacing w:after="40"/>
      </w:pPr>
      <w:r>
        <w:t>Marketplace processing capacity.</w:t>
      </w:r>
    </w:p>
    <w:p>
      <w:pPr>
        <w:pStyle w:val="ListBullet"/>
        <w:spacing w:after="40"/>
      </w:pPr>
      <w:r>
        <w:t>Routing/service targets.</w:t>
      </w:r>
    </w:p>
    <w:p>
      <w:pPr>
        <w:pStyle w:val="Heading2"/>
      </w:pPr>
      <w:r>
        <w:t>FSD-APP-001 - Capacity States</w:t>
      </w:r>
    </w:p>
    <w:p>
      <w:r>
        <w:t>Mandates may expose ACTIVE, LIMITED, PAUSED, FULL or EXPIRED capacity states. Institutions manually/configurably control marketplace capacity without exposing internal system data.</w:t>
      </w:r>
    </w:p>
    <w:p>
      <w:pPr>
        <w:pStyle w:val="Heading2"/>
      </w:pPr>
      <w:r>
        <w:t>FSD-APP-002 - Simulation</w:t>
      </w:r>
    </w:p>
    <w:p>
      <w:r>
        <w:t>SIMULATE compares proposed criteria against available WEZA demand and returns aggregate potential matches, requested financing, match bands and near-match reasons. No identifiable data is shown.</w:t>
      </w:r>
    </w:p>
    <w:p>
      <w:pPr>
        <w:pStyle w:val="Heading1"/>
      </w:pPr>
      <w:r>
        <w:t>21. Institution Activation</w:t>
      </w:r>
    </w:p>
    <w:tbl>
      <w:tblPr>
        <w:tblStyle w:val="TableGrid"/>
        <w:tblW w:type="auto" w:w="0"/>
        <w:jc w:val="center"/>
        <w:tblLook w:firstColumn="1" w:firstRow="1" w:lastColumn="0" w:lastRow="0" w:noHBand="0" w:noVBand="1" w:val="04A0"/>
      </w:tblPr>
      <w:tblGrid>
        <w:gridCol w:w="5083"/>
        <w:gridCol w:w="5083"/>
      </w:tblGrid>
      <w:tr>
        <w:tc>
          <w:tcPr>
            <w:tcW w:type="dxa" w:w="4464"/>
            <w:shd w:fill="0B1F3A"/>
            <w:tcMar>
              <w:top w:w="90" w:type="dxa"/>
              <w:start w:w="110" w:type="dxa"/>
              <w:bottom w:w="90" w:type="dxa"/>
              <w:end w:w="110" w:type="dxa"/>
            </w:tcMar>
          </w:tcPr>
          <w:p>
            <w:r>
              <w:rPr>
                <w:b/>
                <w:color w:val="FFFFFF"/>
                <w:sz w:val="16"/>
              </w:rPr>
              <w:t>Readiness</w:t>
            </w:r>
          </w:p>
        </w:tc>
        <w:tc>
          <w:tcPr>
            <w:tcW w:type="dxa" w:w="2016"/>
            <w:shd w:fill="0B1F3A"/>
            <w:tcMar>
              <w:top w:w="90" w:type="dxa"/>
              <w:start w:w="110" w:type="dxa"/>
              <w:bottom w:w="90" w:type="dxa"/>
              <w:end w:w="110" w:type="dxa"/>
            </w:tcMar>
          </w:tcPr>
          <w:p>
            <w:r>
              <w:rPr>
                <w:b/>
                <w:color w:val="FFFFFF"/>
                <w:sz w:val="16"/>
              </w:rPr>
              <w:t>Required</w:t>
            </w:r>
          </w:p>
        </w:tc>
      </w:tr>
      <w:tr>
        <w:tc>
          <w:tcPr>
            <w:tcW w:type="dxa" w:w="4464"/>
            <w:tcMar>
              <w:top w:w="90" w:type="dxa"/>
              <w:start w:w="110" w:type="dxa"/>
              <w:bottom w:w="90" w:type="dxa"/>
              <w:end w:w="110" w:type="dxa"/>
            </w:tcMar>
            <w:vAlign w:val="center"/>
          </w:tcPr>
          <w:p>
            <w:r>
              <w:rPr>
                <w:sz w:val="15"/>
              </w:rPr>
              <w:t>Institution verified</w:t>
            </w:r>
          </w:p>
        </w:tc>
        <w:tc>
          <w:tcPr>
            <w:tcW w:type="dxa" w:w="2016"/>
            <w:tcMar>
              <w:top w:w="90" w:type="dxa"/>
              <w:start w:w="110" w:type="dxa"/>
              <w:bottom w:w="90" w:type="dxa"/>
              <w:end w:w="110" w:type="dxa"/>
            </w:tcMar>
            <w:vAlign w:val="center"/>
          </w:tcPr>
          <w:p>
            <w:r>
              <w:rPr>
                <w:sz w:val="15"/>
              </w:rPr>
              <w:t>Yes</w:t>
            </w:r>
          </w:p>
        </w:tc>
      </w:tr>
      <w:tr>
        <w:tc>
          <w:tcPr>
            <w:tcW w:type="dxa" w:w="4464"/>
            <w:shd w:fill="F7F9FB"/>
            <w:tcMar>
              <w:top w:w="90" w:type="dxa"/>
              <w:start w:w="110" w:type="dxa"/>
              <w:bottom w:w="90" w:type="dxa"/>
              <w:end w:w="110" w:type="dxa"/>
            </w:tcMar>
            <w:vAlign w:val="center"/>
          </w:tcPr>
          <w:p>
            <w:r>
              <w:rPr>
                <w:sz w:val="15"/>
              </w:rPr>
              <w:t>Authorised users configured</w:t>
            </w:r>
          </w:p>
        </w:tc>
        <w:tc>
          <w:tcPr>
            <w:tcW w:type="dxa" w:w="2016"/>
            <w:shd w:fill="F7F9FB"/>
            <w:tcMar>
              <w:top w:w="90" w:type="dxa"/>
              <w:start w:w="110" w:type="dxa"/>
              <w:bottom w:w="90" w:type="dxa"/>
              <w:end w:w="110" w:type="dxa"/>
            </w:tcMar>
            <w:vAlign w:val="center"/>
          </w:tcPr>
          <w:p>
            <w:r>
              <w:rPr>
                <w:sz w:val="15"/>
              </w:rPr>
              <w:t>Yes</w:t>
            </w:r>
          </w:p>
        </w:tc>
      </w:tr>
      <w:tr>
        <w:tc>
          <w:tcPr>
            <w:tcW w:type="dxa" w:w="4464"/>
            <w:tcMar>
              <w:top w:w="90" w:type="dxa"/>
              <w:start w:w="110" w:type="dxa"/>
              <w:bottom w:w="90" w:type="dxa"/>
              <w:end w:w="110" w:type="dxa"/>
            </w:tcMar>
            <w:vAlign w:val="center"/>
          </w:tcPr>
          <w:p>
            <w:r>
              <w:rPr>
                <w:sz w:val="15"/>
              </w:rPr>
              <w:t>At least one approved product</w:t>
            </w:r>
          </w:p>
        </w:tc>
        <w:tc>
          <w:tcPr>
            <w:tcW w:type="dxa" w:w="2016"/>
            <w:tcMar>
              <w:top w:w="90" w:type="dxa"/>
              <w:start w:w="110" w:type="dxa"/>
              <w:bottom w:w="90" w:type="dxa"/>
              <w:end w:w="110" w:type="dxa"/>
            </w:tcMar>
            <w:vAlign w:val="center"/>
          </w:tcPr>
          <w:p>
            <w:r>
              <w:rPr>
                <w:sz w:val="15"/>
              </w:rPr>
              <w:t>Yes</w:t>
            </w:r>
          </w:p>
        </w:tc>
      </w:tr>
      <w:tr>
        <w:tc>
          <w:tcPr>
            <w:tcW w:type="dxa" w:w="4464"/>
            <w:shd w:fill="F7F9FB"/>
            <w:tcMar>
              <w:top w:w="90" w:type="dxa"/>
              <w:start w:w="110" w:type="dxa"/>
              <w:bottom w:w="90" w:type="dxa"/>
              <w:end w:w="110" w:type="dxa"/>
            </w:tcMar>
            <w:vAlign w:val="center"/>
          </w:tcPr>
          <w:p>
            <w:r>
              <w:rPr>
                <w:sz w:val="15"/>
              </w:rPr>
              <w:t>At least one approved/active appetite</w:t>
            </w:r>
          </w:p>
        </w:tc>
        <w:tc>
          <w:tcPr>
            <w:tcW w:type="dxa" w:w="2016"/>
            <w:shd w:fill="F7F9FB"/>
            <w:tcMar>
              <w:top w:w="90" w:type="dxa"/>
              <w:start w:w="110" w:type="dxa"/>
              <w:bottom w:w="90" w:type="dxa"/>
              <w:end w:w="110" w:type="dxa"/>
            </w:tcMar>
            <w:vAlign w:val="center"/>
          </w:tcPr>
          <w:p>
            <w:r>
              <w:rPr>
                <w:sz w:val="15"/>
              </w:rPr>
              <w:t>Yes</w:t>
            </w:r>
          </w:p>
        </w:tc>
      </w:tr>
      <w:tr>
        <w:tc>
          <w:tcPr>
            <w:tcW w:type="dxa" w:w="4464"/>
            <w:tcMar>
              <w:top w:w="90" w:type="dxa"/>
              <w:start w:w="110" w:type="dxa"/>
              <w:bottom w:w="90" w:type="dxa"/>
              <w:end w:w="110" w:type="dxa"/>
            </w:tcMar>
            <w:vAlign w:val="center"/>
          </w:tcPr>
          <w:p>
            <w:r>
              <w:rPr>
                <w:sz w:val="15"/>
              </w:rPr>
              <w:t>Routing rules configured</w:t>
            </w:r>
          </w:p>
        </w:tc>
        <w:tc>
          <w:tcPr>
            <w:tcW w:type="dxa" w:w="2016"/>
            <w:tcMar>
              <w:top w:w="90" w:type="dxa"/>
              <w:start w:w="110" w:type="dxa"/>
              <w:bottom w:w="90" w:type="dxa"/>
              <w:end w:w="110" w:type="dxa"/>
            </w:tcMar>
            <w:vAlign w:val="center"/>
          </w:tcPr>
          <w:p>
            <w:r>
              <w:rPr>
                <w:sz w:val="15"/>
              </w:rPr>
              <w:t>Yes</w:t>
            </w:r>
          </w:p>
        </w:tc>
      </w:tr>
      <w:tr>
        <w:tc>
          <w:tcPr>
            <w:tcW w:type="dxa" w:w="4464"/>
            <w:shd w:fill="F7F9FB"/>
            <w:tcMar>
              <w:top w:w="90" w:type="dxa"/>
              <w:start w:w="110" w:type="dxa"/>
              <w:bottom w:w="90" w:type="dxa"/>
              <w:end w:w="110" w:type="dxa"/>
            </w:tcMar>
            <w:vAlign w:val="center"/>
          </w:tcPr>
          <w:p>
            <w:r>
              <w:rPr>
                <w:sz w:val="15"/>
              </w:rPr>
              <w:t>Notification preferences configured</w:t>
            </w:r>
          </w:p>
        </w:tc>
        <w:tc>
          <w:tcPr>
            <w:tcW w:type="dxa" w:w="2016"/>
            <w:shd w:fill="F7F9FB"/>
            <w:tcMar>
              <w:top w:w="90" w:type="dxa"/>
              <w:start w:w="110" w:type="dxa"/>
              <w:bottom w:w="90" w:type="dxa"/>
              <w:end w:w="110" w:type="dxa"/>
            </w:tcMar>
            <w:vAlign w:val="center"/>
          </w:tcPr>
          <w:p>
            <w:r>
              <w:rPr>
                <w:sz w:val="15"/>
              </w:rPr>
              <w:t>Yes</w:t>
            </w:r>
          </w:p>
        </w:tc>
      </w:tr>
      <w:tr>
        <w:tc>
          <w:tcPr>
            <w:tcW w:type="dxa" w:w="4464"/>
            <w:tcMar>
              <w:top w:w="90" w:type="dxa"/>
              <w:start w:w="110" w:type="dxa"/>
              <w:bottom w:w="90" w:type="dxa"/>
              <w:end w:w="110" w:type="dxa"/>
            </w:tcMar>
            <w:vAlign w:val="center"/>
          </w:tcPr>
          <w:p>
            <w:r>
              <w:rPr>
                <w:sz w:val="15"/>
              </w:rPr>
              <w:t>Marketplace terms accepted</w:t>
            </w:r>
          </w:p>
        </w:tc>
        <w:tc>
          <w:tcPr>
            <w:tcW w:type="dxa" w:w="2016"/>
            <w:tcMar>
              <w:top w:w="90" w:type="dxa"/>
              <w:start w:w="110" w:type="dxa"/>
              <w:bottom w:w="90" w:type="dxa"/>
              <w:end w:w="110" w:type="dxa"/>
            </w:tcMar>
            <w:vAlign w:val="center"/>
          </w:tcPr>
          <w:p>
            <w:r>
              <w:rPr>
                <w:sz w:val="15"/>
              </w:rPr>
              <w:t>Yes</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Go-live action: ACTIVATE ON WEZA.</w:t>
            </w:r>
          </w:p>
        </w:tc>
      </w:tr>
    </w:tbl>
    <w:p>
      <w:pPr>
        <w:spacing w:after="0"/>
      </w:pPr>
    </w:p>
    <w:p>
      <w:pPr>
        <w:pStyle w:val="Heading1"/>
      </w:pPr>
      <w:r>
        <w:t>22. Institutional Command Centre</w:t>
      </w:r>
    </w:p>
    <w:p>
      <w:r>
        <w:t>The Command Centre shall answer 'What requires my attention?' before showing generic analytics.</w:t>
      </w:r>
    </w:p>
    <w:p>
      <w:r>
        <w:t>Illustrative briefing: 74 new opportunities matched active mandates; UGX 1.84B requested; 19 exceed 90% match; 7 customers require attention; 3 high-value opportunities remain unassigned.</w:t>
      </w:r>
    </w:p>
    <w:p>
      <w:pPr>
        <w:pStyle w:val="Heading2"/>
      </w:pPr>
      <w:r>
        <w:t>FSD-CMD-001 - Core Cards</w:t>
      </w:r>
    </w:p>
    <w:p>
      <w:pPr>
        <w:pStyle w:val="ListBullet"/>
        <w:spacing w:after="40"/>
      </w:pPr>
      <w:r>
        <w:t>New Opportunities</w:t>
      </w:r>
    </w:p>
    <w:p>
      <w:pPr>
        <w:pStyle w:val="ListBullet"/>
        <w:spacing w:after="40"/>
      </w:pPr>
      <w:r>
        <w:t>Qualified Demand</w:t>
      </w:r>
    </w:p>
    <w:p>
      <w:pPr>
        <w:pStyle w:val="ListBullet"/>
        <w:spacing w:after="40"/>
      </w:pPr>
      <w:r>
        <w:t>High Match</w:t>
      </w:r>
    </w:p>
    <w:p>
      <w:pPr>
        <w:pStyle w:val="ListBullet"/>
        <w:spacing w:after="40"/>
      </w:pPr>
      <w:r>
        <w:t>Contacted</w:t>
      </w:r>
    </w:p>
    <w:p>
      <w:pPr>
        <w:pStyle w:val="ListBullet"/>
        <w:spacing w:after="40"/>
      </w:pPr>
      <w:r>
        <w:t>Progressing</w:t>
      </w:r>
    </w:p>
    <w:p>
      <w:pPr>
        <w:pStyle w:val="ListBullet"/>
        <w:spacing w:after="40"/>
      </w:pPr>
      <w:r>
        <w:t>Reported Approved</w:t>
      </w:r>
    </w:p>
    <w:p>
      <w:pPr>
        <w:pStyle w:val="ListBullet"/>
        <w:spacing w:after="40"/>
      </w:pPr>
      <w:r>
        <w:t>Reported Disbursed</w:t>
      </w:r>
    </w:p>
    <w:p>
      <w:pPr>
        <w:pStyle w:val="ListBullet"/>
        <w:spacing w:after="40"/>
      </w:pPr>
      <w:r>
        <w:t>Average Response Time</w:t>
      </w:r>
    </w:p>
    <w:p>
      <w:pPr>
        <w:pStyle w:val="ListBullet"/>
        <w:spacing w:after="40"/>
      </w:pPr>
      <w:r>
        <w:t>Conversion</w:t>
      </w:r>
    </w:p>
    <w:p>
      <w:pPr>
        <w:pStyle w:val="ListBullet"/>
        <w:spacing w:after="40"/>
      </w:pPr>
      <w:r>
        <w:t>Unassigned</w:t>
      </w:r>
    </w:p>
    <w:p>
      <w:pPr>
        <w:pStyle w:val="ListBullet"/>
        <w:spacing w:after="40"/>
      </w:pPr>
      <w:r>
        <w:t>Customers Waiting</w:t>
      </w:r>
    </w:p>
    <w:p>
      <w:pPr>
        <w:pStyle w:val="Heading2"/>
      </w:pPr>
      <w:r>
        <w:t>FSD-CMD-002 - Role Personalisation</w:t>
      </w:r>
    </w:p>
    <w:p>
      <w:r>
        <w:t>Cards, briefings and calls-to-action shall adapt to the user's role and permissions.</w:t>
      </w:r>
    </w:p>
    <w:p>
      <w:pPr>
        <w:pStyle w:val="Heading1"/>
      </w:pPr>
      <w:r>
        <w:t>23. Intelligent Opportunity Feed</w:t>
      </w:r>
    </w:p>
    <w:p>
      <w:r>
        <w:t>Feed fields: priority, match, need, amount, sector, location, readiness, age, why matched, owner and next action.</w:t>
      </w:r>
    </w:p>
    <w:p>
      <w:r>
        <w:t>Actions: View; Assign; Contact; Request Information; Interested; Not Interested; Report Outcome.</w:t>
      </w:r>
    </w:p>
    <w:p>
      <w:pPr>
        <w:pStyle w:val="Heading2"/>
      </w:pPr>
      <w:r>
        <w:t>FSD-FED-001 - Ranking</w:t>
      </w:r>
    </w:p>
    <w:p>
      <w:r>
        <w:t>Feed may rank by configured combination of match, readiness, value, waiting time, service target and institution priority. Ranking factors shall be explainable to authorised users.</w:t>
      </w:r>
    </w:p>
    <w:p>
      <w:pPr>
        <w:pStyle w:val="Heading1"/>
      </w:pPr>
      <w:r>
        <w:t>24. Opportunity Preview and Institution Interest</w:t>
      </w:r>
    </w:p>
    <w:p>
      <w:pPr>
        <w:pStyle w:val="Heading2"/>
      </w:pPr>
      <w:r>
        <w:t>FSD-INTST-001 - Preview</w:t>
      </w:r>
    </w:p>
    <w:p>
      <w:r>
        <w:t>Where marketplace mode permits, institution users may see non-identifiable Opportunity Previews matching active appetite.</w:t>
      </w:r>
    </w:p>
    <w:p>
      <w:pPr>
        <w:pStyle w:val="Heading2"/>
      </w:pPr>
      <w:r>
        <w:t>FSD-INTST-002 - Express Interest</w:t>
      </w:r>
    </w:p>
    <w:p>
      <w:r>
        <w:t>Institution may mark INTERESTED, NEED_MORE_INFORMATION or NOT_INTERESTED. This does not disclose identity or create a credit commitment.</w:t>
      </w:r>
    </w:p>
    <w:p>
      <w:pPr>
        <w:pStyle w:val="Heading2"/>
      </w:pPr>
      <w:r>
        <w:t>FSD-INTST-003 - Customer Decision</w:t>
      </w:r>
    </w:p>
    <w:p>
      <w:r>
        <w:t>Customer may be informed that participating institutions expressed interest and may choose whether to authorise a relationship. Exact behaviour is configurable by marketplace model.</w:t>
      </w:r>
    </w:p>
    <w:p>
      <w:pPr>
        <w:pStyle w:val="Heading1"/>
      </w:pPr>
      <w:r>
        <w:t>25. Assignment, Capacity and Acceptance Windows</w:t>
      </w:r>
    </w:p>
    <w:p>
      <w:pPr>
        <w:pStyle w:val="Heading2"/>
      </w:pPr>
      <w:r>
        <w:t>FSD-ASG-001 - Automatic Assignment</w:t>
      </w:r>
    </w:p>
    <w:p>
      <w:r>
        <w:t>Routing rules may assign by product, amount, geography, sector or team.</w:t>
      </w:r>
    </w:p>
    <w:p>
      <w:pPr>
        <w:pStyle w:val="Heading2"/>
      </w:pPr>
      <w:r>
        <w:t>FSD-ASG-002 - Unassigned Queue</w:t>
      </w:r>
    </w:p>
    <w:p>
      <w:r>
        <w:t>If no rule applies, opportunity enters Unassigned and manager is alerted.</w:t>
      </w:r>
    </w:p>
    <w:p>
      <w:pPr>
        <w:pStyle w:val="Heading2"/>
      </w:pPr>
      <w:r>
        <w:t>FSD-ASG-003 - Acceptance Window</w:t>
      </w:r>
    </w:p>
    <w:p>
      <w:r>
        <w:t>Institution may configure an acknowledgement/contact target. WEZA records countdown and escalates as the target approaches.</w:t>
      </w:r>
    </w:p>
    <w:p>
      <w:pPr>
        <w:pStyle w:val="Heading2"/>
      </w:pPr>
      <w:r>
        <w:t>FSD-ASG-004 - Reservation</w:t>
      </w:r>
    </w:p>
    <w:p>
      <w:r>
        <w:t>A future/optional reservation mode may temporarily reserve a high-value opportunity under defined marketplace rules. Reservation expiry must not trap the customer or imply approval.</w:t>
      </w:r>
    </w:p>
    <w:p>
      <w:pPr>
        <w:pStyle w:val="Heading1"/>
      </w:pPr>
      <w:r>
        <w:t>26. Officer and Manager Workspaces</w:t>
      </w:r>
    </w:p>
    <w:p>
      <w:r>
        <w:t>Officer My Day prioritises new opportunities, high-priority customers, follow-ups, waiting customers and approaching service targets.</w:t>
      </w:r>
    </w:p>
    <w:p>
      <w:r>
        <w:t>Manager view shows opportunity distribution, contact rates, ageing, breaches, workload and reassignment controls.</w:t>
      </w:r>
    </w:p>
    <w:p>
      <w:pPr>
        <w:pStyle w:val="Heading1"/>
      </w:pPr>
      <w:r>
        <w:t>27. Marketplace Pipeline and Outcome Reporting</w:t>
      </w:r>
    </w:p>
    <w:p>
      <w:r>
        <w:t>WEZA tracks marketplace states, not the institution's entire internal underwriting workflow.</w:t>
      </w:r>
    </w:p>
    <w:p>
      <w:r>
        <w:t>MATCHED → CUSTOMER_SELECTED → CONSENTED → QUALIFIED → ROUTED → RECEIVED → ASSIGNED → CONTACTED → PROCEEDING → SUBMITTED_TO_INSTITUTION → REPORTED_APPROVED / REPORTED_DECLINED / WITHDRAWN → REPORTED_DISBURSED / CLOSED.</w:t>
      </w:r>
    </w:p>
    <w:p>
      <w:pPr>
        <w:pStyle w:val="Heading2"/>
      </w:pPr>
      <w:r>
        <w:t>FSD-OUT-001 - Decline Reason</w:t>
      </w:r>
    </w:p>
    <w:p>
      <w:r>
        <w:t>Configurable reason categories may include eligibility, affordability, documentation, credit history, income/turnover, collateral, customer withdrew, appetite changed and other.</w:t>
      </w:r>
    </w:p>
    <w:p>
      <w:pPr>
        <w:pStyle w:val="Heading2"/>
      </w:pPr>
      <w:r>
        <w:t>FSD-OUT-002 - Reported Data</w:t>
      </w:r>
    </w:p>
    <w:p>
      <w:r>
        <w:t>Approved amount, disbursed amount and dates may be captured when supplied. UI must label these as institution-reported where applicable.</w:t>
      </w:r>
    </w:p>
    <w:p>
      <w:pPr>
        <w:pStyle w:val="Heading1"/>
      </w:pPr>
      <w:r>
        <w:t>28. No-Lead Intelligence and Opportunity Radius</w:t>
      </w:r>
    </w:p>
    <w:p>
      <w:r>
        <w:t>An empty institution queue shall surface actionable intelligence where available.</w:t>
      </w:r>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No opportunities currently match your exact mandate. UGX 2.4B of otherwise relevant SME demand sits immediately outside your minimum-turnover requirement.</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2304"/>
            <w:shd w:fill="0B1F3A"/>
            <w:tcMar>
              <w:top w:w="90" w:type="dxa"/>
              <w:start w:w="110" w:type="dxa"/>
              <w:bottom w:w="90" w:type="dxa"/>
              <w:end w:w="110" w:type="dxa"/>
            </w:tcMar>
          </w:tcPr>
          <w:p>
            <w:r>
              <w:rPr>
                <w:b/>
                <w:color w:val="FFFFFF"/>
                <w:sz w:val="16"/>
              </w:rPr>
              <w:t>Zone</w:t>
            </w:r>
          </w:p>
        </w:tc>
        <w:tc>
          <w:tcPr>
            <w:tcW w:type="dxa" w:w="7488"/>
            <w:shd w:fill="0B1F3A"/>
            <w:tcMar>
              <w:top w:w="90" w:type="dxa"/>
              <w:start w:w="110" w:type="dxa"/>
              <w:bottom w:w="90" w:type="dxa"/>
              <w:end w:w="110" w:type="dxa"/>
            </w:tcMar>
          </w:tcPr>
          <w:p>
            <w:r>
              <w:rPr>
                <w:b/>
                <w:color w:val="FFFFFF"/>
                <w:sz w:val="16"/>
              </w:rPr>
              <w:t>Meaning</w:t>
            </w:r>
          </w:p>
        </w:tc>
      </w:tr>
      <w:tr>
        <w:tc>
          <w:tcPr>
            <w:tcW w:type="dxa" w:w="2304"/>
            <w:tcMar>
              <w:top w:w="90" w:type="dxa"/>
              <w:start w:w="110" w:type="dxa"/>
              <w:bottom w:w="90" w:type="dxa"/>
              <w:end w:w="110" w:type="dxa"/>
            </w:tcMar>
            <w:vAlign w:val="center"/>
          </w:tcPr>
          <w:p>
            <w:r>
              <w:rPr>
                <w:sz w:val="15"/>
              </w:rPr>
              <w:t>Inside Appetite</w:t>
            </w:r>
          </w:p>
        </w:tc>
        <w:tc>
          <w:tcPr>
            <w:tcW w:type="dxa" w:w="7488"/>
            <w:tcMar>
              <w:top w:w="90" w:type="dxa"/>
              <w:start w:w="110" w:type="dxa"/>
              <w:bottom w:w="90" w:type="dxa"/>
              <w:end w:w="110" w:type="dxa"/>
            </w:tcMar>
            <w:vAlign w:val="center"/>
          </w:tcPr>
          <w:p>
            <w:r>
              <w:rPr>
                <w:sz w:val="15"/>
              </w:rPr>
              <w:t>Strong matches satisfying configured marketplace criteria.</w:t>
            </w:r>
          </w:p>
        </w:tc>
      </w:tr>
      <w:tr>
        <w:tc>
          <w:tcPr>
            <w:tcW w:type="dxa" w:w="2304"/>
            <w:shd w:fill="F7F9FB"/>
            <w:tcMar>
              <w:top w:w="90" w:type="dxa"/>
              <w:start w:w="110" w:type="dxa"/>
              <w:bottom w:w="90" w:type="dxa"/>
              <w:end w:w="110" w:type="dxa"/>
            </w:tcMar>
            <w:vAlign w:val="center"/>
          </w:tcPr>
          <w:p>
            <w:r>
              <w:rPr>
                <w:sz w:val="15"/>
              </w:rPr>
              <w:t>Near Appetite</w:t>
            </w:r>
          </w:p>
        </w:tc>
        <w:tc>
          <w:tcPr>
            <w:tcW w:type="dxa" w:w="7488"/>
            <w:shd w:fill="F7F9FB"/>
            <w:tcMar>
              <w:top w:w="90" w:type="dxa"/>
              <w:start w:w="110" w:type="dxa"/>
              <w:bottom w:w="90" w:type="dxa"/>
              <w:end w:w="110" w:type="dxa"/>
            </w:tcMar>
            <w:vAlign w:val="center"/>
          </w:tcPr>
          <w:p>
            <w:r>
              <w:rPr>
                <w:sz w:val="15"/>
              </w:rPr>
              <w:t>Demand narrowly missing one or more criteria.</w:t>
            </w:r>
          </w:p>
        </w:tc>
      </w:tr>
      <w:tr>
        <w:tc>
          <w:tcPr>
            <w:tcW w:type="dxa" w:w="2304"/>
            <w:tcMar>
              <w:top w:w="90" w:type="dxa"/>
              <w:start w:w="110" w:type="dxa"/>
              <w:bottom w:w="90" w:type="dxa"/>
              <w:end w:w="110" w:type="dxa"/>
            </w:tcMar>
            <w:vAlign w:val="center"/>
          </w:tcPr>
          <w:p>
            <w:r>
              <w:rPr>
                <w:sz w:val="15"/>
              </w:rPr>
              <w:t>Outside Appetite</w:t>
            </w:r>
          </w:p>
        </w:tc>
        <w:tc>
          <w:tcPr>
            <w:tcW w:type="dxa" w:w="7488"/>
            <w:tcMar>
              <w:top w:w="90" w:type="dxa"/>
              <w:start w:w="110" w:type="dxa"/>
              <w:bottom w:w="90" w:type="dxa"/>
              <w:end w:w="110" w:type="dxa"/>
            </w:tcMar>
            <w:vAlign w:val="center"/>
          </w:tcPr>
          <w:p>
            <w:r>
              <w:rPr>
                <w:sz w:val="15"/>
              </w:rPr>
              <w:t>Broader aggregated marketplace demand.</w:t>
            </w:r>
          </w:p>
        </w:tc>
      </w:tr>
    </w:tbl>
    <w:p>
      <w:pPr>
        <w:spacing w:after="20"/>
      </w:pPr>
    </w:p>
    <w:p>
      <w:r>
        <w:t>No criteria may be automatically loosened.</w:t>
      </w:r>
    </w:p>
    <w:p>
      <w:pPr>
        <w:pStyle w:val="Heading1"/>
      </w:pPr>
      <w:r>
        <w:t>29. Customer and Institution Waiting Rooms</w:t>
      </w:r>
    </w:p>
    <w:p>
      <w:pPr>
        <w:pStyle w:val="Heading2"/>
      </w:pPr>
      <w:r>
        <w:t>FSD-WAIT-001 - Customer Demand Waiting Room</w:t>
      </w:r>
    </w:p>
    <w:p>
      <w:r>
        <w:t>If no current match exists, customer may opt in to keep the need active for a defined period. When products/appetite change, WEZA may re-run matching and notify the customer of a new potential option.</w:t>
      </w:r>
    </w:p>
    <w:p>
      <w:pPr>
        <w:pStyle w:val="Heading2"/>
      </w:pPr>
      <w:r>
        <w:t>FSD-WAIT-002 - Institution Mandate Waiting</w:t>
      </w:r>
    </w:p>
    <w:p>
      <w:r>
        <w:t>An active mandate with insufficient current demand remains eligible to receive future matching opportunities until paused, full or expired.</w:t>
      </w:r>
    </w:p>
    <w:p>
      <w:r>
        <w:t>This creates a persistent two-sided market: customer demand waits for capital and institutional appetite waits for demand.</w:t>
      </w:r>
    </w:p>
    <w:p>
      <w:pPr>
        <w:pStyle w:val="Heading1"/>
      </w:pPr>
      <w:r>
        <w:t>30. Demand Intelligence and Marketplace Pulse</w:t>
      </w:r>
    </w:p>
    <w:p>
      <w:pPr>
        <w:pStyle w:val="ListBullet"/>
        <w:spacing w:after="40"/>
      </w:pPr>
      <w:r>
        <w:t>Demand by region/district.</w:t>
      </w:r>
    </w:p>
    <w:p>
      <w:pPr>
        <w:pStyle w:val="ListBullet"/>
        <w:spacing w:after="40"/>
      </w:pPr>
      <w:r>
        <w:t>Sector and customer type.</w:t>
      </w:r>
    </w:p>
    <w:p>
      <w:pPr>
        <w:pStyle w:val="ListBullet"/>
        <w:spacing w:after="40"/>
      </w:pPr>
      <w:r>
        <w:t>Financing purpose.</w:t>
      </w:r>
    </w:p>
    <w:p>
      <w:pPr>
        <w:pStyle w:val="ListBullet"/>
        <w:spacing w:after="40"/>
      </w:pPr>
      <w:r>
        <w:t>Ticket-size distribution.</w:t>
      </w:r>
    </w:p>
    <w:p>
      <w:pPr>
        <w:pStyle w:val="ListBullet"/>
        <w:spacing w:after="40"/>
      </w:pPr>
      <w:r>
        <w:t>Product family.</w:t>
      </w:r>
    </w:p>
    <w:p>
      <w:pPr>
        <w:pStyle w:val="ListBullet"/>
        <w:spacing w:after="40"/>
      </w:pPr>
      <w:r>
        <w:t>Readiness and match bands.</w:t>
      </w:r>
    </w:p>
    <w:p>
      <w:pPr>
        <w:pStyle w:val="ListBullet"/>
        <w:spacing w:after="40"/>
      </w:pPr>
      <w:r>
        <w:t>Near-match reasons.</w:t>
      </w:r>
    </w:p>
    <w:p>
      <w:pPr>
        <w:pStyle w:val="ListBullet"/>
        <w:spacing w:after="40"/>
      </w:pPr>
      <w:r>
        <w:t>Trend and growth views.</w:t>
      </w:r>
    </w:p>
    <w:p>
      <w:r>
        <w:t>All institutional marketplace intelligence shall be based on WEZA marketplace data and appropriately governed aggregates, not private bank databases.</w:t>
      </w:r>
    </w:p>
    <w:p>
      <w:pPr>
        <w:pStyle w:val="Heading1"/>
      </w:pPr>
      <w:r>
        <w:t>31. Product Gap and Synthetic Product Intelligence</w:t>
      </w:r>
    </w:p>
    <w:p>
      <w:r>
        <w:t>WEZA may identify aggregated unmet-demand clusters. Example: high solar-equipment financing demand with low existing product coverage.</w:t>
      </w:r>
    </w:p>
    <w:p>
      <w:r>
        <w:t>A future Synthetic Product Simulator may allow authorised institutions to test hypothetical product criteria against anonymised marketplace demand. Simulation is decision support, not product approval.</w:t>
      </w:r>
    </w:p>
    <w:p>
      <w:pPr>
        <w:pStyle w:val="Heading1"/>
      </w:pPr>
      <w:r>
        <w:t>32. Conversational Institutional AI</w:t>
      </w:r>
    </w:p>
    <w:p>
      <w:r>
        <w:t>Authorised users may ask natural-language questions over data they are permitted to access, e.g., 'Show my best opportunities today', 'Why are we receiving no agriculture opportunities?', 'What sits just outside our appetite?' and 'Simulate reducing minimum business age.'</w:t>
      </w:r>
    </w:p>
    <w:p>
      <w:r>
        <w:t>Conversational AI must enforce tenant isolation and role permissions and must not silently modify products, appetite or assignments.</w:t>
      </w:r>
    </w:p>
    <w:p>
      <w:pPr>
        <w:pStyle w:val="Heading1"/>
      </w:pPr>
      <w:r>
        <w:t>33. Intelligent Notification Fabric</w:t>
      </w:r>
    </w:p>
    <w:tbl>
      <w:tblPr>
        <w:tblStyle w:val="TableGrid"/>
        <w:tblW w:type="auto" w:w="0"/>
        <w:jc w:val="center"/>
        <w:tblLook w:firstColumn="1" w:firstRow="1" w:lastColumn="0" w:lastRow="0" w:noHBand="0" w:noVBand="1" w:val="04A0"/>
      </w:tblPr>
      <w:tblGrid>
        <w:gridCol w:w="5083"/>
        <w:gridCol w:w="5083"/>
      </w:tblGrid>
      <w:tr>
        <w:tc>
          <w:tcPr>
            <w:tcW w:type="dxa" w:w="3312"/>
            <w:shd w:fill="0B1F3A"/>
            <w:tcMar>
              <w:top w:w="90" w:type="dxa"/>
              <w:start w:w="110" w:type="dxa"/>
              <w:bottom w:w="90" w:type="dxa"/>
              <w:end w:w="110" w:type="dxa"/>
            </w:tcMar>
          </w:tcPr>
          <w:p>
            <w:r>
              <w:rPr>
                <w:b/>
                <w:color w:val="FFFFFF"/>
                <w:sz w:val="16"/>
              </w:rPr>
              <w:t>Event</w:t>
            </w:r>
          </w:p>
        </w:tc>
        <w:tc>
          <w:tcPr>
            <w:tcW w:type="dxa" w:w="6480"/>
            <w:shd w:fill="0B1F3A"/>
            <w:tcMar>
              <w:top w:w="90" w:type="dxa"/>
              <w:start w:w="110" w:type="dxa"/>
              <w:bottom w:w="90" w:type="dxa"/>
              <w:end w:w="110" w:type="dxa"/>
            </w:tcMar>
          </w:tcPr>
          <w:p>
            <w:r>
              <w:rPr>
                <w:b/>
                <w:color w:val="FFFFFF"/>
                <w:sz w:val="16"/>
              </w:rPr>
              <w:t>Default Behaviour</w:t>
            </w:r>
          </w:p>
        </w:tc>
      </w:tr>
      <w:tr>
        <w:tc>
          <w:tcPr>
            <w:tcW w:type="dxa" w:w="3312"/>
            <w:tcMar>
              <w:top w:w="90" w:type="dxa"/>
              <w:start w:w="110" w:type="dxa"/>
              <w:bottom w:w="90" w:type="dxa"/>
              <w:end w:w="110" w:type="dxa"/>
            </w:tcMar>
            <w:vAlign w:val="center"/>
          </w:tcPr>
          <w:p>
            <w:r>
              <w:rPr>
                <w:sz w:val="15"/>
              </w:rPr>
              <w:t>Standard Opportunity</w:t>
            </w:r>
          </w:p>
        </w:tc>
        <w:tc>
          <w:tcPr>
            <w:tcW w:type="dxa" w:w="6480"/>
            <w:tcMar>
              <w:top w:w="90" w:type="dxa"/>
              <w:start w:w="110" w:type="dxa"/>
              <w:bottom w:w="90" w:type="dxa"/>
              <w:end w:w="110" w:type="dxa"/>
            </w:tcMar>
            <w:vAlign w:val="center"/>
          </w:tcPr>
          <w:p>
            <w:r>
              <w:rPr>
                <w:sz w:val="15"/>
              </w:rPr>
              <w:t>Feed/in-app; optional digest.</w:t>
            </w:r>
          </w:p>
        </w:tc>
      </w:tr>
      <w:tr>
        <w:tc>
          <w:tcPr>
            <w:tcW w:type="dxa" w:w="3312"/>
            <w:shd w:fill="F7F9FB"/>
            <w:tcMar>
              <w:top w:w="90" w:type="dxa"/>
              <w:start w:w="110" w:type="dxa"/>
              <w:bottom w:w="90" w:type="dxa"/>
              <w:end w:w="110" w:type="dxa"/>
            </w:tcMar>
            <w:vAlign w:val="center"/>
          </w:tcPr>
          <w:p>
            <w:r>
              <w:rPr>
                <w:sz w:val="15"/>
              </w:rPr>
              <w:t>High Match</w:t>
            </w:r>
          </w:p>
        </w:tc>
        <w:tc>
          <w:tcPr>
            <w:tcW w:type="dxa" w:w="6480"/>
            <w:shd w:fill="F7F9FB"/>
            <w:tcMar>
              <w:top w:w="90" w:type="dxa"/>
              <w:start w:w="110" w:type="dxa"/>
              <w:bottom w:w="90" w:type="dxa"/>
              <w:end w:w="110" w:type="dxa"/>
            </w:tcMar>
            <w:vAlign w:val="center"/>
          </w:tcPr>
          <w:p>
            <w:r>
              <w:rPr>
                <w:sz w:val="15"/>
              </w:rPr>
              <w:t>Feed + configured priority alert.</w:t>
            </w:r>
          </w:p>
        </w:tc>
      </w:tr>
      <w:tr>
        <w:tc>
          <w:tcPr>
            <w:tcW w:type="dxa" w:w="3312"/>
            <w:tcMar>
              <w:top w:w="90" w:type="dxa"/>
              <w:start w:w="110" w:type="dxa"/>
              <w:bottom w:w="90" w:type="dxa"/>
              <w:end w:w="110" w:type="dxa"/>
            </w:tcMar>
            <w:vAlign w:val="center"/>
          </w:tcPr>
          <w:p>
            <w:r>
              <w:rPr>
                <w:sz w:val="15"/>
              </w:rPr>
              <w:t>High Value + High Match</w:t>
            </w:r>
          </w:p>
        </w:tc>
        <w:tc>
          <w:tcPr>
            <w:tcW w:type="dxa" w:w="6480"/>
            <w:tcMar>
              <w:top w:w="90" w:type="dxa"/>
              <w:start w:w="110" w:type="dxa"/>
              <w:bottom w:w="90" w:type="dxa"/>
              <w:end w:w="110" w:type="dxa"/>
            </w:tcMar>
            <w:vAlign w:val="center"/>
          </w:tcPr>
          <w:p>
            <w:r>
              <w:rPr>
                <w:sz w:val="15"/>
              </w:rPr>
              <w:t>Priority alert to relevant role.</w:t>
            </w:r>
          </w:p>
        </w:tc>
      </w:tr>
      <w:tr>
        <w:tc>
          <w:tcPr>
            <w:tcW w:type="dxa" w:w="3312"/>
            <w:shd w:fill="F7F9FB"/>
            <w:tcMar>
              <w:top w:w="90" w:type="dxa"/>
              <w:start w:w="110" w:type="dxa"/>
              <w:bottom w:w="90" w:type="dxa"/>
              <w:end w:w="110" w:type="dxa"/>
            </w:tcMar>
            <w:vAlign w:val="center"/>
          </w:tcPr>
          <w:p>
            <w:r>
              <w:rPr>
                <w:sz w:val="15"/>
              </w:rPr>
              <w:t>Service Target Approaching</w:t>
            </w:r>
          </w:p>
        </w:tc>
        <w:tc>
          <w:tcPr>
            <w:tcW w:type="dxa" w:w="6480"/>
            <w:shd w:fill="F7F9FB"/>
            <w:tcMar>
              <w:top w:w="90" w:type="dxa"/>
              <w:start w:w="110" w:type="dxa"/>
              <w:bottom w:w="90" w:type="dxa"/>
              <w:end w:w="110" w:type="dxa"/>
            </w:tcMar>
            <w:vAlign w:val="center"/>
          </w:tcPr>
          <w:p>
            <w:r>
              <w:rPr>
                <w:sz w:val="15"/>
              </w:rPr>
              <w:t>Assigned officer reminder.</w:t>
            </w:r>
          </w:p>
        </w:tc>
      </w:tr>
      <w:tr>
        <w:tc>
          <w:tcPr>
            <w:tcW w:type="dxa" w:w="3312"/>
            <w:tcMar>
              <w:top w:w="90" w:type="dxa"/>
              <w:start w:w="110" w:type="dxa"/>
              <w:bottom w:w="90" w:type="dxa"/>
              <w:end w:w="110" w:type="dxa"/>
            </w:tcMar>
            <w:vAlign w:val="center"/>
          </w:tcPr>
          <w:p>
            <w:r>
              <w:rPr>
                <w:sz w:val="15"/>
              </w:rPr>
              <w:t>Service Target Breached</w:t>
            </w:r>
          </w:p>
        </w:tc>
        <w:tc>
          <w:tcPr>
            <w:tcW w:type="dxa" w:w="6480"/>
            <w:tcMar>
              <w:top w:w="90" w:type="dxa"/>
              <w:start w:w="110" w:type="dxa"/>
              <w:bottom w:w="90" w:type="dxa"/>
              <w:end w:w="110" w:type="dxa"/>
            </w:tcMar>
            <w:vAlign w:val="center"/>
          </w:tcPr>
          <w:p>
            <w:r>
              <w:rPr>
                <w:sz w:val="15"/>
              </w:rPr>
              <w:t>Officer + manager escalation.</w:t>
            </w:r>
          </w:p>
        </w:tc>
      </w:tr>
      <w:tr>
        <w:tc>
          <w:tcPr>
            <w:tcW w:type="dxa" w:w="3312"/>
            <w:shd w:fill="F7F9FB"/>
            <w:tcMar>
              <w:top w:w="90" w:type="dxa"/>
              <w:start w:w="110" w:type="dxa"/>
              <w:bottom w:w="90" w:type="dxa"/>
              <w:end w:w="110" w:type="dxa"/>
            </w:tcMar>
            <w:vAlign w:val="center"/>
          </w:tcPr>
          <w:p>
            <w:r>
              <w:rPr>
                <w:sz w:val="15"/>
              </w:rPr>
              <w:t>Strategic Demand Insight</w:t>
            </w:r>
          </w:p>
        </w:tc>
        <w:tc>
          <w:tcPr>
            <w:tcW w:type="dxa" w:w="6480"/>
            <w:shd w:fill="F7F9FB"/>
            <w:tcMar>
              <w:top w:w="90" w:type="dxa"/>
              <w:start w:w="110" w:type="dxa"/>
              <w:bottom w:w="90" w:type="dxa"/>
              <w:end w:w="110" w:type="dxa"/>
            </w:tcMar>
            <w:vAlign w:val="center"/>
          </w:tcPr>
          <w:p>
            <w:r>
              <w:rPr>
                <w:sz w:val="15"/>
              </w:rPr>
              <w:t>Business/executive digest.</w:t>
            </w:r>
          </w:p>
        </w:tc>
      </w:tr>
      <w:tr>
        <w:tc>
          <w:tcPr>
            <w:tcW w:type="dxa" w:w="3312"/>
            <w:tcMar>
              <w:top w:w="90" w:type="dxa"/>
              <w:start w:w="110" w:type="dxa"/>
              <w:bottom w:w="90" w:type="dxa"/>
              <w:end w:w="110" w:type="dxa"/>
            </w:tcMar>
            <w:vAlign w:val="center"/>
          </w:tcPr>
          <w:p>
            <w:r>
              <w:rPr>
                <w:sz w:val="15"/>
              </w:rPr>
              <w:t>Compliance/Security Event</w:t>
            </w:r>
          </w:p>
        </w:tc>
        <w:tc>
          <w:tcPr>
            <w:tcW w:type="dxa" w:w="6480"/>
            <w:tcMar>
              <w:top w:w="90" w:type="dxa"/>
              <w:start w:w="110" w:type="dxa"/>
              <w:bottom w:w="90" w:type="dxa"/>
              <w:end w:w="110" w:type="dxa"/>
            </w:tcMar>
            <w:vAlign w:val="center"/>
          </w:tcPr>
          <w:p>
            <w:r>
              <w:rPr>
                <w:sz w:val="15"/>
              </w:rPr>
              <w:t>Relevant control function.</w:t>
            </w:r>
          </w:p>
        </w:tc>
      </w:tr>
    </w:tbl>
    <w:p>
      <w:pPr>
        <w:spacing w:after="20"/>
      </w:pPr>
    </w:p>
    <w:p>
      <w:r>
        <w:t>Channels may include in-app/web, push, email, Teams, WhatsApp and SMS where configured and appropriate. Notifications shall carry priority, recipient, event, timestamp, related object and acknowledgement status where required.</w:t>
      </w:r>
    </w:p>
    <w:p>
      <w:pPr>
        <w:pStyle w:val="Heading1"/>
      </w:pPr>
      <w:r>
        <w:t>34. Daily and Weekly Intelligence</w:t>
      </w:r>
    </w:p>
    <w:p>
      <w:r>
        <w:t>WEZA Daily: operational briefing of new qualified opportunities, requested financing, high-match opportunities, waiting customers, unassigned work and today's priorities.</w:t>
      </w:r>
    </w:p>
    <w:p>
      <w:r>
        <w:t>WEZA Weekly: executive briefing of qualified demand, progression, reported approvals/disbursements, strongest segment, near-appetite demand and notable marketplace changes.</w:t>
      </w:r>
    </w:p>
    <w:p>
      <w:pPr>
        <w:pStyle w:val="Heading1"/>
      </w:pPr>
      <w:r>
        <w:t>35. Opportunity Feedback Engine</w:t>
      </w:r>
    </w:p>
    <w:p>
      <w:r>
        <w:t>WEZA shall compare configured appetite with institution-reported outcomes. Repeated decline reasons inconsistent with configured criteria may generate an appetite-review insight. No automatic rule change occurs.</w:t>
      </w:r>
    </w:p>
    <w:p>
      <w:pPr>
        <w:pStyle w:val="Heading1"/>
      </w:pPr>
      <w:r>
        <w:t>36. Opportunity Rescue</w:t>
      </w:r>
    </w:p>
    <w:p>
      <w:r>
        <w:t>On a reported decline, WEZA may determine whether alternative matches exist. Customer must be asked whether they want WEZA to check alternatives; new institution-specific consent shall be captured where required.</w:t>
      </w:r>
    </w:p>
    <w:p>
      <w:pPr>
        <w:pStyle w:val="Heading1"/>
      </w:pPr>
      <w:r>
        <w:t>37. Opportunity Freshness</w:t>
      </w:r>
    </w:p>
    <w:p>
      <w:r>
        <w:t>Opportunity freshness states: FRESH → ATTENTION_REQUIRED → STALE → EXPIRED. Stale opportunities may require customer reconfirmation before further routing or billing.</w:t>
      </w:r>
    </w:p>
    <w:p>
      <w:r>
        <w:t>A customer confirming they no longer need financing closes the opportunity.</w:t>
      </w:r>
    </w:p>
    <w:p>
      <w:pPr>
        <w:pStyle w:val="Heading1"/>
      </w:pPr>
      <w:r>
        <w:t>38. Duplicate and Marketplace Integrity</w:t>
      </w:r>
    </w:p>
    <w:p>
      <w:pPr>
        <w:pStyle w:val="Heading2"/>
      </w:pPr>
      <w:r>
        <w:t>FSD-INTG-001 - Duplicate Detection</w:t>
      </w:r>
    </w:p>
    <w:p>
      <w:r>
        <w:t>System shall identify potential duplicate customer/opportunity submissions using permitted identifiers and opportunity attributes.</w:t>
      </w:r>
    </w:p>
    <w:p>
      <w:pPr>
        <w:pStyle w:val="Heading2"/>
      </w:pPr>
      <w:r>
        <w:t>FSD-INTG-002 - Integrity Signals</w:t>
      </w:r>
    </w:p>
    <w:p>
      <w:r>
        <w:t>Marketplace Integrity may flag repeated identities, repeated devices/numbers, abnormal referral patterns, mass synthetic submissions, suspicious partner behaviour and other configured anomalies.</w:t>
      </w:r>
    </w:p>
    <w:p>
      <w:r>
        <w:t>Integrity flags protect the marketplace and shall not be presented as creditworthiness decisions.</w:t>
      </w:r>
    </w:p>
    <w:p>
      <w:pPr>
        <w:pStyle w:val="Heading1"/>
      </w:pPr>
      <w:r>
        <w:t>39. Commercial Attribution and Billing</w:t>
      </w:r>
    </w:p>
    <w:p>
      <w:pPr>
        <w:pStyle w:val="Heading2"/>
      </w:pPr>
      <w:r>
        <w:t>FSD-BIL-001 - Qualified Opportunity Event</w:t>
      </w:r>
    </w:p>
    <w:p>
      <w:r>
        <w:t>A billable event shall occur only when the commercial definition is satisfied, such as required verification, financial intent, mandatory profile, qualification, institution match, customer selection, consent, duplicate checks and successful routing.</w:t>
      </w:r>
    </w:p>
    <w:p>
      <w:pPr>
        <w:pStyle w:val="Heading2"/>
      </w:pPr>
      <w:r>
        <w:t>FSD-BIL-002 - Subscription</w:t>
      </w:r>
    </w:p>
    <w:p>
      <w:r>
        <w:t>Institution record may include plan, billing cycle, included opportunity allowance, billable events, invoice status and subscription status.</w:t>
      </w:r>
    </w:p>
    <w:p>
      <w:pPr>
        <w:pStyle w:val="Heading2"/>
      </w:pPr>
      <w:r>
        <w:t>FSD-BIL-003 - Attribution</w:t>
      </w:r>
    </w:p>
    <w:p>
      <w:r>
        <w:t>Commercial reporting shall preserve source, campaign, partner, customer, opportunity, institution, billable event and outcome.</w:t>
      </w:r>
    </w:p>
    <w:p>
      <w:pPr>
        <w:pStyle w:val="Heading1"/>
      </w:pPr>
      <w:r>
        <w:t>40. Opportunity Dispute Management</w:t>
      </w:r>
    </w:p>
    <w:p>
      <w:r>
        <w:t>Institutions shall be able to dispute a billable opportunity under configured commercial rules.</w:t>
      </w:r>
    </w:p>
    <w:tbl>
      <w:tblPr>
        <w:tblStyle w:val="TableGrid"/>
        <w:tblW w:type="auto" w:w="0"/>
        <w:jc w:val="center"/>
        <w:tblLook w:firstColumn="1" w:firstRow="1" w:lastColumn="0" w:lastRow="0" w:noHBand="0" w:noVBand="1" w:val="04A0"/>
      </w:tblPr>
      <w:tblGrid>
        <w:gridCol w:w="5083"/>
        <w:gridCol w:w="5083"/>
      </w:tblGrid>
      <w:tr>
        <w:tc>
          <w:tcPr>
            <w:tcW w:type="dxa" w:w="2448"/>
            <w:shd w:fill="0B1F3A"/>
            <w:tcMar>
              <w:top w:w="90" w:type="dxa"/>
              <w:start w:w="110" w:type="dxa"/>
              <w:bottom w:w="90" w:type="dxa"/>
              <w:end w:w="110" w:type="dxa"/>
            </w:tcMar>
          </w:tcPr>
          <w:p>
            <w:r>
              <w:rPr>
                <w:b/>
                <w:color w:val="FFFFFF"/>
                <w:sz w:val="16"/>
              </w:rPr>
              <w:t>Reason</w:t>
            </w:r>
          </w:p>
        </w:tc>
        <w:tc>
          <w:tcPr>
            <w:tcW w:type="dxa" w:w="7344"/>
            <w:shd w:fill="0B1F3A"/>
            <w:tcMar>
              <w:top w:w="90" w:type="dxa"/>
              <w:start w:w="110" w:type="dxa"/>
              <w:bottom w:w="90" w:type="dxa"/>
              <w:end w:w="110" w:type="dxa"/>
            </w:tcMar>
          </w:tcPr>
          <w:p>
            <w:r>
              <w:rPr>
                <w:b/>
                <w:color w:val="FFFFFF"/>
                <w:sz w:val="16"/>
              </w:rPr>
              <w:t>Example</w:t>
            </w:r>
          </w:p>
        </w:tc>
      </w:tr>
      <w:tr>
        <w:tc>
          <w:tcPr>
            <w:tcW w:type="dxa" w:w="2448"/>
            <w:tcMar>
              <w:top w:w="90" w:type="dxa"/>
              <w:start w:w="110" w:type="dxa"/>
              <w:bottom w:w="90" w:type="dxa"/>
              <w:end w:w="110" w:type="dxa"/>
            </w:tcMar>
            <w:vAlign w:val="center"/>
          </w:tcPr>
          <w:p>
            <w:r>
              <w:rPr>
                <w:sz w:val="15"/>
              </w:rPr>
              <w:t>Duplicate</w:t>
            </w:r>
          </w:p>
        </w:tc>
        <w:tc>
          <w:tcPr>
            <w:tcW w:type="dxa" w:w="7344"/>
            <w:tcMar>
              <w:top w:w="90" w:type="dxa"/>
              <w:start w:w="110" w:type="dxa"/>
              <w:bottom w:w="90" w:type="dxa"/>
              <w:end w:w="110" w:type="dxa"/>
            </w:tcMar>
            <w:vAlign w:val="center"/>
          </w:tcPr>
          <w:p>
            <w:r>
              <w:rPr>
                <w:sz w:val="15"/>
              </w:rPr>
              <w:t>Same customer/opportunity already delivered under applicable duplicate window.</w:t>
            </w:r>
          </w:p>
        </w:tc>
      </w:tr>
      <w:tr>
        <w:tc>
          <w:tcPr>
            <w:tcW w:type="dxa" w:w="2448"/>
            <w:shd w:fill="F7F9FB"/>
            <w:tcMar>
              <w:top w:w="90" w:type="dxa"/>
              <w:start w:w="110" w:type="dxa"/>
              <w:bottom w:w="90" w:type="dxa"/>
              <w:end w:w="110" w:type="dxa"/>
            </w:tcMar>
            <w:vAlign w:val="center"/>
          </w:tcPr>
          <w:p>
            <w:r>
              <w:rPr>
                <w:sz w:val="15"/>
              </w:rPr>
              <w:t>Unreachable</w:t>
            </w:r>
          </w:p>
        </w:tc>
        <w:tc>
          <w:tcPr>
            <w:tcW w:type="dxa" w:w="7344"/>
            <w:shd w:fill="F7F9FB"/>
            <w:tcMar>
              <w:top w:w="90" w:type="dxa"/>
              <w:start w:w="110" w:type="dxa"/>
              <w:bottom w:w="90" w:type="dxa"/>
              <w:end w:w="110" w:type="dxa"/>
            </w:tcMar>
            <w:vAlign w:val="center"/>
          </w:tcPr>
          <w:p>
            <w:r>
              <w:rPr>
                <w:sz w:val="15"/>
              </w:rPr>
              <w:t>Verified contact cannot be reached after required attempts.</w:t>
            </w:r>
          </w:p>
        </w:tc>
      </w:tr>
      <w:tr>
        <w:tc>
          <w:tcPr>
            <w:tcW w:type="dxa" w:w="2448"/>
            <w:tcMar>
              <w:top w:w="90" w:type="dxa"/>
              <w:start w:w="110" w:type="dxa"/>
              <w:bottom w:w="90" w:type="dxa"/>
              <w:end w:w="110" w:type="dxa"/>
            </w:tcMar>
            <w:vAlign w:val="center"/>
          </w:tcPr>
          <w:p>
            <w:r>
              <w:rPr>
                <w:sz w:val="15"/>
              </w:rPr>
              <w:t>Incorrect Information</w:t>
            </w:r>
          </w:p>
        </w:tc>
        <w:tc>
          <w:tcPr>
            <w:tcW w:type="dxa" w:w="7344"/>
            <w:tcMar>
              <w:top w:w="90" w:type="dxa"/>
              <w:start w:w="110" w:type="dxa"/>
              <w:bottom w:w="90" w:type="dxa"/>
              <w:end w:w="110" w:type="dxa"/>
            </w:tcMar>
            <w:vAlign w:val="center"/>
          </w:tcPr>
          <w:p>
            <w:r>
              <w:rPr>
                <w:sz w:val="15"/>
              </w:rPr>
              <w:t>Material submitted information is demonstrably invalid.</w:t>
            </w:r>
          </w:p>
        </w:tc>
      </w:tr>
      <w:tr>
        <w:tc>
          <w:tcPr>
            <w:tcW w:type="dxa" w:w="2448"/>
            <w:shd w:fill="F7F9FB"/>
            <w:tcMar>
              <w:top w:w="90" w:type="dxa"/>
              <w:start w:w="110" w:type="dxa"/>
              <w:bottom w:w="90" w:type="dxa"/>
              <w:end w:w="110" w:type="dxa"/>
            </w:tcMar>
            <w:vAlign w:val="center"/>
          </w:tcPr>
          <w:p>
            <w:r>
              <w:rPr>
                <w:sz w:val="15"/>
              </w:rPr>
              <w:t>No Consent/Customer Denial</w:t>
            </w:r>
          </w:p>
        </w:tc>
        <w:tc>
          <w:tcPr>
            <w:tcW w:type="dxa" w:w="7344"/>
            <w:shd w:fill="F7F9FB"/>
            <w:tcMar>
              <w:top w:w="90" w:type="dxa"/>
              <w:start w:w="110" w:type="dxa"/>
              <w:bottom w:w="90" w:type="dxa"/>
              <w:end w:w="110" w:type="dxa"/>
            </w:tcMar>
            <w:vAlign w:val="center"/>
          </w:tcPr>
          <w:p>
            <w:r>
              <w:rPr>
                <w:sz w:val="15"/>
              </w:rPr>
              <w:t>Customer disputes having authorised the opportunity.</w:t>
            </w:r>
          </w:p>
        </w:tc>
      </w:tr>
      <w:tr>
        <w:tc>
          <w:tcPr>
            <w:tcW w:type="dxa" w:w="2448"/>
            <w:tcMar>
              <w:top w:w="90" w:type="dxa"/>
              <w:start w:w="110" w:type="dxa"/>
              <w:bottom w:w="90" w:type="dxa"/>
              <w:end w:w="110" w:type="dxa"/>
            </w:tcMar>
            <w:vAlign w:val="center"/>
          </w:tcPr>
          <w:p>
            <w:r>
              <w:rPr>
                <w:sz w:val="15"/>
              </w:rPr>
              <w:t>Outside Agreed Criteria</w:t>
            </w:r>
          </w:p>
        </w:tc>
        <w:tc>
          <w:tcPr>
            <w:tcW w:type="dxa" w:w="7344"/>
            <w:tcMar>
              <w:top w:w="90" w:type="dxa"/>
              <w:start w:w="110" w:type="dxa"/>
              <w:bottom w:w="90" w:type="dxa"/>
              <w:end w:w="110" w:type="dxa"/>
            </w:tcMar>
            <w:vAlign w:val="center"/>
          </w:tcPr>
          <w:p>
            <w:r>
              <w:rPr>
                <w:sz w:val="15"/>
              </w:rPr>
              <w:t>Opportunity did not satisfy contracted qualification definition.</w:t>
            </w:r>
          </w:p>
        </w:tc>
      </w:tr>
      <w:tr>
        <w:tc>
          <w:tcPr>
            <w:tcW w:type="dxa" w:w="2448"/>
            <w:shd w:fill="F7F9FB"/>
            <w:tcMar>
              <w:top w:w="90" w:type="dxa"/>
              <w:start w:w="110" w:type="dxa"/>
              <w:bottom w:w="90" w:type="dxa"/>
              <w:end w:w="110" w:type="dxa"/>
            </w:tcMar>
            <w:vAlign w:val="center"/>
          </w:tcPr>
          <w:p>
            <w:r>
              <w:rPr>
                <w:sz w:val="15"/>
              </w:rPr>
              <w:t>Existing Customer</w:t>
            </w:r>
          </w:p>
        </w:tc>
        <w:tc>
          <w:tcPr>
            <w:tcW w:type="dxa" w:w="7344"/>
            <w:shd w:fill="F7F9FB"/>
            <w:tcMar>
              <w:top w:w="90" w:type="dxa"/>
              <w:start w:w="110" w:type="dxa"/>
              <w:bottom w:w="90" w:type="dxa"/>
              <w:end w:w="110" w:type="dxa"/>
            </w:tcMar>
            <w:vAlign w:val="center"/>
          </w:tcPr>
          <w:p>
            <w:r>
              <w:rPr>
                <w:sz w:val="15"/>
              </w:rPr>
              <w:t>Applicable contract excludes existing institution customers.</w:t>
            </w:r>
          </w:p>
        </w:tc>
      </w:tr>
      <w:tr>
        <w:tc>
          <w:tcPr>
            <w:tcW w:type="dxa" w:w="2448"/>
            <w:tcMar>
              <w:top w:w="90" w:type="dxa"/>
              <w:start w:w="110" w:type="dxa"/>
              <w:bottom w:w="90" w:type="dxa"/>
              <w:end w:w="110" w:type="dxa"/>
            </w:tcMar>
            <w:vAlign w:val="center"/>
          </w:tcPr>
          <w:p>
            <w:r>
              <w:rPr>
                <w:sz w:val="15"/>
              </w:rPr>
              <w:t>Other</w:t>
            </w:r>
          </w:p>
        </w:tc>
        <w:tc>
          <w:tcPr>
            <w:tcW w:type="dxa" w:w="7344"/>
            <w:tcMar>
              <w:top w:w="90" w:type="dxa"/>
              <w:start w:w="110" w:type="dxa"/>
              <w:bottom w:w="90" w:type="dxa"/>
              <w:end w:w="110" w:type="dxa"/>
            </w:tcMar>
            <w:vAlign w:val="center"/>
          </w:tcPr>
          <w:p>
            <w:r>
              <w:rPr>
                <w:sz w:val="15"/>
              </w:rPr>
              <w:t>Requires evidence and WEZA Operations review.</w:t>
            </w:r>
          </w:p>
        </w:tc>
      </w:tr>
    </w:tbl>
    <w:p>
      <w:pPr>
        <w:spacing w:after="20"/>
      </w:pPr>
    </w:p>
    <w:p>
      <w:r>
        <w:t>Dispute states: OPEN → UNDER_REVIEW → CHARGE_VALID / CHARGE_REVERSED / OPPORTUNITY_REPLACED / FURTHER_INVESTIGATION → CLOSED.</w:t>
      </w:r>
    </w:p>
    <w:p>
      <w:pPr>
        <w:pStyle w:val="Heading1"/>
      </w:pPr>
      <w:r>
        <w:t>41. WEZA Administration and Network Control Centre</w:t>
      </w:r>
    </w:p>
    <w:p>
      <w:pPr>
        <w:pStyle w:val="ListBullet"/>
        <w:spacing w:after="40"/>
      </w:pPr>
      <w:r>
        <w:t>Institution applications and verification.</w:t>
      </w:r>
    </w:p>
    <w:p>
      <w:pPr>
        <w:pStyle w:val="ListBullet"/>
        <w:spacing w:after="40"/>
      </w:pPr>
      <w:r>
        <w:t>Institution/product/mandate pause or suspension.</w:t>
      </w:r>
    </w:p>
    <w:p>
      <w:pPr>
        <w:pStyle w:val="ListBullet"/>
        <w:spacing w:after="40"/>
      </w:pPr>
      <w:r>
        <w:t>Active customers/opportunities and demand value.</w:t>
      </w:r>
    </w:p>
    <w:p>
      <w:pPr>
        <w:pStyle w:val="ListBullet"/>
        <w:spacing w:after="40"/>
      </w:pPr>
      <w:r>
        <w:t>Routing success and unassigned/stale opportunities.</w:t>
      </w:r>
    </w:p>
    <w:p>
      <w:pPr>
        <w:pStyle w:val="ListBullet"/>
        <w:spacing w:after="40"/>
      </w:pPr>
      <w:r>
        <w:t>Institution response performance.</w:t>
      </w:r>
    </w:p>
    <w:p>
      <w:pPr>
        <w:pStyle w:val="ListBullet"/>
        <w:spacing w:after="40"/>
      </w:pPr>
      <w:r>
        <w:t>Customer support and complaints.</w:t>
      </w:r>
    </w:p>
    <w:p>
      <w:pPr>
        <w:pStyle w:val="ListBullet"/>
        <w:spacing w:after="40"/>
      </w:pPr>
      <w:r>
        <w:t>Opportunity disputes.</w:t>
      </w:r>
    </w:p>
    <w:p>
      <w:pPr>
        <w:pStyle w:val="ListBullet"/>
        <w:spacing w:after="40"/>
      </w:pPr>
      <w:r>
        <w:t>Consent/audit review.</w:t>
      </w:r>
    </w:p>
    <w:p>
      <w:pPr>
        <w:pStyle w:val="ListBullet"/>
        <w:spacing w:after="40"/>
      </w:pPr>
      <w:r>
        <w:t>Commercial configuration.</w:t>
      </w:r>
    </w:p>
    <w:p>
      <w:pPr>
        <w:pStyle w:val="ListBullet"/>
        <w:spacing w:after="40"/>
      </w:pPr>
      <w:r>
        <w:t>Integrity/fraud flags.</w:t>
      </w:r>
    </w:p>
    <w:p>
      <w:pPr>
        <w:pStyle w:val="ListBullet"/>
        <w:spacing w:after="40"/>
      </w:pPr>
      <w:r>
        <w:t>Platform health and notification failures.</w:t>
      </w:r>
    </w:p>
    <w:p>
      <w:pPr>
        <w:pStyle w:val="Heading1"/>
      </w:pPr>
      <w:r>
        <w:t>42. Audit Trail</w:t>
      </w:r>
    </w:p>
    <w:p>
      <w:r>
        <w:t>Significant actions shall record Actor, Action, Object, Previous State, New State, Timestamp, Reason where applicable, and relevant rule/model version.</w:t>
      </w:r>
    </w:p>
    <w:p>
      <w:pPr>
        <w:pStyle w:val="ListBullet"/>
        <w:spacing w:after="40"/>
      </w:pPr>
      <w:r>
        <w:t>Product/appetite created or changed.</w:t>
      </w:r>
    </w:p>
    <w:p>
      <w:pPr>
        <w:pStyle w:val="ListBullet"/>
        <w:spacing w:after="40"/>
      </w:pPr>
      <w:r>
        <w:t>Mandate activated/paused.</w:t>
      </w:r>
    </w:p>
    <w:p>
      <w:pPr>
        <w:pStyle w:val="ListBullet"/>
        <w:spacing w:after="40"/>
      </w:pPr>
      <w:r>
        <w:t>Customer consented/withdrew.</w:t>
      </w:r>
    </w:p>
    <w:p>
      <w:pPr>
        <w:pStyle w:val="ListBullet"/>
        <w:spacing w:after="40"/>
      </w:pPr>
      <w:r>
        <w:t>Opportunity routed/viewed/assigned.</w:t>
      </w:r>
    </w:p>
    <w:p>
      <w:pPr>
        <w:pStyle w:val="ListBullet"/>
        <w:spacing w:after="40"/>
      </w:pPr>
      <w:r>
        <w:t>Outcome updated.</w:t>
      </w:r>
    </w:p>
    <w:p>
      <w:pPr>
        <w:pStyle w:val="ListBullet"/>
        <w:spacing w:after="40"/>
      </w:pPr>
      <w:r>
        <w:t>Institution suspended.</w:t>
      </w:r>
    </w:p>
    <w:p>
      <w:pPr>
        <w:pStyle w:val="ListBullet"/>
        <w:spacing w:after="40"/>
      </w:pPr>
      <w:r>
        <w:t>AI recommendation/simulation generated.</w:t>
      </w:r>
    </w:p>
    <w:p>
      <w:pPr>
        <w:pStyle w:val="ListBullet"/>
        <w:spacing w:after="40"/>
      </w:pPr>
      <w:r>
        <w:t>Billing/dispute event created.</w:t>
      </w:r>
    </w:p>
    <w:p>
      <w:pPr>
        <w:pStyle w:val="Heading1"/>
      </w:pPr>
      <w:r>
        <w:t>43. Core Data Objects</w:t>
      </w:r>
    </w:p>
    <w:tbl>
      <w:tblPr>
        <w:tblStyle w:val="TableGrid"/>
        <w:tblW w:type="auto" w:w="0"/>
        <w:jc w:val="center"/>
        <w:tblLook w:firstColumn="1" w:firstRow="1" w:lastColumn="0" w:lastRow="0" w:noHBand="0" w:noVBand="1" w:val="04A0"/>
      </w:tblPr>
      <w:tblGrid>
        <w:gridCol w:w="5083"/>
        <w:gridCol w:w="5083"/>
      </w:tblGrid>
      <w:tr>
        <w:tc>
          <w:tcPr>
            <w:tcW w:type="dxa" w:w="2448"/>
            <w:shd w:fill="0B1F3A"/>
            <w:tcMar>
              <w:top w:w="90" w:type="dxa"/>
              <w:start w:w="110" w:type="dxa"/>
              <w:bottom w:w="90" w:type="dxa"/>
              <w:end w:w="110" w:type="dxa"/>
            </w:tcMar>
          </w:tcPr>
          <w:p>
            <w:r>
              <w:rPr>
                <w:b/>
                <w:color w:val="FFFFFF"/>
                <w:sz w:val="16"/>
              </w:rPr>
              <w:t>Object</w:t>
            </w:r>
          </w:p>
        </w:tc>
        <w:tc>
          <w:tcPr>
            <w:tcW w:type="dxa" w:w="7344"/>
            <w:shd w:fill="0B1F3A"/>
            <w:tcMar>
              <w:top w:w="90" w:type="dxa"/>
              <w:start w:w="110" w:type="dxa"/>
              <w:bottom w:w="90" w:type="dxa"/>
              <w:end w:w="110" w:type="dxa"/>
            </w:tcMar>
          </w:tcPr>
          <w:p>
            <w:r>
              <w:rPr>
                <w:b/>
                <w:color w:val="FFFFFF"/>
                <w:sz w:val="16"/>
              </w:rPr>
              <w:t>Core Fields / Relationships</w:t>
            </w:r>
          </w:p>
        </w:tc>
      </w:tr>
      <w:tr>
        <w:tc>
          <w:tcPr>
            <w:tcW w:type="dxa" w:w="2448"/>
            <w:tcMar>
              <w:top w:w="90" w:type="dxa"/>
              <w:start w:w="110" w:type="dxa"/>
              <w:bottom w:w="90" w:type="dxa"/>
              <w:end w:w="110" w:type="dxa"/>
            </w:tcMar>
            <w:vAlign w:val="center"/>
          </w:tcPr>
          <w:p>
            <w:r>
              <w:rPr>
                <w:sz w:val="15"/>
              </w:rPr>
              <w:t>Customer</w:t>
            </w:r>
          </w:p>
        </w:tc>
        <w:tc>
          <w:tcPr>
            <w:tcW w:type="dxa" w:w="7344"/>
            <w:tcMar>
              <w:top w:w="90" w:type="dxa"/>
              <w:start w:w="110" w:type="dxa"/>
              <w:bottom w:w="90" w:type="dxa"/>
              <w:end w:w="110" w:type="dxa"/>
            </w:tcMar>
            <w:vAlign w:val="center"/>
          </w:tcPr>
          <w:p>
            <w:r>
              <w:rPr>
                <w:sz w:val="15"/>
              </w:rPr>
              <w:t>Customer ID, identity/contact, verification, preferences.</w:t>
            </w:r>
          </w:p>
        </w:tc>
      </w:tr>
      <w:tr>
        <w:tc>
          <w:tcPr>
            <w:tcW w:type="dxa" w:w="2448"/>
            <w:shd w:fill="F7F9FB"/>
            <w:tcMar>
              <w:top w:w="90" w:type="dxa"/>
              <w:start w:w="110" w:type="dxa"/>
              <w:bottom w:w="90" w:type="dxa"/>
              <w:end w:w="110" w:type="dxa"/>
            </w:tcMar>
            <w:vAlign w:val="center"/>
          </w:tcPr>
          <w:p>
            <w:r>
              <w:rPr>
                <w:sz w:val="15"/>
              </w:rPr>
              <w:t>Financial Profile</w:t>
            </w:r>
          </w:p>
        </w:tc>
        <w:tc>
          <w:tcPr>
            <w:tcW w:type="dxa" w:w="7344"/>
            <w:shd w:fill="F7F9FB"/>
            <w:tcMar>
              <w:top w:w="90" w:type="dxa"/>
              <w:start w:w="110" w:type="dxa"/>
              <w:bottom w:w="90" w:type="dxa"/>
              <w:end w:w="110" w:type="dxa"/>
            </w:tcMar>
            <w:vAlign w:val="center"/>
          </w:tcPr>
          <w:p>
            <w:r>
              <w:rPr>
                <w:sz w:val="15"/>
              </w:rPr>
              <w:t>Customer characteristics, employment/business and financial information.</w:t>
            </w:r>
          </w:p>
        </w:tc>
      </w:tr>
      <w:tr>
        <w:tc>
          <w:tcPr>
            <w:tcW w:type="dxa" w:w="2448"/>
            <w:tcMar>
              <w:top w:w="90" w:type="dxa"/>
              <w:start w:w="110" w:type="dxa"/>
              <w:bottom w:w="90" w:type="dxa"/>
              <w:end w:w="110" w:type="dxa"/>
            </w:tcMar>
            <w:vAlign w:val="center"/>
          </w:tcPr>
          <w:p>
            <w:r>
              <w:rPr>
                <w:sz w:val="15"/>
              </w:rPr>
              <w:t>Financial Need</w:t>
            </w:r>
          </w:p>
        </w:tc>
        <w:tc>
          <w:tcPr>
            <w:tcW w:type="dxa" w:w="7344"/>
            <w:tcMar>
              <w:top w:w="90" w:type="dxa"/>
              <w:start w:w="110" w:type="dxa"/>
              <w:bottom w:w="90" w:type="dxa"/>
              <w:end w:w="110" w:type="dxa"/>
            </w:tcMar>
            <w:vAlign w:val="center"/>
          </w:tcPr>
          <w:p>
            <w:r>
              <w:rPr>
                <w:sz w:val="15"/>
              </w:rPr>
              <w:t>Amount, purpose, family, urgency, status.</w:t>
            </w:r>
          </w:p>
        </w:tc>
      </w:tr>
      <w:tr>
        <w:tc>
          <w:tcPr>
            <w:tcW w:type="dxa" w:w="2448"/>
            <w:shd w:fill="F7F9FB"/>
            <w:tcMar>
              <w:top w:w="90" w:type="dxa"/>
              <w:start w:w="110" w:type="dxa"/>
              <w:bottom w:w="90" w:type="dxa"/>
              <w:end w:w="110" w:type="dxa"/>
            </w:tcMar>
            <w:vAlign w:val="center"/>
          </w:tcPr>
          <w:p>
            <w:r>
              <w:rPr>
                <w:sz w:val="15"/>
              </w:rPr>
              <w:t>Institution</w:t>
            </w:r>
          </w:p>
        </w:tc>
        <w:tc>
          <w:tcPr>
            <w:tcW w:type="dxa" w:w="7344"/>
            <w:shd w:fill="F7F9FB"/>
            <w:tcMar>
              <w:top w:w="90" w:type="dxa"/>
              <w:start w:w="110" w:type="dxa"/>
              <w:bottom w:w="90" w:type="dxa"/>
              <w:end w:w="110" w:type="dxa"/>
            </w:tcMar>
            <w:vAlign w:val="center"/>
          </w:tcPr>
          <w:p>
            <w:r>
              <w:rPr>
                <w:sz w:val="15"/>
              </w:rPr>
              <w:t>Identity, verification, subscription, marketplace status.</w:t>
            </w:r>
          </w:p>
        </w:tc>
      </w:tr>
      <w:tr>
        <w:tc>
          <w:tcPr>
            <w:tcW w:type="dxa" w:w="2448"/>
            <w:tcMar>
              <w:top w:w="90" w:type="dxa"/>
              <w:start w:w="110" w:type="dxa"/>
              <w:bottom w:w="90" w:type="dxa"/>
              <w:end w:w="110" w:type="dxa"/>
            </w:tcMar>
            <w:vAlign w:val="center"/>
          </w:tcPr>
          <w:p>
            <w:r>
              <w:rPr>
                <w:sz w:val="15"/>
              </w:rPr>
              <w:t>Institution User</w:t>
            </w:r>
          </w:p>
        </w:tc>
        <w:tc>
          <w:tcPr>
            <w:tcW w:type="dxa" w:w="7344"/>
            <w:tcMar>
              <w:top w:w="90" w:type="dxa"/>
              <w:start w:w="110" w:type="dxa"/>
              <w:bottom w:w="90" w:type="dxa"/>
              <w:end w:w="110" w:type="dxa"/>
            </w:tcMar>
            <w:vAlign w:val="center"/>
          </w:tcPr>
          <w:p>
            <w:r>
              <w:rPr>
                <w:sz w:val="15"/>
              </w:rPr>
              <w:t>Institution, role, permissions, status.</w:t>
            </w:r>
          </w:p>
        </w:tc>
      </w:tr>
      <w:tr>
        <w:tc>
          <w:tcPr>
            <w:tcW w:type="dxa" w:w="2448"/>
            <w:shd w:fill="F7F9FB"/>
            <w:tcMar>
              <w:top w:w="90" w:type="dxa"/>
              <w:start w:w="110" w:type="dxa"/>
              <w:bottom w:w="90" w:type="dxa"/>
              <w:end w:w="110" w:type="dxa"/>
            </w:tcMar>
            <w:vAlign w:val="center"/>
          </w:tcPr>
          <w:p>
            <w:r>
              <w:rPr>
                <w:sz w:val="15"/>
              </w:rPr>
              <w:t>Product</w:t>
            </w:r>
          </w:p>
        </w:tc>
        <w:tc>
          <w:tcPr>
            <w:tcW w:type="dxa" w:w="7344"/>
            <w:shd w:fill="F7F9FB"/>
            <w:tcMar>
              <w:top w:w="90" w:type="dxa"/>
              <w:start w:w="110" w:type="dxa"/>
              <w:bottom w:w="90" w:type="dxa"/>
              <w:end w:w="110" w:type="dxa"/>
            </w:tcMar>
            <w:vAlign w:val="center"/>
          </w:tcPr>
          <w:p>
            <w:r>
              <w:rPr>
                <w:sz w:val="15"/>
              </w:rPr>
              <w:t>Institution, terms, eligibility, requirements, status, version.</w:t>
            </w:r>
          </w:p>
        </w:tc>
      </w:tr>
      <w:tr>
        <w:tc>
          <w:tcPr>
            <w:tcW w:type="dxa" w:w="2448"/>
            <w:tcMar>
              <w:top w:w="90" w:type="dxa"/>
              <w:start w:w="110" w:type="dxa"/>
              <w:bottom w:w="90" w:type="dxa"/>
              <w:end w:w="110" w:type="dxa"/>
            </w:tcMar>
            <w:vAlign w:val="center"/>
          </w:tcPr>
          <w:p>
            <w:r>
              <w:rPr>
                <w:sz w:val="15"/>
              </w:rPr>
              <w:t>Appetite/Mandate</w:t>
            </w:r>
          </w:p>
        </w:tc>
        <w:tc>
          <w:tcPr>
            <w:tcW w:type="dxa" w:w="7344"/>
            <w:tcMar>
              <w:top w:w="90" w:type="dxa"/>
              <w:start w:w="110" w:type="dxa"/>
              <w:bottom w:w="90" w:type="dxa"/>
              <w:end w:w="110" w:type="dxa"/>
            </w:tcMar>
            <w:vAlign w:val="center"/>
          </w:tcPr>
          <w:p>
            <w:r>
              <w:rPr>
                <w:sz w:val="15"/>
              </w:rPr>
              <w:t>Product, criteria, targets, capacity, dates, status, version.</w:t>
            </w:r>
          </w:p>
        </w:tc>
      </w:tr>
      <w:tr>
        <w:tc>
          <w:tcPr>
            <w:tcW w:type="dxa" w:w="2448"/>
            <w:shd w:fill="F7F9FB"/>
            <w:tcMar>
              <w:top w:w="90" w:type="dxa"/>
              <w:start w:w="110" w:type="dxa"/>
              <w:bottom w:w="90" w:type="dxa"/>
              <w:end w:w="110" w:type="dxa"/>
            </w:tcMar>
            <w:vAlign w:val="center"/>
          </w:tcPr>
          <w:p>
            <w:r>
              <w:rPr>
                <w:sz w:val="15"/>
              </w:rPr>
              <w:t>Opportunity Preview</w:t>
            </w:r>
          </w:p>
        </w:tc>
        <w:tc>
          <w:tcPr>
            <w:tcW w:type="dxa" w:w="7344"/>
            <w:shd w:fill="F7F9FB"/>
            <w:tcMar>
              <w:top w:w="90" w:type="dxa"/>
              <w:start w:w="110" w:type="dxa"/>
              <w:bottom w:w="90" w:type="dxa"/>
              <w:end w:w="110" w:type="dxa"/>
            </w:tcMar>
            <w:vAlign w:val="center"/>
          </w:tcPr>
          <w:p>
            <w:r>
              <w:rPr>
                <w:sz w:val="15"/>
              </w:rPr>
              <w:t>Anonymised opportunity summary and interest states.</w:t>
            </w:r>
          </w:p>
        </w:tc>
      </w:tr>
      <w:tr>
        <w:tc>
          <w:tcPr>
            <w:tcW w:type="dxa" w:w="2448"/>
            <w:tcMar>
              <w:top w:w="90" w:type="dxa"/>
              <w:start w:w="110" w:type="dxa"/>
              <w:bottom w:w="90" w:type="dxa"/>
              <w:end w:w="110" w:type="dxa"/>
            </w:tcMar>
            <w:vAlign w:val="center"/>
          </w:tcPr>
          <w:p>
            <w:r>
              <w:rPr>
                <w:sz w:val="15"/>
              </w:rPr>
              <w:t>Opportunity</w:t>
            </w:r>
          </w:p>
        </w:tc>
        <w:tc>
          <w:tcPr>
            <w:tcW w:type="dxa" w:w="7344"/>
            <w:tcMar>
              <w:top w:w="90" w:type="dxa"/>
              <w:start w:w="110" w:type="dxa"/>
              <w:bottom w:w="90" w:type="dxa"/>
              <w:end w:w="110" w:type="dxa"/>
            </w:tcMar>
            <w:vAlign w:val="center"/>
          </w:tcPr>
          <w:p>
            <w:r>
              <w:rPr>
                <w:sz w:val="15"/>
              </w:rPr>
              <w:t>Customer, need, institution, product, match, consent, source, state.</w:t>
            </w:r>
          </w:p>
        </w:tc>
      </w:tr>
      <w:tr>
        <w:tc>
          <w:tcPr>
            <w:tcW w:type="dxa" w:w="2448"/>
            <w:shd w:fill="F7F9FB"/>
            <w:tcMar>
              <w:top w:w="90" w:type="dxa"/>
              <w:start w:w="110" w:type="dxa"/>
              <w:bottom w:w="90" w:type="dxa"/>
              <w:end w:w="110" w:type="dxa"/>
            </w:tcMar>
            <w:vAlign w:val="center"/>
          </w:tcPr>
          <w:p>
            <w:r>
              <w:rPr>
                <w:sz w:val="15"/>
              </w:rPr>
              <w:t>Match</w:t>
            </w:r>
          </w:p>
        </w:tc>
        <w:tc>
          <w:tcPr>
            <w:tcW w:type="dxa" w:w="7344"/>
            <w:shd w:fill="F7F9FB"/>
            <w:tcMar>
              <w:top w:w="90" w:type="dxa"/>
              <w:start w:w="110" w:type="dxa"/>
              <w:bottom w:w="90" w:type="dxa"/>
              <w:end w:w="110" w:type="dxa"/>
            </w:tcMar>
            <w:vAlign w:val="center"/>
          </w:tcPr>
          <w:p>
            <w:r>
              <w:rPr>
                <w:sz w:val="15"/>
              </w:rPr>
              <w:t>Score, explanation, rule version, timestamp.</w:t>
            </w:r>
          </w:p>
        </w:tc>
      </w:tr>
      <w:tr>
        <w:tc>
          <w:tcPr>
            <w:tcW w:type="dxa" w:w="2448"/>
            <w:tcMar>
              <w:top w:w="90" w:type="dxa"/>
              <w:start w:w="110" w:type="dxa"/>
              <w:bottom w:w="90" w:type="dxa"/>
              <w:end w:w="110" w:type="dxa"/>
            </w:tcMar>
            <w:vAlign w:val="center"/>
          </w:tcPr>
          <w:p>
            <w:r>
              <w:rPr>
                <w:sz w:val="15"/>
              </w:rPr>
              <w:t>Consent</w:t>
            </w:r>
          </w:p>
        </w:tc>
        <w:tc>
          <w:tcPr>
            <w:tcW w:type="dxa" w:w="7344"/>
            <w:tcMar>
              <w:top w:w="90" w:type="dxa"/>
              <w:start w:w="110" w:type="dxa"/>
              <w:bottom w:w="90" w:type="dxa"/>
              <w:end w:w="110" w:type="dxa"/>
            </w:tcMar>
            <w:vAlign w:val="center"/>
          </w:tcPr>
          <w:p>
            <w:r>
              <w:rPr>
                <w:sz w:val="15"/>
              </w:rPr>
              <w:t>Customer, institution, purpose, categories, version, status.</w:t>
            </w:r>
          </w:p>
        </w:tc>
      </w:tr>
      <w:tr>
        <w:tc>
          <w:tcPr>
            <w:tcW w:type="dxa" w:w="2448"/>
            <w:shd w:fill="F7F9FB"/>
            <w:tcMar>
              <w:top w:w="90" w:type="dxa"/>
              <w:start w:w="110" w:type="dxa"/>
              <w:bottom w:w="90" w:type="dxa"/>
              <w:end w:w="110" w:type="dxa"/>
            </w:tcMar>
            <w:vAlign w:val="center"/>
          </w:tcPr>
          <w:p>
            <w:r>
              <w:rPr>
                <w:sz w:val="15"/>
              </w:rPr>
              <w:t>Assignment</w:t>
            </w:r>
          </w:p>
        </w:tc>
        <w:tc>
          <w:tcPr>
            <w:tcW w:type="dxa" w:w="7344"/>
            <w:shd w:fill="F7F9FB"/>
            <w:tcMar>
              <w:top w:w="90" w:type="dxa"/>
              <w:start w:w="110" w:type="dxa"/>
              <w:bottom w:w="90" w:type="dxa"/>
              <w:end w:w="110" w:type="dxa"/>
            </w:tcMar>
            <w:vAlign w:val="center"/>
          </w:tcPr>
          <w:p>
            <w:r>
              <w:rPr>
                <w:sz w:val="15"/>
              </w:rPr>
              <w:t>Opportunity, team/user, timestamps, service target.</w:t>
            </w:r>
          </w:p>
        </w:tc>
      </w:tr>
      <w:tr>
        <w:tc>
          <w:tcPr>
            <w:tcW w:type="dxa" w:w="2448"/>
            <w:tcMar>
              <w:top w:w="90" w:type="dxa"/>
              <w:start w:w="110" w:type="dxa"/>
              <w:bottom w:w="90" w:type="dxa"/>
              <w:end w:w="110" w:type="dxa"/>
            </w:tcMar>
            <w:vAlign w:val="center"/>
          </w:tcPr>
          <w:p>
            <w:r>
              <w:rPr>
                <w:sz w:val="15"/>
              </w:rPr>
              <w:t>Outcome</w:t>
            </w:r>
          </w:p>
        </w:tc>
        <w:tc>
          <w:tcPr>
            <w:tcW w:type="dxa" w:w="7344"/>
            <w:tcMar>
              <w:top w:w="90" w:type="dxa"/>
              <w:start w:w="110" w:type="dxa"/>
              <w:bottom w:w="90" w:type="dxa"/>
              <w:end w:w="110" w:type="dxa"/>
            </w:tcMar>
            <w:vAlign w:val="center"/>
          </w:tcPr>
          <w:p>
            <w:r>
              <w:rPr>
                <w:sz w:val="15"/>
              </w:rPr>
              <w:t>Reported state, reason, amounts/dates where supplied.</w:t>
            </w:r>
          </w:p>
        </w:tc>
      </w:tr>
      <w:tr>
        <w:tc>
          <w:tcPr>
            <w:tcW w:type="dxa" w:w="2448"/>
            <w:shd w:fill="F7F9FB"/>
            <w:tcMar>
              <w:top w:w="90" w:type="dxa"/>
              <w:start w:w="110" w:type="dxa"/>
              <w:bottom w:w="90" w:type="dxa"/>
              <w:end w:w="110" w:type="dxa"/>
            </w:tcMar>
            <w:vAlign w:val="center"/>
          </w:tcPr>
          <w:p>
            <w:r>
              <w:rPr>
                <w:sz w:val="15"/>
              </w:rPr>
              <w:t>Notification</w:t>
            </w:r>
          </w:p>
        </w:tc>
        <w:tc>
          <w:tcPr>
            <w:tcW w:type="dxa" w:w="7344"/>
            <w:shd w:fill="F7F9FB"/>
            <w:tcMar>
              <w:top w:w="90" w:type="dxa"/>
              <w:start w:w="110" w:type="dxa"/>
              <w:bottom w:w="90" w:type="dxa"/>
              <w:end w:w="110" w:type="dxa"/>
            </w:tcMar>
            <w:vAlign w:val="center"/>
          </w:tcPr>
          <w:p>
            <w:r>
              <w:rPr>
                <w:sz w:val="15"/>
              </w:rPr>
              <w:t>Event, recipient, channel, priority, status.</w:t>
            </w:r>
          </w:p>
        </w:tc>
      </w:tr>
      <w:tr>
        <w:tc>
          <w:tcPr>
            <w:tcW w:type="dxa" w:w="2448"/>
            <w:tcMar>
              <w:top w:w="90" w:type="dxa"/>
              <w:start w:w="110" w:type="dxa"/>
              <w:bottom w:w="90" w:type="dxa"/>
              <w:end w:w="110" w:type="dxa"/>
            </w:tcMar>
            <w:vAlign w:val="center"/>
          </w:tcPr>
          <w:p>
            <w:r>
              <w:rPr>
                <w:sz w:val="15"/>
              </w:rPr>
              <w:t>Commercial Event</w:t>
            </w:r>
          </w:p>
        </w:tc>
        <w:tc>
          <w:tcPr>
            <w:tcW w:type="dxa" w:w="7344"/>
            <w:tcMar>
              <w:top w:w="90" w:type="dxa"/>
              <w:start w:w="110" w:type="dxa"/>
              <w:bottom w:w="90" w:type="dxa"/>
              <w:end w:w="110" w:type="dxa"/>
            </w:tcMar>
            <w:vAlign w:val="center"/>
          </w:tcPr>
          <w:p>
            <w:r>
              <w:rPr>
                <w:sz w:val="15"/>
              </w:rPr>
              <w:t>Opportunity, contract rule, charge status, attribution.</w:t>
            </w:r>
          </w:p>
        </w:tc>
      </w:tr>
      <w:tr>
        <w:tc>
          <w:tcPr>
            <w:tcW w:type="dxa" w:w="2448"/>
            <w:shd w:fill="F7F9FB"/>
            <w:tcMar>
              <w:top w:w="90" w:type="dxa"/>
              <w:start w:w="110" w:type="dxa"/>
              <w:bottom w:w="90" w:type="dxa"/>
              <w:end w:w="110" w:type="dxa"/>
            </w:tcMar>
            <w:vAlign w:val="center"/>
          </w:tcPr>
          <w:p>
            <w:r>
              <w:rPr>
                <w:sz w:val="15"/>
              </w:rPr>
              <w:t>Dispute</w:t>
            </w:r>
          </w:p>
        </w:tc>
        <w:tc>
          <w:tcPr>
            <w:tcW w:type="dxa" w:w="7344"/>
            <w:shd w:fill="F7F9FB"/>
            <w:tcMar>
              <w:top w:w="90" w:type="dxa"/>
              <w:start w:w="110" w:type="dxa"/>
              <w:bottom w:w="90" w:type="dxa"/>
              <w:end w:w="110" w:type="dxa"/>
            </w:tcMar>
            <w:vAlign w:val="center"/>
          </w:tcPr>
          <w:p>
            <w:r>
              <w:rPr>
                <w:sz w:val="15"/>
              </w:rPr>
              <w:t>Commercial event, reason, evidence, decision.</w:t>
            </w:r>
          </w:p>
        </w:tc>
      </w:tr>
      <w:tr>
        <w:tc>
          <w:tcPr>
            <w:tcW w:type="dxa" w:w="2448"/>
            <w:tcMar>
              <w:top w:w="90" w:type="dxa"/>
              <w:start w:w="110" w:type="dxa"/>
              <w:bottom w:w="90" w:type="dxa"/>
              <w:end w:w="110" w:type="dxa"/>
            </w:tcMar>
            <w:vAlign w:val="center"/>
          </w:tcPr>
          <w:p>
            <w:r>
              <w:rPr>
                <w:sz w:val="15"/>
              </w:rPr>
              <w:t>Audit Event</w:t>
            </w:r>
          </w:p>
        </w:tc>
        <w:tc>
          <w:tcPr>
            <w:tcW w:type="dxa" w:w="7344"/>
            <w:tcMar>
              <w:top w:w="90" w:type="dxa"/>
              <w:start w:w="110" w:type="dxa"/>
              <w:bottom w:w="90" w:type="dxa"/>
              <w:end w:w="110" w:type="dxa"/>
            </w:tcMar>
            <w:vAlign w:val="center"/>
          </w:tcPr>
          <w:p>
            <w:r>
              <w:rPr>
                <w:sz w:val="15"/>
              </w:rPr>
              <w:t>Actor, action, object, before/after, timestamp.</w:t>
            </w:r>
          </w:p>
        </w:tc>
      </w:tr>
    </w:tbl>
    <w:p>
      <w:pPr>
        <w:spacing w:after="20"/>
      </w:pPr>
    </w:p>
    <w:p>
      <w:pPr>
        <w:pStyle w:val="Heading1"/>
      </w:pPr>
      <w:r>
        <w:t>44. Core State Machines</w:t>
      </w:r>
    </w:p>
    <w:p>
      <w:pPr>
        <w:pStyle w:val="Heading2"/>
      </w:pPr>
      <w:r>
        <w:t>44.1 Opportunity</w:t>
      </w:r>
    </w:p>
    <w:p>
      <w:r>
        <w:t>DRAFT → PROFILE_IN_PROGRESS → READY_FOR_MATCHING → MATCHED → CUSTOMER_SELECTED → CONSENTED → QUALIFIED → ROUTED → RECEIVED → ASSIGNED → CONTACTED → PROCEEDING → SUBMITTED_TO_INSTITUTION → REPORTED_APPROVED / REPORTED_DECLINED / WITHDRAWN → REPORTED_DISBURSED / CLOSED</w:t>
      </w:r>
    </w:p>
    <w:p>
      <w:r>
        <w:t>REPORTED_DECLINED may transition to REMATCH_ELIGIBLE following customer confirmation.</w:t>
      </w:r>
    </w:p>
    <w:p>
      <w:pPr>
        <w:pStyle w:val="Heading2"/>
      </w:pPr>
      <w:r>
        <w:t>44.2 Institution</w:t>
      </w:r>
    </w:p>
    <w:p>
      <w:r>
        <w:t>DRAFT → SUBMITTED → UNDER_VERIFICATION → APPROVED → CONFIGURING → READY → ACTIVE → PAUSED / SUSPENDED → CLOSED</w:t>
      </w:r>
    </w:p>
    <w:p>
      <w:pPr>
        <w:pStyle w:val="Heading2"/>
      </w:pPr>
      <w:r>
        <w:t>44.3 Product</w:t>
      </w:r>
    </w:p>
    <w:p>
      <w:r>
        <w:t>DRAFT → PENDING_APPROVAL → ACTIVE → PAUSED → ARCHIVED</w:t>
      </w:r>
    </w:p>
    <w:p>
      <w:pPr>
        <w:pStyle w:val="Heading2"/>
      </w:pPr>
      <w:r>
        <w:t>44.4 Appetite/Mandate</w:t>
      </w:r>
    </w:p>
    <w:p>
      <w:r>
        <w:t>DRAFT → SIMULATED → APPROVED → ACTIVE / LIMITED / FULL → PAUSED → EXPIRED / ARCHIVED</w:t>
      </w:r>
    </w:p>
    <w:p>
      <w:pPr>
        <w:pStyle w:val="Heading2"/>
      </w:pPr>
      <w:r>
        <w:t>44.5 Opportunity Freshness</w:t>
      </w:r>
    </w:p>
    <w:p>
      <w:r>
        <w:t>FRESH → ATTENTION_REQUIRED → STALE → EXPIRED</w:t>
      </w:r>
    </w:p>
    <w:p>
      <w:pPr>
        <w:pStyle w:val="Heading2"/>
      </w:pPr>
      <w:r>
        <w:t>44.6 Dispute</w:t>
      </w:r>
    </w:p>
    <w:p>
      <w:r>
        <w:t>OPEN → UNDER_REVIEW → DECIDED → CLOSED</w:t>
      </w:r>
    </w:p>
    <w:p>
      <w:pPr>
        <w:pStyle w:val="Heading1"/>
      </w:pPr>
      <w:r>
        <w:t>45. Error and Exception Handling</w:t>
      </w:r>
    </w:p>
    <w:tbl>
      <w:tblPr>
        <w:tblStyle w:val="TableGrid"/>
        <w:tblW w:type="auto" w:w="0"/>
        <w:jc w:val="center"/>
        <w:tblLook w:firstColumn="1" w:firstRow="1" w:lastColumn="0" w:lastRow="0" w:noHBand="0" w:noVBand="1" w:val="04A0"/>
      </w:tblPr>
      <w:tblGrid>
        <w:gridCol w:w="5083"/>
        <w:gridCol w:w="5083"/>
      </w:tblGrid>
      <w:tr>
        <w:tc>
          <w:tcPr>
            <w:tcW w:type="dxa" w:w="2880"/>
            <w:shd w:fill="0B1F3A"/>
            <w:tcMar>
              <w:top w:w="90" w:type="dxa"/>
              <w:start w:w="110" w:type="dxa"/>
              <w:bottom w:w="90" w:type="dxa"/>
              <w:end w:w="110" w:type="dxa"/>
            </w:tcMar>
          </w:tcPr>
          <w:p>
            <w:r>
              <w:rPr>
                <w:b/>
                <w:color w:val="FFFFFF"/>
                <w:sz w:val="16"/>
              </w:rPr>
              <w:t>Exception</w:t>
            </w:r>
          </w:p>
        </w:tc>
        <w:tc>
          <w:tcPr>
            <w:tcW w:type="dxa" w:w="6912"/>
            <w:shd w:fill="0B1F3A"/>
            <w:tcMar>
              <w:top w:w="90" w:type="dxa"/>
              <w:start w:w="110" w:type="dxa"/>
              <w:bottom w:w="90" w:type="dxa"/>
              <w:end w:w="110" w:type="dxa"/>
            </w:tcMar>
          </w:tcPr>
          <w:p>
            <w:r>
              <w:rPr>
                <w:b/>
                <w:color w:val="FFFFFF"/>
                <w:sz w:val="16"/>
              </w:rPr>
              <w:t>Required Behaviour</w:t>
            </w:r>
          </w:p>
        </w:tc>
      </w:tr>
      <w:tr>
        <w:tc>
          <w:tcPr>
            <w:tcW w:type="dxa" w:w="2880"/>
            <w:tcMar>
              <w:top w:w="90" w:type="dxa"/>
              <w:start w:w="110" w:type="dxa"/>
              <w:bottom w:w="90" w:type="dxa"/>
              <w:end w:w="110" w:type="dxa"/>
            </w:tcMar>
            <w:vAlign w:val="center"/>
          </w:tcPr>
          <w:p>
            <w:r>
              <w:rPr>
                <w:sz w:val="15"/>
              </w:rPr>
              <w:t>OTP Failure</w:t>
            </w:r>
          </w:p>
        </w:tc>
        <w:tc>
          <w:tcPr>
            <w:tcW w:type="dxa" w:w="6912"/>
            <w:tcMar>
              <w:top w:w="90" w:type="dxa"/>
              <w:start w:w="110" w:type="dxa"/>
              <w:bottom w:w="90" w:type="dxa"/>
              <w:end w:w="110" w:type="dxa"/>
            </w:tcMar>
            <w:vAlign w:val="center"/>
          </w:tcPr>
          <w:p>
            <w:r>
              <w:rPr>
                <w:sz w:val="15"/>
              </w:rPr>
              <w:t>Explain failure; allow rate-limited retry/resend.</w:t>
            </w:r>
          </w:p>
        </w:tc>
      </w:tr>
      <w:tr>
        <w:tc>
          <w:tcPr>
            <w:tcW w:type="dxa" w:w="2880"/>
            <w:shd w:fill="F7F9FB"/>
            <w:tcMar>
              <w:top w:w="90" w:type="dxa"/>
              <w:start w:w="110" w:type="dxa"/>
              <w:bottom w:w="90" w:type="dxa"/>
              <w:end w:w="110" w:type="dxa"/>
            </w:tcMar>
            <w:vAlign w:val="center"/>
          </w:tcPr>
          <w:p>
            <w:r>
              <w:rPr>
                <w:sz w:val="15"/>
              </w:rPr>
              <w:t>Session Interruption</w:t>
            </w:r>
          </w:p>
        </w:tc>
        <w:tc>
          <w:tcPr>
            <w:tcW w:type="dxa" w:w="6912"/>
            <w:shd w:fill="F7F9FB"/>
            <w:tcMar>
              <w:top w:w="90" w:type="dxa"/>
              <w:start w:w="110" w:type="dxa"/>
              <w:bottom w:w="90" w:type="dxa"/>
              <w:end w:w="110" w:type="dxa"/>
            </w:tcMar>
            <w:vAlign w:val="center"/>
          </w:tcPr>
          <w:p>
            <w:r>
              <w:rPr>
                <w:sz w:val="15"/>
              </w:rPr>
              <w:t>Persist recoverable progress and offer resume.</w:t>
            </w:r>
          </w:p>
        </w:tc>
      </w:tr>
      <w:tr>
        <w:tc>
          <w:tcPr>
            <w:tcW w:type="dxa" w:w="2880"/>
            <w:tcMar>
              <w:top w:w="90" w:type="dxa"/>
              <w:start w:w="110" w:type="dxa"/>
              <w:bottom w:w="90" w:type="dxa"/>
              <w:end w:w="110" w:type="dxa"/>
            </w:tcMar>
            <w:vAlign w:val="center"/>
          </w:tcPr>
          <w:p>
            <w:r>
              <w:rPr>
                <w:sz w:val="15"/>
              </w:rPr>
              <w:t>Missing Required Information</w:t>
            </w:r>
          </w:p>
        </w:tc>
        <w:tc>
          <w:tcPr>
            <w:tcW w:type="dxa" w:w="6912"/>
            <w:tcMar>
              <w:top w:w="90" w:type="dxa"/>
              <w:start w:w="110" w:type="dxa"/>
              <w:bottom w:w="90" w:type="dxa"/>
              <w:end w:w="110" w:type="dxa"/>
            </w:tcMar>
            <w:vAlign w:val="center"/>
          </w:tcPr>
          <w:p>
            <w:r>
              <w:rPr>
                <w:sz w:val="15"/>
              </w:rPr>
              <w:t>Identify exact missing item and next action.</w:t>
            </w:r>
          </w:p>
        </w:tc>
      </w:tr>
      <w:tr>
        <w:tc>
          <w:tcPr>
            <w:tcW w:type="dxa" w:w="2880"/>
            <w:shd w:fill="F7F9FB"/>
            <w:tcMar>
              <w:top w:w="90" w:type="dxa"/>
              <w:start w:w="110" w:type="dxa"/>
              <w:bottom w:w="90" w:type="dxa"/>
              <w:end w:w="110" w:type="dxa"/>
            </w:tcMar>
            <w:vAlign w:val="center"/>
          </w:tcPr>
          <w:p>
            <w:r>
              <w:rPr>
                <w:sz w:val="15"/>
              </w:rPr>
              <w:t>No Match</w:t>
            </w:r>
          </w:p>
        </w:tc>
        <w:tc>
          <w:tcPr>
            <w:tcW w:type="dxa" w:w="6912"/>
            <w:shd w:fill="F7F9FB"/>
            <w:tcMar>
              <w:top w:w="90" w:type="dxa"/>
              <w:start w:w="110" w:type="dxa"/>
              <w:bottom w:w="90" w:type="dxa"/>
              <w:end w:w="110" w:type="dxa"/>
            </w:tcMar>
            <w:vAlign w:val="center"/>
          </w:tcPr>
          <w:p>
            <w:r>
              <w:rPr>
                <w:sz w:val="15"/>
              </w:rPr>
              <w:t>Offer Waiting Room where enabled; never invent an institution.</w:t>
            </w:r>
          </w:p>
        </w:tc>
      </w:tr>
      <w:tr>
        <w:tc>
          <w:tcPr>
            <w:tcW w:type="dxa" w:w="2880"/>
            <w:tcMar>
              <w:top w:w="90" w:type="dxa"/>
              <w:start w:w="110" w:type="dxa"/>
              <w:bottom w:w="90" w:type="dxa"/>
              <w:end w:w="110" w:type="dxa"/>
            </w:tcMar>
            <w:vAlign w:val="center"/>
          </w:tcPr>
          <w:p>
            <w:r>
              <w:rPr>
                <w:sz w:val="15"/>
              </w:rPr>
              <w:t>Product/Institution Paused Mid-Journey</w:t>
            </w:r>
          </w:p>
        </w:tc>
        <w:tc>
          <w:tcPr>
            <w:tcW w:type="dxa" w:w="6912"/>
            <w:tcMar>
              <w:top w:w="90" w:type="dxa"/>
              <w:start w:w="110" w:type="dxa"/>
              <w:bottom w:w="90" w:type="dxa"/>
              <w:end w:w="110" w:type="dxa"/>
            </w:tcMar>
            <w:vAlign w:val="center"/>
          </w:tcPr>
          <w:p>
            <w:r>
              <w:rPr>
                <w:sz w:val="15"/>
              </w:rPr>
              <w:t>Stop disclosure; re-evaluate matches.</w:t>
            </w:r>
          </w:p>
        </w:tc>
      </w:tr>
      <w:tr>
        <w:tc>
          <w:tcPr>
            <w:tcW w:type="dxa" w:w="2880"/>
            <w:shd w:fill="F7F9FB"/>
            <w:tcMar>
              <w:top w:w="90" w:type="dxa"/>
              <w:start w:w="110" w:type="dxa"/>
              <w:bottom w:w="90" w:type="dxa"/>
              <w:end w:w="110" w:type="dxa"/>
            </w:tcMar>
            <w:vAlign w:val="center"/>
          </w:tcPr>
          <w:p>
            <w:r>
              <w:rPr>
                <w:sz w:val="15"/>
              </w:rPr>
              <w:t>Consent Withdrawn</w:t>
            </w:r>
          </w:p>
        </w:tc>
        <w:tc>
          <w:tcPr>
            <w:tcW w:type="dxa" w:w="6912"/>
            <w:shd w:fill="F7F9FB"/>
            <w:tcMar>
              <w:top w:w="90" w:type="dxa"/>
              <w:start w:w="110" w:type="dxa"/>
              <w:bottom w:w="90" w:type="dxa"/>
              <w:end w:w="110" w:type="dxa"/>
            </w:tcMar>
            <w:vAlign w:val="center"/>
          </w:tcPr>
          <w:p>
            <w:r>
              <w:rPr>
                <w:sz w:val="15"/>
              </w:rPr>
              <w:t>Stop future WEZA disclosure and record withdrawal.</w:t>
            </w:r>
          </w:p>
        </w:tc>
      </w:tr>
      <w:tr>
        <w:tc>
          <w:tcPr>
            <w:tcW w:type="dxa" w:w="2880"/>
            <w:tcMar>
              <w:top w:w="90" w:type="dxa"/>
              <w:start w:w="110" w:type="dxa"/>
              <w:bottom w:w="90" w:type="dxa"/>
              <w:end w:w="110" w:type="dxa"/>
            </w:tcMar>
            <w:vAlign w:val="center"/>
          </w:tcPr>
          <w:p>
            <w:r>
              <w:rPr>
                <w:sz w:val="15"/>
              </w:rPr>
              <w:t>Routing Failure</w:t>
            </w:r>
          </w:p>
        </w:tc>
        <w:tc>
          <w:tcPr>
            <w:tcW w:type="dxa" w:w="6912"/>
            <w:tcMar>
              <w:top w:w="90" w:type="dxa"/>
              <w:start w:w="110" w:type="dxa"/>
              <w:bottom w:w="90" w:type="dxa"/>
              <w:end w:w="110" w:type="dxa"/>
            </w:tcMar>
            <w:vAlign w:val="center"/>
          </w:tcPr>
          <w:p>
            <w:r>
              <w:rPr>
                <w:sz w:val="15"/>
              </w:rPr>
              <w:t>Do not mark delivered/billable until routing succeeds.</w:t>
            </w:r>
          </w:p>
        </w:tc>
      </w:tr>
      <w:tr>
        <w:tc>
          <w:tcPr>
            <w:tcW w:type="dxa" w:w="2880"/>
            <w:shd w:fill="F7F9FB"/>
            <w:tcMar>
              <w:top w:w="90" w:type="dxa"/>
              <w:start w:w="110" w:type="dxa"/>
              <w:bottom w:w="90" w:type="dxa"/>
              <w:end w:w="110" w:type="dxa"/>
            </w:tcMar>
            <w:vAlign w:val="center"/>
          </w:tcPr>
          <w:p>
            <w:r>
              <w:rPr>
                <w:sz w:val="15"/>
              </w:rPr>
              <w:t>Notification Failure</w:t>
            </w:r>
          </w:p>
        </w:tc>
        <w:tc>
          <w:tcPr>
            <w:tcW w:type="dxa" w:w="6912"/>
            <w:shd w:fill="F7F9FB"/>
            <w:tcMar>
              <w:top w:w="90" w:type="dxa"/>
              <w:start w:w="110" w:type="dxa"/>
              <w:bottom w:w="90" w:type="dxa"/>
              <w:end w:w="110" w:type="dxa"/>
            </w:tcMar>
            <w:vAlign w:val="center"/>
          </w:tcPr>
          <w:p>
            <w:r>
              <w:rPr>
                <w:sz w:val="15"/>
              </w:rPr>
              <w:t>Retry according to policy and surface operational alert.</w:t>
            </w:r>
          </w:p>
        </w:tc>
      </w:tr>
      <w:tr>
        <w:tc>
          <w:tcPr>
            <w:tcW w:type="dxa" w:w="2880"/>
            <w:tcMar>
              <w:top w:w="90" w:type="dxa"/>
              <w:start w:w="110" w:type="dxa"/>
              <w:bottom w:w="90" w:type="dxa"/>
              <w:end w:w="110" w:type="dxa"/>
            </w:tcMar>
            <w:vAlign w:val="center"/>
          </w:tcPr>
          <w:p>
            <w:r>
              <w:rPr>
                <w:sz w:val="15"/>
              </w:rPr>
              <w:t>Duplicate</w:t>
            </w:r>
          </w:p>
        </w:tc>
        <w:tc>
          <w:tcPr>
            <w:tcW w:type="dxa" w:w="6912"/>
            <w:tcMar>
              <w:top w:w="90" w:type="dxa"/>
              <w:start w:w="110" w:type="dxa"/>
              <w:bottom w:w="90" w:type="dxa"/>
              <w:end w:w="110" w:type="dxa"/>
            </w:tcMar>
            <w:vAlign w:val="center"/>
          </w:tcPr>
          <w:p>
            <w:r>
              <w:rPr>
                <w:sz w:val="15"/>
              </w:rPr>
              <w:t>Hold/merge/route according to duplicate rules; avoid duplicate billing.</w:t>
            </w:r>
          </w:p>
        </w:tc>
      </w:tr>
      <w:tr>
        <w:tc>
          <w:tcPr>
            <w:tcW w:type="dxa" w:w="2880"/>
            <w:shd w:fill="F7F9FB"/>
            <w:tcMar>
              <w:top w:w="90" w:type="dxa"/>
              <w:start w:w="110" w:type="dxa"/>
              <w:bottom w:w="90" w:type="dxa"/>
              <w:end w:w="110" w:type="dxa"/>
            </w:tcMar>
            <w:vAlign w:val="center"/>
          </w:tcPr>
          <w:p>
            <w:r>
              <w:rPr>
                <w:sz w:val="15"/>
              </w:rPr>
              <w:t>Opportunity Stale</w:t>
            </w:r>
          </w:p>
        </w:tc>
        <w:tc>
          <w:tcPr>
            <w:tcW w:type="dxa" w:w="6912"/>
            <w:shd w:fill="F7F9FB"/>
            <w:tcMar>
              <w:top w:w="90" w:type="dxa"/>
              <w:start w:w="110" w:type="dxa"/>
              <w:bottom w:w="90" w:type="dxa"/>
              <w:end w:w="110" w:type="dxa"/>
            </w:tcMar>
            <w:vAlign w:val="center"/>
          </w:tcPr>
          <w:p>
            <w:r>
              <w:rPr>
                <w:sz w:val="15"/>
              </w:rPr>
              <w:t>Request customer reconfirmation.</w:t>
            </w:r>
          </w:p>
        </w:tc>
      </w:tr>
      <w:tr>
        <w:tc>
          <w:tcPr>
            <w:tcW w:type="dxa" w:w="2880"/>
            <w:tcMar>
              <w:top w:w="90" w:type="dxa"/>
              <w:start w:w="110" w:type="dxa"/>
              <w:bottom w:w="90" w:type="dxa"/>
              <w:end w:w="110" w:type="dxa"/>
            </w:tcMar>
            <w:vAlign w:val="center"/>
          </w:tcPr>
          <w:p>
            <w:r>
              <w:rPr>
                <w:sz w:val="15"/>
              </w:rPr>
              <w:t>Permission Denied</w:t>
            </w:r>
          </w:p>
        </w:tc>
        <w:tc>
          <w:tcPr>
            <w:tcW w:type="dxa" w:w="6912"/>
            <w:tcMar>
              <w:top w:w="90" w:type="dxa"/>
              <w:start w:w="110" w:type="dxa"/>
              <w:bottom w:w="90" w:type="dxa"/>
              <w:end w:w="110" w:type="dxa"/>
            </w:tcMar>
            <w:vAlign w:val="center"/>
          </w:tcPr>
          <w:p>
            <w:r>
              <w:rPr>
                <w:sz w:val="15"/>
              </w:rPr>
              <w:t>Do not expose restricted data; log event where appropriate.</w:t>
            </w:r>
          </w:p>
        </w:tc>
      </w:tr>
      <w:tr>
        <w:tc>
          <w:tcPr>
            <w:tcW w:type="dxa" w:w="2880"/>
            <w:shd w:fill="F7F9FB"/>
            <w:tcMar>
              <w:top w:w="90" w:type="dxa"/>
              <w:start w:w="110" w:type="dxa"/>
              <w:bottom w:w="90" w:type="dxa"/>
              <w:end w:w="110" w:type="dxa"/>
            </w:tcMar>
            <w:vAlign w:val="center"/>
          </w:tcPr>
          <w:p>
            <w:r>
              <w:rPr>
                <w:sz w:val="15"/>
              </w:rPr>
              <w:t>Institution Non-Response</w:t>
            </w:r>
          </w:p>
        </w:tc>
        <w:tc>
          <w:tcPr>
            <w:tcW w:type="dxa" w:w="6912"/>
            <w:shd w:fill="F7F9FB"/>
            <w:tcMar>
              <w:top w:w="90" w:type="dxa"/>
              <w:start w:w="110" w:type="dxa"/>
              <w:bottom w:w="90" w:type="dxa"/>
              <w:end w:w="110" w:type="dxa"/>
            </w:tcMar>
            <w:vAlign w:val="center"/>
          </w:tcPr>
          <w:p>
            <w:r>
              <w:rPr>
                <w:sz w:val="15"/>
              </w:rPr>
              <w:t>Escalate and offer customer marketplace next step under policy.</w:t>
            </w:r>
          </w:p>
        </w:tc>
      </w:tr>
    </w:tbl>
    <w:p>
      <w:pPr>
        <w:spacing w:after="20"/>
      </w:pPr>
    </w:p>
    <w:p>
      <w:pPr>
        <w:pStyle w:val="Heading1"/>
      </w:pPr>
      <w:r>
        <w:t>46. Zero-Integration Boundary</w:t>
      </w:r>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WEZA V1 shall not require core banking, CRM, LOS, transaction database, customer database or data-warehouse access.</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4608"/>
            <w:shd w:fill="0B1F3A"/>
            <w:tcMar>
              <w:top w:w="90" w:type="dxa"/>
              <w:start w:w="110" w:type="dxa"/>
              <w:bottom w:w="90" w:type="dxa"/>
              <w:end w:w="110" w:type="dxa"/>
            </w:tcMar>
          </w:tcPr>
          <w:p>
            <w:r>
              <w:rPr>
                <w:b/>
                <w:color w:val="FFFFFF"/>
                <w:sz w:val="16"/>
              </w:rPr>
              <w:t>Institution Provides</w:t>
            </w:r>
          </w:p>
        </w:tc>
        <w:tc>
          <w:tcPr>
            <w:tcW w:type="dxa" w:w="5184"/>
            <w:shd w:fill="0B1F3A"/>
            <w:tcMar>
              <w:top w:w="90" w:type="dxa"/>
              <w:start w:w="110" w:type="dxa"/>
              <w:bottom w:w="90" w:type="dxa"/>
              <w:end w:w="110" w:type="dxa"/>
            </w:tcMar>
          </w:tcPr>
          <w:p>
            <w:r>
              <w:rPr>
                <w:b/>
                <w:color w:val="FFFFFF"/>
                <w:sz w:val="16"/>
              </w:rPr>
              <w:t>WEZA Provides</w:t>
            </w:r>
          </w:p>
        </w:tc>
      </w:tr>
      <w:tr>
        <w:tc>
          <w:tcPr>
            <w:tcW w:type="dxa" w:w="4608"/>
            <w:tcMar>
              <w:top w:w="90" w:type="dxa"/>
              <w:start w:w="110" w:type="dxa"/>
              <w:bottom w:w="90" w:type="dxa"/>
              <w:end w:w="110" w:type="dxa"/>
            </w:tcMar>
            <w:vAlign w:val="center"/>
          </w:tcPr>
          <w:p>
            <w:r>
              <w:rPr>
                <w:sz w:val="15"/>
              </w:rPr>
              <w:t>Institution configuration</w:t>
            </w:r>
          </w:p>
        </w:tc>
        <w:tc>
          <w:tcPr>
            <w:tcW w:type="dxa" w:w="5184"/>
            <w:tcMar>
              <w:top w:w="90" w:type="dxa"/>
              <w:start w:w="110" w:type="dxa"/>
              <w:bottom w:w="90" w:type="dxa"/>
              <w:end w:w="110" w:type="dxa"/>
            </w:tcMar>
            <w:vAlign w:val="center"/>
          </w:tcPr>
          <w:p>
            <w:r>
              <w:rPr>
                <w:sz w:val="15"/>
              </w:rPr>
              <w:t>Customer demand</w:t>
            </w:r>
          </w:p>
        </w:tc>
      </w:tr>
      <w:tr>
        <w:tc>
          <w:tcPr>
            <w:tcW w:type="dxa" w:w="4608"/>
            <w:shd w:fill="F7F9FB"/>
            <w:tcMar>
              <w:top w:w="90" w:type="dxa"/>
              <w:start w:w="110" w:type="dxa"/>
              <w:bottom w:w="90" w:type="dxa"/>
              <w:end w:w="110" w:type="dxa"/>
            </w:tcMar>
            <w:vAlign w:val="center"/>
          </w:tcPr>
          <w:p>
            <w:r>
              <w:rPr>
                <w:sz w:val="15"/>
              </w:rPr>
              <w:t>Products and eligibility</w:t>
            </w:r>
          </w:p>
        </w:tc>
        <w:tc>
          <w:tcPr>
            <w:tcW w:type="dxa" w:w="5184"/>
            <w:shd w:fill="F7F9FB"/>
            <w:tcMar>
              <w:top w:w="90" w:type="dxa"/>
              <w:start w:w="110" w:type="dxa"/>
              <w:bottom w:w="90" w:type="dxa"/>
              <w:end w:w="110" w:type="dxa"/>
            </w:tcMar>
            <w:vAlign w:val="center"/>
          </w:tcPr>
          <w:p>
            <w:r>
              <w:rPr>
                <w:sz w:val="15"/>
              </w:rPr>
              <w:t>Marketplace verification and profile</w:t>
            </w:r>
          </w:p>
        </w:tc>
      </w:tr>
      <w:tr>
        <w:tc>
          <w:tcPr>
            <w:tcW w:type="dxa" w:w="4608"/>
            <w:tcMar>
              <w:top w:w="90" w:type="dxa"/>
              <w:start w:w="110" w:type="dxa"/>
              <w:bottom w:w="90" w:type="dxa"/>
              <w:end w:w="110" w:type="dxa"/>
            </w:tcMar>
            <w:vAlign w:val="center"/>
          </w:tcPr>
          <w:p>
            <w:r>
              <w:rPr>
                <w:sz w:val="15"/>
              </w:rPr>
              <w:t>Appetite and mandates</w:t>
            </w:r>
          </w:p>
        </w:tc>
        <w:tc>
          <w:tcPr>
            <w:tcW w:type="dxa" w:w="5184"/>
            <w:tcMar>
              <w:top w:w="90" w:type="dxa"/>
              <w:start w:w="110" w:type="dxa"/>
              <w:bottom w:w="90" w:type="dxa"/>
              <w:end w:w="110" w:type="dxa"/>
            </w:tcMar>
            <w:vAlign w:val="center"/>
          </w:tcPr>
          <w:p>
            <w:r>
              <w:rPr>
                <w:sz w:val="15"/>
              </w:rPr>
              <w:t>Consent</w:t>
            </w:r>
          </w:p>
        </w:tc>
      </w:tr>
      <w:tr>
        <w:tc>
          <w:tcPr>
            <w:tcW w:type="dxa" w:w="4608"/>
            <w:shd w:fill="F7F9FB"/>
            <w:tcMar>
              <w:top w:w="90" w:type="dxa"/>
              <w:start w:w="110" w:type="dxa"/>
              <w:bottom w:w="90" w:type="dxa"/>
              <w:end w:w="110" w:type="dxa"/>
            </w:tcMar>
            <w:vAlign w:val="center"/>
          </w:tcPr>
          <w:p>
            <w:r>
              <w:rPr>
                <w:sz w:val="15"/>
              </w:rPr>
              <w:t>Marketplace capacity</w:t>
            </w:r>
          </w:p>
        </w:tc>
        <w:tc>
          <w:tcPr>
            <w:tcW w:type="dxa" w:w="5184"/>
            <w:shd w:fill="F7F9FB"/>
            <w:tcMar>
              <w:top w:w="90" w:type="dxa"/>
              <w:start w:w="110" w:type="dxa"/>
              <w:bottom w:w="90" w:type="dxa"/>
              <w:end w:w="110" w:type="dxa"/>
            </w:tcMar>
            <w:vAlign w:val="center"/>
          </w:tcPr>
          <w:p>
            <w:r>
              <w:rPr>
                <w:sz w:val="15"/>
              </w:rPr>
              <w:t>Qualification and matching</w:t>
            </w:r>
          </w:p>
        </w:tc>
      </w:tr>
      <w:tr>
        <w:tc>
          <w:tcPr>
            <w:tcW w:type="dxa" w:w="4608"/>
            <w:tcMar>
              <w:top w:w="90" w:type="dxa"/>
              <w:start w:w="110" w:type="dxa"/>
              <w:bottom w:w="90" w:type="dxa"/>
              <w:end w:w="110" w:type="dxa"/>
            </w:tcMar>
            <w:vAlign w:val="center"/>
          </w:tcPr>
          <w:p>
            <w:r>
              <w:rPr>
                <w:sz w:val="15"/>
              </w:rPr>
              <w:t>Users/teams and routing</w:t>
            </w:r>
          </w:p>
        </w:tc>
        <w:tc>
          <w:tcPr>
            <w:tcW w:type="dxa" w:w="5184"/>
            <w:tcMar>
              <w:top w:w="90" w:type="dxa"/>
              <w:start w:w="110" w:type="dxa"/>
              <w:bottom w:w="90" w:type="dxa"/>
              <w:end w:w="110" w:type="dxa"/>
            </w:tcMar>
            <w:vAlign w:val="center"/>
          </w:tcPr>
          <w:p>
            <w:r>
              <w:rPr>
                <w:sz w:val="15"/>
              </w:rPr>
              <w:t>Qualified opportunities</w:t>
            </w:r>
          </w:p>
        </w:tc>
      </w:tr>
      <w:tr>
        <w:tc>
          <w:tcPr>
            <w:tcW w:type="dxa" w:w="4608"/>
            <w:shd w:fill="F7F9FB"/>
            <w:tcMar>
              <w:top w:w="90" w:type="dxa"/>
              <w:start w:w="110" w:type="dxa"/>
              <w:bottom w:w="90" w:type="dxa"/>
              <w:end w:w="110" w:type="dxa"/>
            </w:tcMar>
            <w:vAlign w:val="center"/>
          </w:tcPr>
          <w:p>
            <w:r>
              <w:rPr>
                <w:sz w:val="15"/>
              </w:rPr>
              <w:t>Lightweight reported outcomes</w:t>
            </w:r>
          </w:p>
        </w:tc>
        <w:tc>
          <w:tcPr>
            <w:tcW w:type="dxa" w:w="5184"/>
            <w:shd w:fill="F7F9FB"/>
            <w:tcMar>
              <w:top w:w="90" w:type="dxa"/>
              <w:start w:w="110" w:type="dxa"/>
              <w:bottom w:w="90" w:type="dxa"/>
              <w:end w:w="110" w:type="dxa"/>
            </w:tcMar>
            <w:vAlign w:val="center"/>
          </w:tcPr>
          <w:p>
            <w:r>
              <w:rPr>
                <w:sz w:val="15"/>
              </w:rPr>
              <w:t>Opportunity workflow and marketplace intelligence</w:t>
            </w:r>
          </w:p>
        </w:tc>
      </w:tr>
    </w:tbl>
    <w:p>
      <w:pPr>
        <w:spacing w:after="20"/>
      </w:pPr>
    </w:p>
    <w:p>
      <w:pPr>
        <w:pStyle w:val="Heading1"/>
      </w:pPr>
      <w:r>
        <w:t>47. Funds and Disbursement Boundary</w:t>
      </w:r>
    </w:p>
    <w:p>
      <w:r>
        <w:t>WEZA does not hold or move loan funds in V1. Institution completes its own KYC, credit assessment, approval, contracting and disbursement through approved rails. WEZA may display institution-reported approval/disbursement outcomes.</w:t>
      </w:r>
    </w:p>
    <w:p>
      <w:r>
        <w:t>Any future automated disbursement experience must still be executed by an appropriately authorised institution/provider and is outside this V1 FSD.</w:t>
      </w:r>
    </w:p>
    <w:p>
      <w:pPr>
        <w:pStyle w:val="Heading1"/>
      </w:pPr>
      <w:r>
        <w:t>48. Security, Privacy and Permissions</w:t>
      </w:r>
    </w:p>
    <w:p>
      <w:pPr>
        <w:pStyle w:val="ListBullet"/>
        <w:spacing w:after="40"/>
      </w:pPr>
      <w:r>
        <w:t>Tenant isolation between institutions.</w:t>
      </w:r>
    </w:p>
    <w:p>
      <w:pPr>
        <w:pStyle w:val="ListBullet"/>
        <w:spacing w:after="40"/>
      </w:pPr>
      <w:r>
        <w:t>Role-based access and least privilege.</w:t>
      </w:r>
    </w:p>
    <w:p>
      <w:pPr>
        <w:pStyle w:val="ListBullet"/>
        <w:spacing w:after="40"/>
      </w:pPr>
      <w:r>
        <w:t>Encryption in transit and at rest.</w:t>
      </w:r>
    </w:p>
    <w:p>
      <w:pPr>
        <w:pStyle w:val="ListBullet"/>
        <w:spacing w:after="40"/>
      </w:pPr>
      <w:r>
        <w:t>Secure document storage.</w:t>
      </w:r>
    </w:p>
    <w:p>
      <w:pPr>
        <w:pStyle w:val="ListBullet"/>
        <w:spacing w:after="40"/>
      </w:pPr>
      <w:r>
        <w:t>Strong authentication and session controls.</w:t>
      </w:r>
    </w:p>
    <w:p>
      <w:pPr>
        <w:pStyle w:val="ListBullet"/>
        <w:spacing w:after="40"/>
      </w:pPr>
      <w:r>
        <w:t>Consent-bound customer disclosure.</w:t>
      </w:r>
    </w:p>
    <w:p>
      <w:pPr>
        <w:pStyle w:val="ListBullet"/>
        <w:spacing w:after="40"/>
      </w:pPr>
      <w:r>
        <w:t>Data minimisation and configurable retention.</w:t>
      </w:r>
    </w:p>
    <w:p>
      <w:pPr>
        <w:pStyle w:val="ListBullet"/>
        <w:spacing w:after="40"/>
      </w:pPr>
      <w:r>
        <w:t>Audit logging of sensitive access/actions.</w:t>
      </w:r>
    </w:p>
    <w:p>
      <w:pPr>
        <w:pStyle w:val="ListBullet"/>
        <w:spacing w:after="40"/>
      </w:pPr>
      <w:r>
        <w:t>Model/rule versioning for explainability.</w:t>
      </w:r>
    </w:p>
    <w:p>
      <w:pPr>
        <w:pStyle w:val="ListBullet"/>
        <w:spacing w:after="40"/>
      </w:pPr>
      <w:r>
        <w:t>Operational monitoring and security alerting.</w:t>
      </w:r>
    </w:p>
    <w:p>
      <w:pPr>
        <w:pStyle w:val="Heading1"/>
      </w:pPr>
      <w:r>
        <w:t>49. Marketplace Fairness and Neutrality</w:t>
      </w:r>
    </w:p>
    <w:p>
      <w:r>
        <w:t>Match Score shall be based on defined matching criteria. Paid placement, if introduced, must be visibly distinct from suitability and must not secretly alter objective Match Score. Customer-facing recommendations should explain material ranking factors where appropriate.</w:t>
      </w:r>
    </w:p>
    <w:p>
      <w:pPr>
        <w:pStyle w:val="Heading1"/>
      </w:pPr>
      <w:r>
        <w:t>50. V1 Screen Inventory</w:t>
      </w:r>
    </w:p>
    <w:tbl>
      <w:tblPr>
        <w:tblStyle w:val="TableGrid"/>
        <w:tblW w:type="auto" w:w="0"/>
        <w:jc w:val="center"/>
        <w:tblLook w:firstColumn="1" w:firstRow="1" w:lastColumn="0" w:lastRow="0" w:noHBand="0" w:noVBand="1" w:val="04A0"/>
      </w:tblPr>
      <w:tblGrid>
        <w:gridCol w:w="5083"/>
        <w:gridCol w:w="5083"/>
      </w:tblGrid>
      <w:tr>
        <w:tc>
          <w:tcPr>
            <w:tcW w:type="dxa" w:w="2304"/>
            <w:shd w:fill="0B1F3A"/>
            <w:tcMar>
              <w:top w:w="90" w:type="dxa"/>
              <w:start w:w="110" w:type="dxa"/>
              <w:bottom w:w="90" w:type="dxa"/>
              <w:end w:w="110" w:type="dxa"/>
            </w:tcMar>
          </w:tcPr>
          <w:p>
            <w:r>
              <w:rPr>
                <w:b/>
                <w:color w:val="FFFFFF"/>
                <w:sz w:val="16"/>
              </w:rPr>
              <w:t>Experience</w:t>
            </w:r>
          </w:p>
        </w:tc>
        <w:tc>
          <w:tcPr>
            <w:tcW w:type="dxa" w:w="7488"/>
            <w:shd w:fill="0B1F3A"/>
            <w:tcMar>
              <w:top w:w="90" w:type="dxa"/>
              <w:start w:w="110" w:type="dxa"/>
              <w:bottom w:w="90" w:type="dxa"/>
              <w:end w:w="110" w:type="dxa"/>
            </w:tcMar>
          </w:tcPr>
          <w:p>
            <w:r>
              <w:rPr>
                <w:b/>
                <w:color w:val="FFFFFF"/>
                <w:sz w:val="16"/>
              </w:rPr>
              <w:t>Screens / Surfaces</w:t>
            </w:r>
          </w:p>
        </w:tc>
      </w:tr>
      <w:tr>
        <w:tc>
          <w:tcPr>
            <w:tcW w:type="dxa" w:w="2304"/>
            <w:tcMar>
              <w:top w:w="90" w:type="dxa"/>
              <w:start w:w="110" w:type="dxa"/>
              <w:bottom w:w="90" w:type="dxa"/>
              <w:end w:w="110" w:type="dxa"/>
            </w:tcMar>
            <w:vAlign w:val="center"/>
          </w:tcPr>
          <w:p>
            <w:r>
              <w:rPr>
                <w:sz w:val="15"/>
              </w:rPr>
              <w:t>Customer</w:t>
            </w:r>
          </w:p>
        </w:tc>
        <w:tc>
          <w:tcPr>
            <w:tcW w:type="dxa" w:w="7488"/>
            <w:tcMar>
              <w:top w:w="90" w:type="dxa"/>
              <w:start w:w="110" w:type="dxa"/>
              <w:bottom w:w="90" w:type="dxa"/>
              <w:end w:w="110" w:type="dxa"/>
            </w:tcMar>
            <w:vAlign w:val="center"/>
          </w:tcPr>
          <w:p>
            <w:r>
              <w:rPr>
                <w:sz w:val="15"/>
              </w:rPr>
              <w:t>Landing; Conversation; OTP; Profile; Document Upload; Match Results; Institution/Product Detail; Consent; Submission Confirmation; Status; Waiting Room.</w:t>
            </w:r>
          </w:p>
        </w:tc>
      </w:tr>
      <w:tr>
        <w:tc>
          <w:tcPr>
            <w:tcW w:type="dxa" w:w="2304"/>
            <w:shd w:fill="F7F9FB"/>
            <w:tcMar>
              <w:top w:w="90" w:type="dxa"/>
              <w:start w:w="110" w:type="dxa"/>
              <w:bottom w:w="90" w:type="dxa"/>
              <w:end w:w="110" w:type="dxa"/>
            </w:tcMar>
            <w:vAlign w:val="center"/>
          </w:tcPr>
          <w:p>
            <w:r>
              <w:rPr>
                <w:sz w:val="15"/>
              </w:rPr>
              <w:t>Institution Setup</w:t>
            </w:r>
          </w:p>
        </w:tc>
        <w:tc>
          <w:tcPr>
            <w:tcW w:type="dxa" w:w="7488"/>
            <w:shd w:fill="F7F9FB"/>
            <w:tcMar>
              <w:top w:w="90" w:type="dxa"/>
              <w:start w:w="110" w:type="dxa"/>
              <w:bottom w:w="90" w:type="dxa"/>
              <w:end w:w="110" w:type="dxa"/>
            </w:tcMar>
            <w:vAlign w:val="center"/>
          </w:tcPr>
          <w:p>
            <w:r>
              <w:rPr>
                <w:sz w:val="15"/>
              </w:rPr>
              <w:t>Join WEZA; Verification; Workspace; Users &amp; Roles; Product Studio; Product Detail; Appetite Studio; Simulator; Routing; Notifications; Activation Checklist.</w:t>
            </w:r>
          </w:p>
        </w:tc>
      </w:tr>
      <w:tr>
        <w:tc>
          <w:tcPr>
            <w:tcW w:type="dxa" w:w="2304"/>
            <w:tcMar>
              <w:top w:w="90" w:type="dxa"/>
              <w:start w:w="110" w:type="dxa"/>
              <w:bottom w:w="90" w:type="dxa"/>
              <w:end w:w="110" w:type="dxa"/>
            </w:tcMar>
            <w:vAlign w:val="center"/>
          </w:tcPr>
          <w:p>
            <w:r>
              <w:rPr>
                <w:sz w:val="15"/>
              </w:rPr>
              <w:t>Institution Operations</w:t>
            </w:r>
          </w:p>
        </w:tc>
        <w:tc>
          <w:tcPr>
            <w:tcW w:type="dxa" w:w="7488"/>
            <w:tcMar>
              <w:top w:w="90" w:type="dxa"/>
              <w:start w:w="110" w:type="dxa"/>
              <w:bottom w:w="90" w:type="dxa"/>
              <w:end w:w="110" w:type="dxa"/>
            </w:tcMar>
            <w:vAlign w:val="center"/>
          </w:tcPr>
          <w:p>
            <w:r>
              <w:rPr>
                <w:sz w:val="15"/>
              </w:rPr>
              <w:t>Command Centre; Opportunity Feed; Preview/Interest; Opportunity Detail; My Day; Team Manager; Opportunity Radius; Demand Intelligence; Product Opportunity; Conversational WEZA; Outcomes/Reports.</w:t>
            </w:r>
          </w:p>
        </w:tc>
      </w:tr>
      <w:tr>
        <w:tc>
          <w:tcPr>
            <w:tcW w:type="dxa" w:w="2304"/>
            <w:shd w:fill="F7F9FB"/>
            <w:tcMar>
              <w:top w:w="90" w:type="dxa"/>
              <w:start w:w="110" w:type="dxa"/>
              <w:bottom w:w="90" w:type="dxa"/>
              <w:end w:w="110" w:type="dxa"/>
            </w:tcMar>
            <w:vAlign w:val="center"/>
          </w:tcPr>
          <w:p>
            <w:r>
              <w:rPr>
                <w:sz w:val="15"/>
              </w:rPr>
              <w:t>WEZA Admin</w:t>
            </w:r>
          </w:p>
        </w:tc>
        <w:tc>
          <w:tcPr>
            <w:tcW w:type="dxa" w:w="7488"/>
            <w:shd w:fill="F7F9FB"/>
            <w:tcMar>
              <w:top w:w="90" w:type="dxa"/>
              <w:start w:w="110" w:type="dxa"/>
              <w:bottom w:w="90" w:type="dxa"/>
              <w:end w:w="110" w:type="dxa"/>
            </w:tcMar>
            <w:vAlign w:val="center"/>
          </w:tcPr>
          <w:p>
            <w:r>
              <w:rPr>
                <w:sz w:val="15"/>
              </w:rPr>
              <w:t>Network Control Centre; Institution Verification; Institution Management; Customer Support; Opportunity Monitoring; Consent/Audit; Commercial/Disputes; Integrity; Configuration.</w:t>
            </w:r>
          </w:p>
        </w:tc>
      </w:tr>
    </w:tbl>
    <w:p>
      <w:pPr>
        <w:spacing w:after="20"/>
      </w:pPr>
    </w:p>
    <w:p>
      <w:pPr>
        <w:pStyle w:val="Heading1"/>
      </w:pPr>
      <w:r>
        <w:t>51. V1 Functional Requirements Register</w:t>
      </w:r>
    </w:p>
    <w:tbl>
      <w:tblPr>
        <w:tblStyle w:val="TableGrid"/>
        <w:tblW w:type="auto" w:w="0"/>
        <w:jc w:val="center"/>
        <w:tblLook w:firstColumn="1" w:firstRow="1" w:lastColumn="0" w:lastRow="0" w:noHBand="0" w:noVBand="1" w:val="04A0"/>
      </w:tblPr>
      <w:tblGrid>
        <w:gridCol w:w="5083"/>
        <w:gridCol w:w="5083"/>
      </w:tblGrid>
      <w:tr>
        <w:tc>
          <w:tcPr>
            <w:tcW w:type="dxa" w:w="1152"/>
            <w:shd w:fill="0B1F3A"/>
            <w:tcMar>
              <w:top w:w="90" w:type="dxa"/>
              <w:start w:w="110" w:type="dxa"/>
              <w:bottom w:w="90" w:type="dxa"/>
              <w:end w:w="110" w:type="dxa"/>
            </w:tcMar>
          </w:tcPr>
          <w:p>
            <w:r>
              <w:rPr>
                <w:b/>
                <w:color w:val="FFFFFF"/>
                <w:sz w:val="16"/>
              </w:rPr>
              <w:t>ID</w:t>
            </w:r>
          </w:p>
        </w:tc>
        <w:tc>
          <w:tcPr>
            <w:tcW w:type="dxa" w:w="8640"/>
            <w:shd w:fill="0B1F3A"/>
            <w:tcMar>
              <w:top w:w="90" w:type="dxa"/>
              <w:start w:w="110" w:type="dxa"/>
              <w:bottom w:w="90" w:type="dxa"/>
              <w:end w:w="110" w:type="dxa"/>
            </w:tcMar>
          </w:tcPr>
          <w:p>
            <w:r>
              <w:rPr>
                <w:b/>
                <w:color w:val="FFFFFF"/>
                <w:sz w:val="16"/>
              </w:rPr>
              <w:t>Requirement</w:t>
            </w:r>
          </w:p>
        </w:tc>
      </w:tr>
      <w:tr>
        <w:tc>
          <w:tcPr>
            <w:tcW w:type="dxa" w:w="1152"/>
            <w:tcMar>
              <w:top w:w="90" w:type="dxa"/>
              <w:start w:w="110" w:type="dxa"/>
              <w:bottom w:w="90" w:type="dxa"/>
              <w:end w:w="110" w:type="dxa"/>
            </w:tcMar>
            <w:vAlign w:val="center"/>
          </w:tcPr>
          <w:p>
            <w:r>
              <w:rPr>
                <w:sz w:val="15"/>
              </w:rPr>
              <w:t>FR-001</w:t>
            </w:r>
          </w:p>
        </w:tc>
        <w:tc>
          <w:tcPr>
            <w:tcW w:type="dxa" w:w="8640"/>
            <w:tcMar>
              <w:top w:w="90" w:type="dxa"/>
              <w:start w:w="110" w:type="dxa"/>
              <w:bottom w:w="90" w:type="dxa"/>
              <w:end w:w="110" w:type="dxa"/>
            </w:tcMar>
            <w:vAlign w:val="center"/>
          </w:tcPr>
          <w:p>
            <w:r>
              <w:rPr>
                <w:sz w:val="15"/>
              </w:rPr>
              <w:t>Start customer journey through WhatsApp/web with source attribution.</w:t>
            </w:r>
          </w:p>
        </w:tc>
      </w:tr>
      <w:tr>
        <w:tc>
          <w:tcPr>
            <w:tcW w:type="dxa" w:w="1152"/>
            <w:shd w:fill="F7F9FB"/>
            <w:tcMar>
              <w:top w:w="90" w:type="dxa"/>
              <w:start w:w="110" w:type="dxa"/>
              <w:bottom w:w="90" w:type="dxa"/>
              <w:end w:w="110" w:type="dxa"/>
            </w:tcMar>
            <w:vAlign w:val="center"/>
          </w:tcPr>
          <w:p>
            <w:r>
              <w:rPr>
                <w:sz w:val="15"/>
              </w:rPr>
              <w:t>FR-002</w:t>
            </w:r>
          </w:p>
        </w:tc>
        <w:tc>
          <w:tcPr>
            <w:tcW w:type="dxa" w:w="8640"/>
            <w:shd w:fill="F7F9FB"/>
            <w:tcMar>
              <w:top w:w="90" w:type="dxa"/>
              <w:start w:w="110" w:type="dxa"/>
              <w:bottom w:w="90" w:type="dxa"/>
              <w:end w:w="110" w:type="dxa"/>
            </w:tcMar>
            <w:vAlign w:val="center"/>
          </w:tcPr>
          <w:p>
            <w:r>
              <w:rPr>
                <w:sz w:val="15"/>
              </w:rPr>
              <w:t>Extract and confirm natural-language financial intent.</w:t>
            </w:r>
          </w:p>
        </w:tc>
      </w:tr>
      <w:tr>
        <w:tc>
          <w:tcPr>
            <w:tcW w:type="dxa" w:w="1152"/>
            <w:tcMar>
              <w:top w:w="90" w:type="dxa"/>
              <w:start w:w="110" w:type="dxa"/>
              <w:bottom w:w="90" w:type="dxa"/>
              <w:end w:w="110" w:type="dxa"/>
            </w:tcMar>
            <w:vAlign w:val="center"/>
          </w:tcPr>
          <w:p>
            <w:r>
              <w:rPr>
                <w:sz w:val="15"/>
              </w:rPr>
              <w:t>FR-003</w:t>
            </w:r>
          </w:p>
        </w:tc>
        <w:tc>
          <w:tcPr>
            <w:tcW w:type="dxa" w:w="8640"/>
            <w:tcMar>
              <w:top w:w="90" w:type="dxa"/>
              <w:start w:w="110" w:type="dxa"/>
              <w:bottom w:w="90" w:type="dxa"/>
              <w:end w:w="110" w:type="dxa"/>
            </w:tcMar>
            <w:vAlign w:val="center"/>
          </w:tcPr>
          <w:p>
            <w:r>
              <w:rPr>
                <w:sz w:val="15"/>
              </w:rPr>
              <w:t>Support dynamic customer-specific questioning.</w:t>
            </w:r>
          </w:p>
        </w:tc>
      </w:tr>
      <w:tr>
        <w:tc>
          <w:tcPr>
            <w:tcW w:type="dxa" w:w="1152"/>
            <w:shd w:fill="F7F9FB"/>
            <w:tcMar>
              <w:top w:w="90" w:type="dxa"/>
              <w:start w:w="110" w:type="dxa"/>
              <w:bottom w:w="90" w:type="dxa"/>
              <w:end w:w="110" w:type="dxa"/>
            </w:tcMar>
            <w:vAlign w:val="center"/>
          </w:tcPr>
          <w:p>
            <w:r>
              <w:rPr>
                <w:sz w:val="15"/>
              </w:rPr>
              <w:t>FR-004</w:t>
            </w:r>
          </w:p>
        </w:tc>
        <w:tc>
          <w:tcPr>
            <w:tcW w:type="dxa" w:w="8640"/>
            <w:shd w:fill="F7F9FB"/>
            <w:tcMar>
              <w:top w:w="90" w:type="dxa"/>
              <w:start w:w="110" w:type="dxa"/>
              <w:bottom w:w="90" w:type="dxa"/>
              <w:end w:w="110" w:type="dxa"/>
            </w:tcMar>
            <w:vAlign w:val="center"/>
          </w:tcPr>
          <w:p>
            <w:r>
              <w:rPr>
                <w:sz w:val="15"/>
              </w:rPr>
              <w:t>Verify phone using OTP with retry/rate-limit controls.</w:t>
            </w:r>
          </w:p>
        </w:tc>
      </w:tr>
      <w:tr>
        <w:tc>
          <w:tcPr>
            <w:tcW w:type="dxa" w:w="1152"/>
            <w:tcMar>
              <w:top w:w="90" w:type="dxa"/>
              <w:start w:w="110" w:type="dxa"/>
              <w:bottom w:w="90" w:type="dxa"/>
              <w:end w:w="110" w:type="dxa"/>
            </w:tcMar>
            <w:vAlign w:val="center"/>
          </w:tcPr>
          <w:p>
            <w:r>
              <w:rPr>
                <w:sz w:val="15"/>
              </w:rPr>
              <w:t>FR-005</w:t>
            </w:r>
          </w:p>
        </w:tc>
        <w:tc>
          <w:tcPr>
            <w:tcW w:type="dxa" w:w="8640"/>
            <w:tcMar>
              <w:top w:w="90" w:type="dxa"/>
              <w:start w:w="110" w:type="dxa"/>
              <w:bottom w:w="90" w:type="dxa"/>
              <w:end w:w="110" w:type="dxa"/>
            </w:tcMar>
            <w:vAlign w:val="center"/>
          </w:tcPr>
          <w:p>
            <w:r>
              <w:rPr>
                <w:sz w:val="15"/>
              </w:rPr>
              <w:t>Capture configurable identity/profile/documents.</w:t>
            </w:r>
          </w:p>
        </w:tc>
      </w:tr>
      <w:tr>
        <w:tc>
          <w:tcPr>
            <w:tcW w:type="dxa" w:w="1152"/>
            <w:shd w:fill="F7F9FB"/>
            <w:tcMar>
              <w:top w:w="90" w:type="dxa"/>
              <w:start w:w="110" w:type="dxa"/>
              <w:bottom w:w="90" w:type="dxa"/>
              <w:end w:w="110" w:type="dxa"/>
            </w:tcMar>
            <w:vAlign w:val="center"/>
          </w:tcPr>
          <w:p>
            <w:r>
              <w:rPr>
                <w:sz w:val="15"/>
              </w:rPr>
              <w:t>FR-006</w:t>
            </w:r>
          </w:p>
        </w:tc>
        <w:tc>
          <w:tcPr>
            <w:tcW w:type="dxa" w:w="8640"/>
            <w:shd w:fill="F7F9FB"/>
            <w:tcMar>
              <w:top w:w="90" w:type="dxa"/>
              <w:start w:w="110" w:type="dxa"/>
              <w:bottom w:w="90" w:type="dxa"/>
              <w:end w:w="110" w:type="dxa"/>
            </w:tcMar>
            <w:vAlign w:val="center"/>
          </w:tcPr>
          <w:p>
            <w:r>
              <w:rPr>
                <w:sz w:val="15"/>
              </w:rPr>
              <w:t>Calculate readiness and Quality Score with explainability.</w:t>
            </w:r>
          </w:p>
        </w:tc>
      </w:tr>
      <w:tr>
        <w:tc>
          <w:tcPr>
            <w:tcW w:type="dxa" w:w="1152"/>
            <w:tcMar>
              <w:top w:w="90" w:type="dxa"/>
              <w:start w:w="110" w:type="dxa"/>
              <w:bottom w:w="90" w:type="dxa"/>
              <w:end w:w="110" w:type="dxa"/>
            </w:tcMar>
            <w:vAlign w:val="center"/>
          </w:tcPr>
          <w:p>
            <w:r>
              <w:rPr>
                <w:sz w:val="15"/>
              </w:rPr>
              <w:t>FR-007</w:t>
            </w:r>
          </w:p>
        </w:tc>
        <w:tc>
          <w:tcPr>
            <w:tcW w:type="dxa" w:w="8640"/>
            <w:tcMar>
              <w:top w:w="90" w:type="dxa"/>
              <w:start w:w="110" w:type="dxa"/>
              <w:bottom w:w="90" w:type="dxa"/>
              <w:end w:w="110" w:type="dxa"/>
            </w:tcMar>
            <w:vAlign w:val="center"/>
          </w:tcPr>
          <w:p>
            <w:r>
              <w:rPr>
                <w:sz w:val="15"/>
              </w:rPr>
              <w:t>Match against active institution products, appetite and capacity.</w:t>
            </w:r>
          </w:p>
        </w:tc>
      </w:tr>
      <w:tr>
        <w:tc>
          <w:tcPr>
            <w:tcW w:type="dxa" w:w="1152"/>
            <w:shd w:fill="F7F9FB"/>
            <w:tcMar>
              <w:top w:w="90" w:type="dxa"/>
              <w:start w:w="110" w:type="dxa"/>
              <w:bottom w:w="90" w:type="dxa"/>
              <w:end w:w="110" w:type="dxa"/>
            </w:tcMar>
            <w:vAlign w:val="center"/>
          </w:tcPr>
          <w:p>
            <w:r>
              <w:rPr>
                <w:sz w:val="15"/>
              </w:rPr>
              <w:t>FR-008</w:t>
            </w:r>
          </w:p>
        </w:tc>
        <w:tc>
          <w:tcPr>
            <w:tcW w:type="dxa" w:w="8640"/>
            <w:shd w:fill="F7F9FB"/>
            <w:tcMar>
              <w:top w:w="90" w:type="dxa"/>
              <w:start w:w="110" w:type="dxa"/>
              <w:bottom w:w="90" w:type="dxa"/>
              <w:end w:w="110" w:type="dxa"/>
            </w:tcMar>
            <w:vAlign w:val="center"/>
          </w:tcPr>
          <w:p>
            <w:r>
              <w:rPr>
                <w:sz w:val="15"/>
              </w:rPr>
              <w:t>Calculate institution-specific Match Score and reasons.</w:t>
            </w:r>
          </w:p>
        </w:tc>
      </w:tr>
      <w:tr>
        <w:tc>
          <w:tcPr>
            <w:tcW w:type="dxa" w:w="1152"/>
            <w:tcMar>
              <w:top w:w="90" w:type="dxa"/>
              <w:start w:w="110" w:type="dxa"/>
              <w:bottom w:w="90" w:type="dxa"/>
              <w:end w:w="110" w:type="dxa"/>
            </w:tcMar>
            <w:vAlign w:val="center"/>
          </w:tcPr>
          <w:p>
            <w:r>
              <w:rPr>
                <w:sz w:val="15"/>
              </w:rPr>
              <w:t>FR-009</w:t>
            </w:r>
          </w:p>
        </w:tc>
        <w:tc>
          <w:tcPr>
            <w:tcW w:type="dxa" w:w="8640"/>
            <w:tcMar>
              <w:top w:w="90" w:type="dxa"/>
              <w:start w:w="110" w:type="dxa"/>
              <w:bottom w:w="90" w:type="dxa"/>
              <w:end w:w="110" w:type="dxa"/>
            </w:tcMar>
            <w:vAlign w:val="center"/>
          </w:tcPr>
          <w:p>
            <w:r>
              <w:rPr>
                <w:sz w:val="15"/>
              </w:rPr>
              <w:t>Present suitable customer options and preference-aware ranking.</w:t>
            </w:r>
          </w:p>
        </w:tc>
      </w:tr>
      <w:tr>
        <w:tc>
          <w:tcPr>
            <w:tcW w:type="dxa" w:w="1152"/>
            <w:shd w:fill="F7F9FB"/>
            <w:tcMar>
              <w:top w:w="90" w:type="dxa"/>
              <w:start w:w="110" w:type="dxa"/>
              <w:bottom w:w="90" w:type="dxa"/>
              <w:end w:w="110" w:type="dxa"/>
            </w:tcMar>
            <w:vAlign w:val="center"/>
          </w:tcPr>
          <w:p>
            <w:r>
              <w:rPr>
                <w:sz w:val="15"/>
              </w:rPr>
              <w:t>FR-010</w:t>
            </w:r>
          </w:p>
        </w:tc>
        <w:tc>
          <w:tcPr>
            <w:tcW w:type="dxa" w:w="8640"/>
            <w:shd w:fill="F7F9FB"/>
            <w:tcMar>
              <w:top w:w="90" w:type="dxa"/>
              <w:start w:w="110" w:type="dxa"/>
              <w:bottom w:w="90" w:type="dxa"/>
              <w:end w:w="110" w:type="dxa"/>
            </w:tcMar>
            <w:vAlign w:val="center"/>
          </w:tcPr>
          <w:p>
            <w:r>
              <w:rPr>
                <w:sz w:val="15"/>
              </w:rPr>
              <w:t>Capture institution-specific, versioned customer consent.</w:t>
            </w:r>
          </w:p>
        </w:tc>
      </w:tr>
      <w:tr>
        <w:tc>
          <w:tcPr>
            <w:tcW w:type="dxa" w:w="1152"/>
            <w:tcMar>
              <w:top w:w="90" w:type="dxa"/>
              <w:start w:w="110" w:type="dxa"/>
              <w:bottom w:w="90" w:type="dxa"/>
              <w:end w:w="110" w:type="dxa"/>
            </w:tcMar>
            <w:vAlign w:val="center"/>
          </w:tcPr>
          <w:p>
            <w:r>
              <w:rPr>
                <w:sz w:val="15"/>
              </w:rPr>
              <w:t>FR-011</w:t>
            </w:r>
          </w:p>
        </w:tc>
        <w:tc>
          <w:tcPr>
            <w:tcW w:type="dxa" w:w="8640"/>
            <w:tcMar>
              <w:top w:w="90" w:type="dxa"/>
              <w:start w:w="110" w:type="dxa"/>
              <w:bottom w:w="90" w:type="dxa"/>
              <w:end w:w="110" w:type="dxa"/>
            </w:tcMar>
            <w:vAlign w:val="center"/>
          </w:tcPr>
          <w:p>
            <w:r>
              <w:rPr>
                <w:sz w:val="15"/>
              </w:rPr>
              <w:t>Create versioned Qualified Opportunity snapshot.</w:t>
            </w:r>
          </w:p>
        </w:tc>
      </w:tr>
      <w:tr>
        <w:tc>
          <w:tcPr>
            <w:tcW w:type="dxa" w:w="1152"/>
            <w:shd w:fill="F7F9FB"/>
            <w:tcMar>
              <w:top w:w="90" w:type="dxa"/>
              <w:start w:w="110" w:type="dxa"/>
              <w:bottom w:w="90" w:type="dxa"/>
              <w:end w:w="110" w:type="dxa"/>
            </w:tcMar>
            <w:vAlign w:val="center"/>
          </w:tcPr>
          <w:p>
            <w:r>
              <w:rPr>
                <w:sz w:val="15"/>
              </w:rPr>
              <w:t>FR-012</w:t>
            </w:r>
          </w:p>
        </w:tc>
        <w:tc>
          <w:tcPr>
            <w:tcW w:type="dxa" w:w="8640"/>
            <w:shd w:fill="F7F9FB"/>
            <w:tcMar>
              <w:top w:w="90" w:type="dxa"/>
              <w:start w:w="110" w:type="dxa"/>
              <w:bottom w:w="90" w:type="dxa"/>
              <w:end w:w="110" w:type="dxa"/>
            </w:tcMar>
            <w:vAlign w:val="center"/>
          </w:tcPr>
          <w:p>
            <w:r>
              <w:rPr>
                <w:sz w:val="15"/>
              </w:rPr>
              <w:t>Route opportunity only after required consent and duplicate checks.</w:t>
            </w:r>
          </w:p>
        </w:tc>
      </w:tr>
      <w:tr>
        <w:tc>
          <w:tcPr>
            <w:tcW w:type="dxa" w:w="1152"/>
            <w:tcMar>
              <w:top w:w="90" w:type="dxa"/>
              <w:start w:w="110" w:type="dxa"/>
              <w:bottom w:w="90" w:type="dxa"/>
              <w:end w:w="110" w:type="dxa"/>
            </w:tcMar>
            <w:vAlign w:val="center"/>
          </w:tcPr>
          <w:p>
            <w:r>
              <w:rPr>
                <w:sz w:val="15"/>
              </w:rPr>
              <w:t>FR-013</w:t>
            </w:r>
          </w:p>
        </w:tc>
        <w:tc>
          <w:tcPr>
            <w:tcW w:type="dxa" w:w="8640"/>
            <w:tcMar>
              <w:top w:w="90" w:type="dxa"/>
              <w:start w:w="110" w:type="dxa"/>
              <w:bottom w:w="90" w:type="dxa"/>
              <w:end w:w="110" w:type="dxa"/>
            </w:tcMar>
            <w:vAlign w:val="center"/>
          </w:tcPr>
          <w:p>
            <w:r>
              <w:rPr>
                <w:sz w:val="15"/>
              </w:rPr>
              <w:t>Support institution registration and WEZA verification.</w:t>
            </w:r>
          </w:p>
        </w:tc>
      </w:tr>
      <w:tr>
        <w:tc>
          <w:tcPr>
            <w:tcW w:type="dxa" w:w="1152"/>
            <w:shd w:fill="F7F9FB"/>
            <w:tcMar>
              <w:top w:w="90" w:type="dxa"/>
              <w:start w:w="110" w:type="dxa"/>
              <w:bottom w:w="90" w:type="dxa"/>
              <w:end w:w="110" w:type="dxa"/>
            </w:tcMar>
            <w:vAlign w:val="center"/>
          </w:tcPr>
          <w:p>
            <w:r>
              <w:rPr>
                <w:sz w:val="15"/>
              </w:rPr>
              <w:t>FR-014</w:t>
            </w:r>
          </w:p>
        </w:tc>
        <w:tc>
          <w:tcPr>
            <w:tcW w:type="dxa" w:w="8640"/>
            <w:shd w:fill="F7F9FB"/>
            <w:tcMar>
              <w:top w:w="90" w:type="dxa"/>
              <w:start w:w="110" w:type="dxa"/>
              <w:bottom w:w="90" w:type="dxa"/>
              <w:end w:w="110" w:type="dxa"/>
            </w:tcMar>
            <w:vAlign w:val="center"/>
          </w:tcPr>
          <w:p>
            <w:r>
              <w:rPr>
                <w:sz w:val="15"/>
              </w:rPr>
              <w:t>Provision tenant-isolated institutional workspace and RBAC.</w:t>
            </w:r>
          </w:p>
        </w:tc>
      </w:tr>
      <w:tr>
        <w:tc>
          <w:tcPr>
            <w:tcW w:type="dxa" w:w="1152"/>
            <w:tcMar>
              <w:top w:w="90" w:type="dxa"/>
              <w:start w:w="110" w:type="dxa"/>
              <w:bottom w:w="90" w:type="dxa"/>
              <w:end w:w="110" w:type="dxa"/>
            </w:tcMar>
            <w:vAlign w:val="center"/>
          </w:tcPr>
          <w:p>
            <w:r>
              <w:rPr>
                <w:sz w:val="15"/>
              </w:rPr>
              <w:t>FR-015</w:t>
            </w:r>
          </w:p>
        </w:tc>
        <w:tc>
          <w:tcPr>
            <w:tcW w:type="dxa" w:w="8640"/>
            <w:tcMar>
              <w:top w:w="90" w:type="dxa"/>
              <w:start w:w="110" w:type="dxa"/>
              <w:bottom w:w="90" w:type="dxa"/>
              <w:end w:w="110" w:type="dxa"/>
            </w:tcMar>
            <w:vAlign w:val="center"/>
          </w:tcPr>
          <w:p>
            <w:r>
              <w:rPr>
                <w:sz w:val="15"/>
              </w:rPr>
              <w:t>Support AI-assisted product extraction with human approval.</w:t>
            </w:r>
          </w:p>
        </w:tc>
      </w:tr>
      <w:tr>
        <w:tc>
          <w:tcPr>
            <w:tcW w:type="dxa" w:w="1152"/>
            <w:shd w:fill="F7F9FB"/>
            <w:tcMar>
              <w:top w:w="90" w:type="dxa"/>
              <w:start w:w="110" w:type="dxa"/>
              <w:bottom w:w="90" w:type="dxa"/>
              <w:end w:w="110" w:type="dxa"/>
            </w:tcMar>
            <w:vAlign w:val="center"/>
          </w:tcPr>
          <w:p>
            <w:r>
              <w:rPr>
                <w:sz w:val="15"/>
              </w:rPr>
              <w:t>FR-016</w:t>
            </w:r>
          </w:p>
        </w:tc>
        <w:tc>
          <w:tcPr>
            <w:tcW w:type="dxa" w:w="8640"/>
            <w:shd w:fill="F7F9FB"/>
            <w:tcMar>
              <w:top w:w="90" w:type="dxa"/>
              <w:start w:w="110" w:type="dxa"/>
              <w:bottom w:w="90" w:type="dxa"/>
              <w:end w:w="110" w:type="dxa"/>
            </w:tcMar>
            <w:vAlign w:val="center"/>
          </w:tcPr>
          <w:p>
            <w:r>
              <w:rPr>
                <w:sz w:val="15"/>
              </w:rPr>
              <w:t>Support Product Studio and product state lifecycle.</w:t>
            </w:r>
          </w:p>
        </w:tc>
      </w:tr>
      <w:tr>
        <w:tc>
          <w:tcPr>
            <w:tcW w:type="dxa" w:w="1152"/>
            <w:tcMar>
              <w:top w:w="90" w:type="dxa"/>
              <w:start w:w="110" w:type="dxa"/>
              <w:bottom w:w="90" w:type="dxa"/>
              <w:end w:w="110" w:type="dxa"/>
            </w:tcMar>
            <w:vAlign w:val="center"/>
          </w:tcPr>
          <w:p>
            <w:r>
              <w:rPr>
                <w:sz w:val="15"/>
              </w:rPr>
              <w:t>FR-017</w:t>
            </w:r>
          </w:p>
        </w:tc>
        <w:tc>
          <w:tcPr>
            <w:tcW w:type="dxa" w:w="8640"/>
            <w:tcMar>
              <w:top w:w="90" w:type="dxa"/>
              <w:start w:w="110" w:type="dxa"/>
              <w:bottom w:w="90" w:type="dxa"/>
              <w:end w:w="110" w:type="dxa"/>
            </w:tcMar>
            <w:vAlign w:val="center"/>
          </w:tcPr>
          <w:p>
            <w:r>
              <w:rPr>
                <w:sz w:val="15"/>
              </w:rPr>
              <w:t>Support Appetite Studio, mandates and capacity states.</w:t>
            </w:r>
          </w:p>
        </w:tc>
      </w:tr>
      <w:tr>
        <w:tc>
          <w:tcPr>
            <w:tcW w:type="dxa" w:w="1152"/>
            <w:shd w:fill="F7F9FB"/>
            <w:tcMar>
              <w:top w:w="90" w:type="dxa"/>
              <w:start w:w="110" w:type="dxa"/>
              <w:bottom w:w="90" w:type="dxa"/>
              <w:end w:w="110" w:type="dxa"/>
            </w:tcMar>
            <w:vAlign w:val="center"/>
          </w:tcPr>
          <w:p>
            <w:r>
              <w:rPr>
                <w:sz w:val="15"/>
              </w:rPr>
              <w:t>FR-018</w:t>
            </w:r>
          </w:p>
        </w:tc>
        <w:tc>
          <w:tcPr>
            <w:tcW w:type="dxa" w:w="8640"/>
            <w:shd w:fill="F7F9FB"/>
            <w:tcMar>
              <w:top w:w="90" w:type="dxa"/>
              <w:start w:w="110" w:type="dxa"/>
              <w:bottom w:w="90" w:type="dxa"/>
              <w:end w:w="110" w:type="dxa"/>
            </w:tcMar>
            <w:vAlign w:val="center"/>
          </w:tcPr>
          <w:p>
            <w:r>
              <w:rPr>
                <w:sz w:val="15"/>
              </w:rPr>
              <w:t>Simulate appetite against anonymised WEZA demand.</w:t>
            </w:r>
          </w:p>
        </w:tc>
      </w:tr>
      <w:tr>
        <w:tc>
          <w:tcPr>
            <w:tcW w:type="dxa" w:w="1152"/>
            <w:tcMar>
              <w:top w:w="90" w:type="dxa"/>
              <w:start w:w="110" w:type="dxa"/>
              <w:bottom w:w="90" w:type="dxa"/>
              <w:end w:w="110" w:type="dxa"/>
            </w:tcMar>
            <w:vAlign w:val="center"/>
          </w:tcPr>
          <w:p>
            <w:r>
              <w:rPr>
                <w:sz w:val="15"/>
              </w:rPr>
              <w:t>FR-019</w:t>
            </w:r>
          </w:p>
        </w:tc>
        <w:tc>
          <w:tcPr>
            <w:tcW w:type="dxa" w:w="8640"/>
            <w:tcMar>
              <w:top w:w="90" w:type="dxa"/>
              <w:start w:w="110" w:type="dxa"/>
              <w:bottom w:w="90" w:type="dxa"/>
              <w:end w:w="110" w:type="dxa"/>
            </w:tcMar>
            <w:vAlign w:val="center"/>
          </w:tcPr>
          <w:p>
            <w:r>
              <w:rPr>
                <w:sz w:val="15"/>
              </w:rPr>
              <w:t>Support activation checklist and go-live.</w:t>
            </w:r>
          </w:p>
        </w:tc>
      </w:tr>
      <w:tr>
        <w:tc>
          <w:tcPr>
            <w:tcW w:type="dxa" w:w="1152"/>
            <w:shd w:fill="F7F9FB"/>
            <w:tcMar>
              <w:top w:w="90" w:type="dxa"/>
              <w:start w:w="110" w:type="dxa"/>
              <w:bottom w:w="90" w:type="dxa"/>
              <w:end w:w="110" w:type="dxa"/>
            </w:tcMar>
            <w:vAlign w:val="center"/>
          </w:tcPr>
          <w:p>
            <w:r>
              <w:rPr>
                <w:sz w:val="15"/>
              </w:rPr>
              <w:t>FR-020</w:t>
            </w:r>
          </w:p>
        </w:tc>
        <w:tc>
          <w:tcPr>
            <w:tcW w:type="dxa" w:w="8640"/>
            <w:shd w:fill="F7F9FB"/>
            <w:tcMar>
              <w:top w:w="90" w:type="dxa"/>
              <w:start w:w="110" w:type="dxa"/>
              <w:bottom w:w="90" w:type="dxa"/>
              <w:end w:w="110" w:type="dxa"/>
            </w:tcMar>
            <w:vAlign w:val="center"/>
          </w:tcPr>
          <w:p>
            <w:r>
              <w:rPr>
                <w:sz w:val="15"/>
              </w:rPr>
              <w:t>Provide role-personalised Command Centre.</w:t>
            </w:r>
          </w:p>
        </w:tc>
      </w:tr>
      <w:tr>
        <w:tc>
          <w:tcPr>
            <w:tcW w:type="dxa" w:w="1152"/>
            <w:tcMar>
              <w:top w:w="90" w:type="dxa"/>
              <w:start w:w="110" w:type="dxa"/>
              <w:bottom w:w="90" w:type="dxa"/>
              <w:end w:w="110" w:type="dxa"/>
            </w:tcMar>
            <w:vAlign w:val="center"/>
          </w:tcPr>
          <w:p>
            <w:r>
              <w:rPr>
                <w:sz w:val="15"/>
              </w:rPr>
              <w:t>FR-021</w:t>
            </w:r>
          </w:p>
        </w:tc>
        <w:tc>
          <w:tcPr>
            <w:tcW w:type="dxa" w:w="8640"/>
            <w:tcMar>
              <w:top w:w="90" w:type="dxa"/>
              <w:start w:w="110" w:type="dxa"/>
              <w:bottom w:w="90" w:type="dxa"/>
              <w:end w:w="110" w:type="dxa"/>
            </w:tcMar>
            <w:vAlign w:val="center"/>
          </w:tcPr>
          <w:p>
            <w:r>
              <w:rPr>
                <w:sz w:val="15"/>
              </w:rPr>
              <w:t>Provide intelligent Opportunity Feed and explainable ranking.</w:t>
            </w:r>
          </w:p>
        </w:tc>
      </w:tr>
      <w:tr>
        <w:tc>
          <w:tcPr>
            <w:tcW w:type="dxa" w:w="1152"/>
            <w:shd w:fill="F7F9FB"/>
            <w:tcMar>
              <w:top w:w="90" w:type="dxa"/>
              <w:start w:w="110" w:type="dxa"/>
              <w:bottom w:w="90" w:type="dxa"/>
              <w:end w:w="110" w:type="dxa"/>
            </w:tcMar>
            <w:vAlign w:val="center"/>
          </w:tcPr>
          <w:p>
            <w:r>
              <w:rPr>
                <w:sz w:val="15"/>
              </w:rPr>
              <w:t>FR-022</w:t>
            </w:r>
          </w:p>
        </w:tc>
        <w:tc>
          <w:tcPr>
            <w:tcW w:type="dxa" w:w="8640"/>
            <w:shd w:fill="F7F9FB"/>
            <w:tcMar>
              <w:top w:w="90" w:type="dxa"/>
              <w:start w:w="110" w:type="dxa"/>
              <w:bottom w:w="90" w:type="dxa"/>
              <w:end w:w="110" w:type="dxa"/>
            </w:tcMar>
            <w:vAlign w:val="center"/>
          </w:tcPr>
          <w:p>
            <w:r>
              <w:rPr>
                <w:sz w:val="15"/>
              </w:rPr>
              <w:t>Support anonymised Opportunity Preview and optional interest states.</w:t>
            </w:r>
          </w:p>
        </w:tc>
      </w:tr>
      <w:tr>
        <w:tc>
          <w:tcPr>
            <w:tcW w:type="dxa" w:w="1152"/>
            <w:tcMar>
              <w:top w:w="90" w:type="dxa"/>
              <w:start w:w="110" w:type="dxa"/>
              <w:bottom w:w="90" w:type="dxa"/>
              <w:end w:w="110" w:type="dxa"/>
            </w:tcMar>
            <w:vAlign w:val="center"/>
          </w:tcPr>
          <w:p>
            <w:r>
              <w:rPr>
                <w:sz w:val="15"/>
              </w:rPr>
              <w:t>FR-023</w:t>
            </w:r>
          </w:p>
        </w:tc>
        <w:tc>
          <w:tcPr>
            <w:tcW w:type="dxa" w:w="8640"/>
            <w:tcMar>
              <w:top w:w="90" w:type="dxa"/>
              <w:start w:w="110" w:type="dxa"/>
              <w:bottom w:w="90" w:type="dxa"/>
              <w:end w:w="110" w:type="dxa"/>
            </w:tcMar>
            <w:vAlign w:val="center"/>
          </w:tcPr>
          <w:p>
            <w:r>
              <w:rPr>
                <w:sz w:val="15"/>
              </w:rPr>
              <w:t>Support automatic/manual assignment and unassigned queue.</w:t>
            </w:r>
          </w:p>
        </w:tc>
      </w:tr>
      <w:tr>
        <w:tc>
          <w:tcPr>
            <w:tcW w:type="dxa" w:w="1152"/>
            <w:shd w:fill="F7F9FB"/>
            <w:tcMar>
              <w:top w:w="90" w:type="dxa"/>
              <w:start w:w="110" w:type="dxa"/>
              <w:bottom w:w="90" w:type="dxa"/>
              <w:end w:w="110" w:type="dxa"/>
            </w:tcMar>
            <w:vAlign w:val="center"/>
          </w:tcPr>
          <w:p>
            <w:r>
              <w:rPr>
                <w:sz w:val="15"/>
              </w:rPr>
              <w:t>FR-024</w:t>
            </w:r>
          </w:p>
        </w:tc>
        <w:tc>
          <w:tcPr>
            <w:tcW w:type="dxa" w:w="8640"/>
            <w:shd w:fill="F7F9FB"/>
            <w:tcMar>
              <w:top w:w="90" w:type="dxa"/>
              <w:start w:w="110" w:type="dxa"/>
              <w:bottom w:w="90" w:type="dxa"/>
              <w:end w:w="110" w:type="dxa"/>
            </w:tcMar>
            <w:vAlign w:val="center"/>
          </w:tcPr>
          <w:p>
            <w:r>
              <w:rPr>
                <w:sz w:val="15"/>
              </w:rPr>
              <w:t>Track acceptance/contact targets and escalation.</w:t>
            </w:r>
          </w:p>
        </w:tc>
      </w:tr>
      <w:tr>
        <w:tc>
          <w:tcPr>
            <w:tcW w:type="dxa" w:w="1152"/>
            <w:tcMar>
              <w:top w:w="90" w:type="dxa"/>
              <w:start w:w="110" w:type="dxa"/>
              <w:bottom w:w="90" w:type="dxa"/>
              <w:end w:w="110" w:type="dxa"/>
            </w:tcMar>
            <w:vAlign w:val="center"/>
          </w:tcPr>
          <w:p>
            <w:r>
              <w:rPr>
                <w:sz w:val="15"/>
              </w:rPr>
              <w:t>FR-025</w:t>
            </w:r>
          </w:p>
        </w:tc>
        <w:tc>
          <w:tcPr>
            <w:tcW w:type="dxa" w:w="8640"/>
            <w:tcMar>
              <w:top w:w="90" w:type="dxa"/>
              <w:start w:w="110" w:type="dxa"/>
              <w:bottom w:w="90" w:type="dxa"/>
              <w:end w:w="110" w:type="dxa"/>
            </w:tcMar>
            <w:vAlign w:val="center"/>
          </w:tcPr>
          <w:p>
            <w:r>
              <w:rPr>
                <w:sz w:val="15"/>
              </w:rPr>
              <w:t>Capture lightweight institution-reported marketplace outcomes.</w:t>
            </w:r>
          </w:p>
        </w:tc>
      </w:tr>
      <w:tr>
        <w:tc>
          <w:tcPr>
            <w:tcW w:type="dxa" w:w="1152"/>
            <w:shd w:fill="F7F9FB"/>
            <w:tcMar>
              <w:top w:w="90" w:type="dxa"/>
              <w:start w:w="110" w:type="dxa"/>
              <w:bottom w:w="90" w:type="dxa"/>
              <w:end w:w="110" w:type="dxa"/>
            </w:tcMar>
            <w:vAlign w:val="center"/>
          </w:tcPr>
          <w:p>
            <w:r>
              <w:rPr>
                <w:sz w:val="15"/>
              </w:rPr>
              <w:t>FR-026</w:t>
            </w:r>
          </w:p>
        </w:tc>
        <w:tc>
          <w:tcPr>
            <w:tcW w:type="dxa" w:w="8640"/>
            <w:shd w:fill="F7F9FB"/>
            <w:tcMar>
              <w:top w:w="90" w:type="dxa"/>
              <w:start w:w="110" w:type="dxa"/>
              <w:bottom w:w="90" w:type="dxa"/>
              <w:end w:w="110" w:type="dxa"/>
            </w:tcMar>
            <w:vAlign w:val="center"/>
          </w:tcPr>
          <w:p>
            <w:r>
              <w:rPr>
                <w:sz w:val="15"/>
              </w:rPr>
              <w:t>Provide no-lead, near-match and Opportunity Radius intelligence.</w:t>
            </w:r>
          </w:p>
        </w:tc>
      </w:tr>
      <w:tr>
        <w:tc>
          <w:tcPr>
            <w:tcW w:type="dxa" w:w="1152"/>
            <w:tcMar>
              <w:top w:w="90" w:type="dxa"/>
              <w:start w:w="110" w:type="dxa"/>
              <w:bottom w:w="90" w:type="dxa"/>
              <w:end w:w="110" w:type="dxa"/>
            </w:tcMar>
            <w:vAlign w:val="center"/>
          </w:tcPr>
          <w:p>
            <w:r>
              <w:rPr>
                <w:sz w:val="15"/>
              </w:rPr>
              <w:t>FR-027</w:t>
            </w:r>
          </w:p>
        </w:tc>
        <w:tc>
          <w:tcPr>
            <w:tcW w:type="dxa" w:w="8640"/>
            <w:tcMar>
              <w:top w:w="90" w:type="dxa"/>
              <w:start w:w="110" w:type="dxa"/>
              <w:bottom w:w="90" w:type="dxa"/>
              <w:end w:w="110" w:type="dxa"/>
            </w:tcMar>
            <w:vAlign w:val="center"/>
          </w:tcPr>
          <w:p>
            <w:r>
              <w:rPr>
                <w:sz w:val="15"/>
              </w:rPr>
              <w:t>Support Customer and Institution Waiting Rooms.</w:t>
            </w:r>
          </w:p>
        </w:tc>
      </w:tr>
      <w:tr>
        <w:tc>
          <w:tcPr>
            <w:tcW w:type="dxa" w:w="1152"/>
            <w:shd w:fill="F7F9FB"/>
            <w:tcMar>
              <w:top w:w="90" w:type="dxa"/>
              <w:start w:w="110" w:type="dxa"/>
              <w:bottom w:w="90" w:type="dxa"/>
              <w:end w:w="110" w:type="dxa"/>
            </w:tcMar>
            <w:vAlign w:val="center"/>
          </w:tcPr>
          <w:p>
            <w:r>
              <w:rPr>
                <w:sz w:val="15"/>
              </w:rPr>
              <w:t>FR-028</w:t>
            </w:r>
          </w:p>
        </w:tc>
        <w:tc>
          <w:tcPr>
            <w:tcW w:type="dxa" w:w="8640"/>
            <w:shd w:fill="F7F9FB"/>
            <w:tcMar>
              <w:top w:w="90" w:type="dxa"/>
              <w:start w:w="110" w:type="dxa"/>
              <w:bottom w:w="90" w:type="dxa"/>
              <w:end w:w="110" w:type="dxa"/>
            </w:tcMar>
            <w:vAlign w:val="center"/>
          </w:tcPr>
          <w:p>
            <w:r>
              <w:rPr>
                <w:sz w:val="15"/>
              </w:rPr>
              <w:t>Provide WEZA marketplace demand analytics without bank database access.</w:t>
            </w:r>
          </w:p>
        </w:tc>
      </w:tr>
      <w:tr>
        <w:tc>
          <w:tcPr>
            <w:tcW w:type="dxa" w:w="1152"/>
            <w:tcMar>
              <w:top w:w="90" w:type="dxa"/>
              <w:start w:w="110" w:type="dxa"/>
              <w:bottom w:w="90" w:type="dxa"/>
              <w:end w:w="110" w:type="dxa"/>
            </w:tcMar>
            <w:vAlign w:val="center"/>
          </w:tcPr>
          <w:p>
            <w:r>
              <w:rPr>
                <w:sz w:val="15"/>
              </w:rPr>
              <w:t>FR-029</w:t>
            </w:r>
          </w:p>
        </w:tc>
        <w:tc>
          <w:tcPr>
            <w:tcW w:type="dxa" w:w="8640"/>
            <w:tcMar>
              <w:top w:w="90" w:type="dxa"/>
              <w:start w:w="110" w:type="dxa"/>
              <w:bottom w:w="90" w:type="dxa"/>
              <w:end w:w="110" w:type="dxa"/>
            </w:tcMar>
            <w:vAlign w:val="center"/>
          </w:tcPr>
          <w:p>
            <w:r>
              <w:rPr>
                <w:sz w:val="15"/>
              </w:rPr>
              <w:t>Support conversational institutional querying under RBAC.</w:t>
            </w:r>
          </w:p>
        </w:tc>
      </w:tr>
      <w:tr>
        <w:tc>
          <w:tcPr>
            <w:tcW w:type="dxa" w:w="1152"/>
            <w:shd w:fill="F7F9FB"/>
            <w:tcMar>
              <w:top w:w="90" w:type="dxa"/>
              <w:start w:w="110" w:type="dxa"/>
              <w:bottom w:w="90" w:type="dxa"/>
              <w:end w:w="110" w:type="dxa"/>
            </w:tcMar>
            <w:vAlign w:val="center"/>
          </w:tcPr>
          <w:p>
            <w:r>
              <w:rPr>
                <w:sz w:val="15"/>
              </w:rPr>
              <w:t>FR-030</w:t>
            </w:r>
          </w:p>
        </w:tc>
        <w:tc>
          <w:tcPr>
            <w:tcW w:type="dxa" w:w="8640"/>
            <w:shd w:fill="F7F9FB"/>
            <w:tcMar>
              <w:top w:w="90" w:type="dxa"/>
              <w:start w:w="110" w:type="dxa"/>
              <w:bottom w:w="90" w:type="dxa"/>
              <w:end w:w="110" w:type="dxa"/>
            </w:tcMar>
            <w:vAlign w:val="center"/>
          </w:tcPr>
          <w:p>
            <w:r>
              <w:rPr>
                <w:sz w:val="15"/>
              </w:rPr>
              <w:t>Provide role-aware notification engine and digests.</w:t>
            </w:r>
          </w:p>
        </w:tc>
      </w:tr>
      <w:tr>
        <w:tc>
          <w:tcPr>
            <w:tcW w:type="dxa" w:w="1152"/>
            <w:tcMar>
              <w:top w:w="90" w:type="dxa"/>
              <w:start w:w="110" w:type="dxa"/>
              <w:bottom w:w="90" w:type="dxa"/>
              <w:end w:w="110" w:type="dxa"/>
            </w:tcMar>
            <w:vAlign w:val="center"/>
          </w:tcPr>
          <w:p>
            <w:r>
              <w:rPr>
                <w:sz w:val="15"/>
              </w:rPr>
              <w:t>FR-031</w:t>
            </w:r>
          </w:p>
        </w:tc>
        <w:tc>
          <w:tcPr>
            <w:tcW w:type="dxa" w:w="8640"/>
            <w:tcMar>
              <w:top w:w="90" w:type="dxa"/>
              <w:start w:w="110" w:type="dxa"/>
              <w:bottom w:w="90" w:type="dxa"/>
              <w:end w:w="110" w:type="dxa"/>
            </w:tcMar>
            <w:vAlign w:val="center"/>
          </w:tcPr>
          <w:p>
            <w:r>
              <w:rPr>
                <w:sz w:val="15"/>
              </w:rPr>
              <w:t>Detect appetite/outcome mismatch and recommend review.</w:t>
            </w:r>
          </w:p>
        </w:tc>
      </w:tr>
      <w:tr>
        <w:tc>
          <w:tcPr>
            <w:tcW w:type="dxa" w:w="1152"/>
            <w:shd w:fill="F7F9FB"/>
            <w:tcMar>
              <w:top w:w="90" w:type="dxa"/>
              <w:start w:w="110" w:type="dxa"/>
              <w:bottom w:w="90" w:type="dxa"/>
              <w:end w:w="110" w:type="dxa"/>
            </w:tcMar>
            <w:vAlign w:val="center"/>
          </w:tcPr>
          <w:p>
            <w:r>
              <w:rPr>
                <w:sz w:val="15"/>
              </w:rPr>
              <w:t>FR-032</w:t>
            </w:r>
          </w:p>
        </w:tc>
        <w:tc>
          <w:tcPr>
            <w:tcW w:type="dxa" w:w="8640"/>
            <w:shd w:fill="F7F9FB"/>
            <w:tcMar>
              <w:top w:w="90" w:type="dxa"/>
              <w:start w:w="110" w:type="dxa"/>
              <w:bottom w:w="90" w:type="dxa"/>
              <w:end w:w="110" w:type="dxa"/>
            </w:tcMar>
            <w:vAlign w:val="center"/>
          </w:tcPr>
          <w:p>
            <w:r>
              <w:rPr>
                <w:sz w:val="15"/>
              </w:rPr>
              <w:t>Support opportunity rescue with renewed consent where required.</w:t>
            </w:r>
          </w:p>
        </w:tc>
      </w:tr>
      <w:tr>
        <w:tc>
          <w:tcPr>
            <w:tcW w:type="dxa" w:w="1152"/>
            <w:tcMar>
              <w:top w:w="90" w:type="dxa"/>
              <w:start w:w="110" w:type="dxa"/>
              <w:bottom w:w="90" w:type="dxa"/>
              <w:end w:w="110" w:type="dxa"/>
            </w:tcMar>
            <w:vAlign w:val="center"/>
          </w:tcPr>
          <w:p>
            <w:r>
              <w:rPr>
                <w:sz w:val="15"/>
              </w:rPr>
              <w:t>FR-033</w:t>
            </w:r>
          </w:p>
        </w:tc>
        <w:tc>
          <w:tcPr>
            <w:tcW w:type="dxa" w:w="8640"/>
            <w:tcMar>
              <w:top w:w="90" w:type="dxa"/>
              <w:start w:w="110" w:type="dxa"/>
              <w:bottom w:w="90" w:type="dxa"/>
              <w:end w:w="110" w:type="dxa"/>
            </w:tcMar>
            <w:vAlign w:val="center"/>
          </w:tcPr>
          <w:p>
            <w:r>
              <w:rPr>
                <w:sz w:val="15"/>
              </w:rPr>
              <w:t>Manage freshness, stale and expired opportunities.</w:t>
            </w:r>
          </w:p>
        </w:tc>
      </w:tr>
      <w:tr>
        <w:tc>
          <w:tcPr>
            <w:tcW w:type="dxa" w:w="1152"/>
            <w:shd w:fill="F7F9FB"/>
            <w:tcMar>
              <w:top w:w="90" w:type="dxa"/>
              <w:start w:w="110" w:type="dxa"/>
              <w:bottom w:w="90" w:type="dxa"/>
              <w:end w:w="110" w:type="dxa"/>
            </w:tcMar>
            <w:vAlign w:val="center"/>
          </w:tcPr>
          <w:p>
            <w:r>
              <w:rPr>
                <w:sz w:val="15"/>
              </w:rPr>
              <w:t>FR-034</w:t>
            </w:r>
          </w:p>
        </w:tc>
        <w:tc>
          <w:tcPr>
            <w:tcW w:type="dxa" w:w="8640"/>
            <w:shd w:fill="F7F9FB"/>
            <w:tcMar>
              <w:top w:w="90" w:type="dxa"/>
              <w:start w:w="110" w:type="dxa"/>
              <w:bottom w:w="90" w:type="dxa"/>
              <w:end w:w="110" w:type="dxa"/>
            </w:tcMar>
            <w:vAlign w:val="center"/>
          </w:tcPr>
          <w:p>
            <w:r>
              <w:rPr>
                <w:sz w:val="15"/>
              </w:rPr>
              <w:t>Detect duplicate/suspicious marketplace submissions.</w:t>
            </w:r>
          </w:p>
        </w:tc>
      </w:tr>
      <w:tr>
        <w:tc>
          <w:tcPr>
            <w:tcW w:type="dxa" w:w="1152"/>
            <w:tcMar>
              <w:top w:w="90" w:type="dxa"/>
              <w:start w:w="110" w:type="dxa"/>
              <w:bottom w:w="90" w:type="dxa"/>
              <w:end w:w="110" w:type="dxa"/>
            </w:tcMar>
            <w:vAlign w:val="center"/>
          </w:tcPr>
          <w:p>
            <w:r>
              <w:rPr>
                <w:sz w:val="15"/>
              </w:rPr>
              <w:t>FR-035</w:t>
            </w:r>
          </w:p>
        </w:tc>
        <w:tc>
          <w:tcPr>
            <w:tcW w:type="dxa" w:w="8640"/>
            <w:tcMar>
              <w:top w:w="90" w:type="dxa"/>
              <w:start w:w="110" w:type="dxa"/>
              <w:bottom w:w="90" w:type="dxa"/>
              <w:end w:w="110" w:type="dxa"/>
            </w:tcMar>
            <w:vAlign w:val="center"/>
          </w:tcPr>
          <w:p>
            <w:r>
              <w:rPr>
                <w:sz w:val="15"/>
              </w:rPr>
              <w:t>Persist commercial attribution and Qualified Opportunity billing events.</w:t>
            </w:r>
          </w:p>
        </w:tc>
      </w:tr>
      <w:tr>
        <w:tc>
          <w:tcPr>
            <w:tcW w:type="dxa" w:w="1152"/>
            <w:shd w:fill="F7F9FB"/>
            <w:tcMar>
              <w:top w:w="90" w:type="dxa"/>
              <w:start w:w="110" w:type="dxa"/>
              <w:bottom w:w="90" w:type="dxa"/>
              <w:end w:w="110" w:type="dxa"/>
            </w:tcMar>
            <w:vAlign w:val="center"/>
          </w:tcPr>
          <w:p>
            <w:r>
              <w:rPr>
                <w:sz w:val="15"/>
              </w:rPr>
              <w:t>FR-036</w:t>
            </w:r>
          </w:p>
        </w:tc>
        <w:tc>
          <w:tcPr>
            <w:tcW w:type="dxa" w:w="8640"/>
            <w:shd w:fill="F7F9FB"/>
            <w:tcMar>
              <w:top w:w="90" w:type="dxa"/>
              <w:start w:w="110" w:type="dxa"/>
              <w:bottom w:w="90" w:type="dxa"/>
              <w:end w:w="110" w:type="dxa"/>
            </w:tcMar>
            <w:vAlign w:val="center"/>
          </w:tcPr>
          <w:p>
            <w:r>
              <w:rPr>
                <w:sz w:val="15"/>
              </w:rPr>
              <w:t>Support opportunity billing disputes and decisions.</w:t>
            </w:r>
          </w:p>
        </w:tc>
      </w:tr>
      <w:tr>
        <w:tc>
          <w:tcPr>
            <w:tcW w:type="dxa" w:w="1152"/>
            <w:tcMar>
              <w:top w:w="90" w:type="dxa"/>
              <w:start w:w="110" w:type="dxa"/>
              <w:bottom w:w="90" w:type="dxa"/>
              <w:end w:w="110" w:type="dxa"/>
            </w:tcMar>
            <w:vAlign w:val="center"/>
          </w:tcPr>
          <w:p>
            <w:r>
              <w:rPr>
                <w:sz w:val="15"/>
              </w:rPr>
              <w:t>FR-037</w:t>
            </w:r>
          </w:p>
        </w:tc>
        <w:tc>
          <w:tcPr>
            <w:tcW w:type="dxa" w:w="8640"/>
            <w:tcMar>
              <w:top w:w="90" w:type="dxa"/>
              <w:start w:w="110" w:type="dxa"/>
              <w:bottom w:w="90" w:type="dxa"/>
              <w:end w:w="110" w:type="dxa"/>
            </w:tcMar>
            <w:vAlign w:val="center"/>
          </w:tcPr>
          <w:p>
            <w:r>
              <w:rPr>
                <w:sz w:val="15"/>
              </w:rPr>
              <w:t>Provide WEZA Network Control Centre.</w:t>
            </w:r>
          </w:p>
        </w:tc>
      </w:tr>
      <w:tr>
        <w:tc>
          <w:tcPr>
            <w:tcW w:type="dxa" w:w="1152"/>
            <w:shd w:fill="F7F9FB"/>
            <w:tcMar>
              <w:top w:w="90" w:type="dxa"/>
              <w:start w:w="110" w:type="dxa"/>
              <w:bottom w:w="90" w:type="dxa"/>
              <w:end w:w="110" w:type="dxa"/>
            </w:tcMar>
            <w:vAlign w:val="center"/>
          </w:tcPr>
          <w:p>
            <w:r>
              <w:rPr>
                <w:sz w:val="15"/>
              </w:rPr>
              <w:t>FR-038</w:t>
            </w:r>
          </w:p>
        </w:tc>
        <w:tc>
          <w:tcPr>
            <w:tcW w:type="dxa" w:w="8640"/>
            <w:shd w:fill="F7F9FB"/>
            <w:tcMar>
              <w:top w:w="90" w:type="dxa"/>
              <w:start w:w="110" w:type="dxa"/>
              <w:bottom w:w="90" w:type="dxa"/>
              <w:end w:w="110" w:type="dxa"/>
            </w:tcMar>
            <w:vAlign w:val="center"/>
          </w:tcPr>
          <w:p>
            <w:r>
              <w:rPr>
                <w:sz w:val="15"/>
              </w:rPr>
              <w:t>Maintain audit trail for sensitive/configuration/commercial events.</w:t>
            </w:r>
          </w:p>
        </w:tc>
      </w:tr>
      <w:tr>
        <w:tc>
          <w:tcPr>
            <w:tcW w:type="dxa" w:w="1152"/>
            <w:tcMar>
              <w:top w:w="90" w:type="dxa"/>
              <w:start w:w="110" w:type="dxa"/>
              <w:bottom w:w="90" w:type="dxa"/>
              <w:end w:w="110" w:type="dxa"/>
            </w:tcMar>
            <w:vAlign w:val="center"/>
          </w:tcPr>
          <w:p>
            <w:r>
              <w:rPr>
                <w:sz w:val="15"/>
              </w:rPr>
              <w:t>FR-039</w:t>
            </w:r>
          </w:p>
        </w:tc>
        <w:tc>
          <w:tcPr>
            <w:tcW w:type="dxa" w:w="8640"/>
            <w:tcMar>
              <w:top w:w="90" w:type="dxa"/>
              <w:start w:w="110" w:type="dxa"/>
              <w:bottom w:w="90" w:type="dxa"/>
              <w:end w:w="110" w:type="dxa"/>
            </w:tcMar>
            <w:vAlign w:val="center"/>
          </w:tcPr>
          <w:p>
            <w:r>
              <w:rPr>
                <w:sz w:val="15"/>
              </w:rPr>
              <w:t>Enforce zero-integration and funds-flow boundaries.</w:t>
            </w:r>
          </w:p>
        </w:tc>
      </w:tr>
      <w:tr>
        <w:tc>
          <w:tcPr>
            <w:tcW w:type="dxa" w:w="1152"/>
            <w:shd w:fill="F7F9FB"/>
            <w:tcMar>
              <w:top w:w="90" w:type="dxa"/>
              <w:start w:w="110" w:type="dxa"/>
              <w:bottom w:w="90" w:type="dxa"/>
              <w:end w:w="110" w:type="dxa"/>
            </w:tcMar>
            <w:vAlign w:val="center"/>
          </w:tcPr>
          <w:p>
            <w:r>
              <w:rPr>
                <w:sz w:val="15"/>
              </w:rPr>
              <w:t>FR-040</w:t>
            </w:r>
          </w:p>
        </w:tc>
        <w:tc>
          <w:tcPr>
            <w:tcW w:type="dxa" w:w="8640"/>
            <w:shd w:fill="F7F9FB"/>
            <w:tcMar>
              <w:top w:w="90" w:type="dxa"/>
              <w:start w:w="110" w:type="dxa"/>
              <w:bottom w:w="90" w:type="dxa"/>
              <w:end w:w="110" w:type="dxa"/>
            </w:tcMar>
            <w:vAlign w:val="center"/>
          </w:tcPr>
          <w:p>
            <w:r>
              <w:rPr>
                <w:sz w:val="15"/>
              </w:rPr>
              <w:t>Support institution/product/mandate suspension and network health controls.</w:t>
            </w:r>
          </w:p>
        </w:tc>
      </w:tr>
    </w:tbl>
    <w:p>
      <w:pPr>
        <w:spacing w:after="20"/>
      </w:pPr>
    </w:p>
    <w:p>
      <w:pPr>
        <w:pStyle w:val="Heading1"/>
      </w:pPr>
      <w:r>
        <w:t>52.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2160"/>
            <w:shd w:fill="0B1F3A"/>
            <w:tcMar>
              <w:top w:w="90" w:type="dxa"/>
              <w:start w:w="110" w:type="dxa"/>
              <w:bottom w:w="90" w:type="dxa"/>
              <w:end w:w="110" w:type="dxa"/>
            </w:tcMar>
          </w:tcPr>
          <w:p>
            <w:r>
              <w:rPr>
                <w:b/>
                <w:color w:val="FFFFFF"/>
                <w:sz w:val="16"/>
              </w:rPr>
              <w:t>Area</w:t>
            </w:r>
          </w:p>
        </w:tc>
        <w:tc>
          <w:tcPr>
            <w:tcW w:type="dxa" w:w="7632"/>
            <w:shd w:fill="0B1F3A"/>
            <w:tcMar>
              <w:top w:w="90" w:type="dxa"/>
              <w:start w:w="110" w:type="dxa"/>
              <w:bottom w:w="90" w:type="dxa"/>
              <w:end w:w="110" w:type="dxa"/>
            </w:tcMar>
          </w:tcPr>
          <w:p>
            <w:r>
              <w:rPr>
                <w:b/>
                <w:color w:val="FFFFFF"/>
                <w:sz w:val="16"/>
              </w:rPr>
              <w:t>Requirement</w:t>
            </w:r>
          </w:p>
        </w:tc>
      </w:tr>
      <w:tr>
        <w:tc>
          <w:tcPr>
            <w:tcW w:type="dxa" w:w="2160"/>
            <w:tcMar>
              <w:top w:w="90" w:type="dxa"/>
              <w:start w:w="110" w:type="dxa"/>
              <w:bottom w:w="90" w:type="dxa"/>
              <w:end w:w="110" w:type="dxa"/>
            </w:tcMar>
            <w:vAlign w:val="center"/>
          </w:tcPr>
          <w:p>
            <w:r>
              <w:rPr>
                <w:sz w:val="15"/>
              </w:rPr>
              <w:t>Security</w:t>
            </w:r>
          </w:p>
        </w:tc>
        <w:tc>
          <w:tcPr>
            <w:tcW w:type="dxa" w:w="7632"/>
            <w:tcMar>
              <w:top w:w="90" w:type="dxa"/>
              <w:start w:w="110" w:type="dxa"/>
              <w:bottom w:w="90" w:type="dxa"/>
              <w:end w:w="110" w:type="dxa"/>
            </w:tcMar>
            <w:vAlign w:val="center"/>
          </w:tcPr>
          <w:p>
            <w:r>
              <w:rPr>
                <w:sz w:val="15"/>
              </w:rPr>
              <w:t>Strong authentication, encryption, RBAC, secure storage, tenant isolation and auditability.</w:t>
            </w:r>
          </w:p>
        </w:tc>
      </w:tr>
      <w:tr>
        <w:tc>
          <w:tcPr>
            <w:tcW w:type="dxa" w:w="2160"/>
            <w:shd w:fill="F7F9FB"/>
            <w:tcMar>
              <w:top w:w="90" w:type="dxa"/>
              <w:start w:w="110" w:type="dxa"/>
              <w:bottom w:w="90" w:type="dxa"/>
              <w:end w:w="110" w:type="dxa"/>
            </w:tcMar>
            <w:vAlign w:val="center"/>
          </w:tcPr>
          <w:p>
            <w:r>
              <w:rPr>
                <w:sz w:val="15"/>
              </w:rPr>
              <w:t>Privacy</w:t>
            </w:r>
          </w:p>
        </w:tc>
        <w:tc>
          <w:tcPr>
            <w:tcW w:type="dxa" w:w="7632"/>
            <w:shd w:fill="F7F9FB"/>
            <w:tcMar>
              <w:top w:w="90" w:type="dxa"/>
              <w:start w:w="110" w:type="dxa"/>
              <w:bottom w:w="90" w:type="dxa"/>
              <w:end w:w="110" w:type="dxa"/>
            </w:tcMar>
            <w:vAlign w:val="center"/>
          </w:tcPr>
          <w:p>
            <w:r>
              <w:rPr>
                <w:sz w:val="15"/>
              </w:rPr>
              <w:t>Data minimisation, purpose limitation, explicit consent, controlled disclosure, retention/deletion rules.</w:t>
            </w:r>
          </w:p>
        </w:tc>
      </w:tr>
      <w:tr>
        <w:tc>
          <w:tcPr>
            <w:tcW w:type="dxa" w:w="2160"/>
            <w:tcMar>
              <w:top w:w="90" w:type="dxa"/>
              <w:start w:w="110" w:type="dxa"/>
              <w:bottom w:w="90" w:type="dxa"/>
              <w:end w:w="110" w:type="dxa"/>
            </w:tcMar>
            <w:vAlign w:val="center"/>
          </w:tcPr>
          <w:p>
            <w:r>
              <w:rPr>
                <w:sz w:val="15"/>
              </w:rPr>
              <w:t>Availability</w:t>
            </w:r>
          </w:p>
        </w:tc>
        <w:tc>
          <w:tcPr>
            <w:tcW w:type="dxa" w:w="7632"/>
            <w:tcMar>
              <w:top w:w="90" w:type="dxa"/>
              <w:start w:w="110" w:type="dxa"/>
              <w:bottom w:w="90" w:type="dxa"/>
              <w:end w:w="110" w:type="dxa"/>
            </w:tcMar>
            <w:vAlign w:val="center"/>
          </w:tcPr>
          <w:p>
            <w:r>
              <w:rPr>
                <w:sz w:val="15"/>
              </w:rPr>
              <w:t>High availability for customer-facing and institutional marketplace functions.</w:t>
            </w:r>
          </w:p>
        </w:tc>
      </w:tr>
      <w:tr>
        <w:tc>
          <w:tcPr>
            <w:tcW w:type="dxa" w:w="2160"/>
            <w:shd w:fill="F7F9FB"/>
            <w:tcMar>
              <w:top w:w="90" w:type="dxa"/>
              <w:start w:w="110" w:type="dxa"/>
              <w:bottom w:w="90" w:type="dxa"/>
              <w:end w:w="110" w:type="dxa"/>
            </w:tcMar>
            <w:vAlign w:val="center"/>
          </w:tcPr>
          <w:p>
            <w:r>
              <w:rPr>
                <w:sz w:val="15"/>
              </w:rPr>
              <w:t>Performance</w:t>
            </w:r>
          </w:p>
        </w:tc>
        <w:tc>
          <w:tcPr>
            <w:tcW w:type="dxa" w:w="7632"/>
            <w:shd w:fill="F7F9FB"/>
            <w:tcMar>
              <w:top w:w="90" w:type="dxa"/>
              <w:start w:w="110" w:type="dxa"/>
              <w:bottom w:w="90" w:type="dxa"/>
              <w:end w:w="110" w:type="dxa"/>
            </w:tcMar>
            <w:vAlign w:val="center"/>
          </w:tcPr>
          <w:p>
            <w:r>
              <w:rPr>
                <w:sz w:val="15"/>
              </w:rPr>
              <w:t>Responsive conversation and matching suitable for real-time journeys.</w:t>
            </w:r>
          </w:p>
        </w:tc>
      </w:tr>
      <w:tr>
        <w:tc>
          <w:tcPr>
            <w:tcW w:type="dxa" w:w="2160"/>
            <w:tcMar>
              <w:top w:w="90" w:type="dxa"/>
              <w:start w:w="110" w:type="dxa"/>
              <w:bottom w:w="90" w:type="dxa"/>
              <w:end w:w="110" w:type="dxa"/>
            </w:tcMar>
            <w:vAlign w:val="center"/>
          </w:tcPr>
          <w:p>
            <w:r>
              <w:rPr>
                <w:sz w:val="15"/>
              </w:rPr>
              <w:t>Scalability</w:t>
            </w:r>
          </w:p>
        </w:tc>
        <w:tc>
          <w:tcPr>
            <w:tcW w:type="dxa" w:w="7632"/>
            <w:tcMar>
              <w:top w:w="90" w:type="dxa"/>
              <w:start w:w="110" w:type="dxa"/>
              <w:bottom w:w="90" w:type="dxa"/>
              <w:end w:w="110" w:type="dxa"/>
            </w:tcMar>
            <w:vAlign w:val="center"/>
          </w:tcPr>
          <w:p>
            <w:r>
              <w:rPr>
                <w:sz w:val="15"/>
              </w:rPr>
              <w:t>Support growth across customers, institutions, products, countries and future financial categories.</w:t>
            </w:r>
          </w:p>
        </w:tc>
      </w:tr>
      <w:tr>
        <w:tc>
          <w:tcPr>
            <w:tcW w:type="dxa" w:w="2160"/>
            <w:shd w:fill="F7F9FB"/>
            <w:tcMar>
              <w:top w:w="90" w:type="dxa"/>
              <w:start w:w="110" w:type="dxa"/>
              <w:bottom w:w="90" w:type="dxa"/>
              <w:end w:w="110" w:type="dxa"/>
            </w:tcMar>
            <w:vAlign w:val="center"/>
          </w:tcPr>
          <w:p>
            <w:r>
              <w:rPr>
                <w:sz w:val="15"/>
              </w:rPr>
              <w:t>Explainability</w:t>
            </w:r>
          </w:p>
        </w:tc>
        <w:tc>
          <w:tcPr>
            <w:tcW w:type="dxa" w:w="7632"/>
            <w:shd w:fill="F7F9FB"/>
            <w:tcMar>
              <w:top w:w="90" w:type="dxa"/>
              <w:start w:w="110" w:type="dxa"/>
              <w:bottom w:w="90" w:type="dxa"/>
              <w:end w:w="110" w:type="dxa"/>
            </w:tcMar>
            <w:vAlign w:val="center"/>
          </w:tcPr>
          <w:p>
            <w:r>
              <w:rPr>
                <w:sz w:val="15"/>
              </w:rPr>
              <w:t>Material AI matching, ranking and recommendations must expose understandable reasons.</w:t>
            </w:r>
          </w:p>
        </w:tc>
      </w:tr>
      <w:tr>
        <w:tc>
          <w:tcPr>
            <w:tcW w:type="dxa" w:w="2160"/>
            <w:tcMar>
              <w:top w:w="90" w:type="dxa"/>
              <w:start w:w="110" w:type="dxa"/>
              <w:bottom w:w="90" w:type="dxa"/>
              <w:end w:w="110" w:type="dxa"/>
            </w:tcMar>
            <w:vAlign w:val="center"/>
          </w:tcPr>
          <w:p>
            <w:r>
              <w:rPr>
                <w:sz w:val="15"/>
              </w:rPr>
              <w:t>Observability</w:t>
            </w:r>
          </w:p>
        </w:tc>
        <w:tc>
          <w:tcPr>
            <w:tcW w:type="dxa" w:w="7632"/>
            <w:tcMar>
              <w:top w:w="90" w:type="dxa"/>
              <w:start w:w="110" w:type="dxa"/>
              <w:bottom w:w="90" w:type="dxa"/>
              <w:end w:w="110" w:type="dxa"/>
            </w:tcMar>
            <w:vAlign w:val="center"/>
          </w:tcPr>
          <w:p>
            <w:r>
              <w:rPr>
                <w:sz w:val="15"/>
              </w:rPr>
              <w:t>Metrics, traces/logging, notification failures and operational alerting.</w:t>
            </w:r>
          </w:p>
        </w:tc>
      </w:tr>
      <w:tr>
        <w:tc>
          <w:tcPr>
            <w:tcW w:type="dxa" w:w="2160"/>
            <w:shd w:fill="F7F9FB"/>
            <w:tcMar>
              <w:top w:w="90" w:type="dxa"/>
              <w:start w:w="110" w:type="dxa"/>
              <w:bottom w:w="90" w:type="dxa"/>
              <w:end w:w="110" w:type="dxa"/>
            </w:tcMar>
            <w:vAlign w:val="center"/>
          </w:tcPr>
          <w:p>
            <w:r>
              <w:rPr>
                <w:sz w:val="15"/>
              </w:rPr>
              <w:t>Accessibility</w:t>
            </w:r>
          </w:p>
        </w:tc>
        <w:tc>
          <w:tcPr>
            <w:tcW w:type="dxa" w:w="7632"/>
            <w:shd w:fill="F7F9FB"/>
            <w:tcMar>
              <w:top w:w="90" w:type="dxa"/>
              <w:start w:w="110" w:type="dxa"/>
              <w:bottom w:w="90" w:type="dxa"/>
              <w:end w:w="110" w:type="dxa"/>
            </w:tcMar>
            <w:vAlign w:val="center"/>
          </w:tcPr>
          <w:p>
            <w:r>
              <w:rPr>
                <w:sz w:val="15"/>
              </w:rPr>
              <w:t>Mobile-first, accessible web patterns and low-friction interaction.</w:t>
            </w:r>
          </w:p>
        </w:tc>
      </w:tr>
      <w:tr>
        <w:tc>
          <w:tcPr>
            <w:tcW w:type="dxa" w:w="2160"/>
            <w:tcMar>
              <w:top w:w="90" w:type="dxa"/>
              <w:start w:w="110" w:type="dxa"/>
              <w:bottom w:w="90" w:type="dxa"/>
              <w:end w:w="110" w:type="dxa"/>
            </w:tcMar>
            <w:vAlign w:val="center"/>
          </w:tcPr>
          <w:p>
            <w:r>
              <w:rPr>
                <w:sz w:val="15"/>
              </w:rPr>
              <w:t>Configurability</w:t>
            </w:r>
          </w:p>
        </w:tc>
        <w:tc>
          <w:tcPr>
            <w:tcW w:type="dxa" w:w="7632"/>
            <w:tcMar>
              <w:top w:w="90" w:type="dxa"/>
              <w:start w:w="110" w:type="dxa"/>
              <w:bottom w:w="90" w:type="dxa"/>
              <w:end w:w="110" w:type="dxa"/>
            </w:tcMar>
            <w:vAlign w:val="center"/>
          </w:tcPr>
          <w:p>
            <w:r>
              <w:rPr>
                <w:sz w:val="15"/>
              </w:rPr>
              <w:t>Products, questions, appetite, country rules, notifications and commercial definitions should be configurable.</w:t>
            </w:r>
          </w:p>
        </w:tc>
      </w:tr>
      <w:tr>
        <w:tc>
          <w:tcPr>
            <w:tcW w:type="dxa" w:w="2160"/>
            <w:shd w:fill="F7F9FB"/>
            <w:tcMar>
              <w:top w:w="90" w:type="dxa"/>
              <w:start w:w="110" w:type="dxa"/>
              <w:bottom w:w="90" w:type="dxa"/>
              <w:end w:w="110" w:type="dxa"/>
            </w:tcMar>
            <w:vAlign w:val="center"/>
          </w:tcPr>
          <w:p>
            <w:r>
              <w:rPr>
                <w:sz w:val="15"/>
              </w:rPr>
              <w:t>Resilience</w:t>
            </w:r>
          </w:p>
        </w:tc>
        <w:tc>
          <w:tcPr>
            <w:tcW w:type="dxa" w:w="7632"/>
            <w:shd w:fill="F7F9FB"/>
            <w:tcMar>
              <w:top w:w="90" w:type="dxa"/>
              <w:start w:w="110" w:type="dxa"/>
              <w:bottom w:w="90" w:type="dxa"/>
              <w:end w:w="110" w:type="dxa"/>
            </w:tcMar>
            <w:vAlign w:val="center"/>
          </w:tcPr>
          <w:p>
            <w:r>
              <w:rPr>
                <w:sz w:val="15"/>
              </w:rPr>
              <w:t>Graceful handling of channel/provider failures and recoverable customer sessions.</w:t>
            </w:r>
          </w:p>
        </w:tc>
      </w:tr>
    </w:tbl>
    <w:p>
      <w:pPr>
        <w:spacing w:after="20"/>
      </w:pPr>
    </w:p>
    <w:p>
      <w:pPr>
        <w:pStyle w:val="Heading1"/>
      </w:pPr>
      <w:r>
        <w:t>53. V1 End-to-End Acceptance Scenario</w:t>
      </w:r>
    </w:p>
    <w:p>
      <w:pPr>
        <w:pStyle w:val="ListNumber"/>
        <w:spacing w:after="40"/>
      </w:pPr>
      <w:r>
        <w:t>A customer discovers WEZA through a trackable link/QR and opens WhatsApp.</w:t>
      </w:r>
    </w:p>
    <w:p>
      <w:pPr>
        <w:pStyle w:val="ListNumber"/>
        <w:spacing w:after="40"/>
      </w:pPr>
      <w:r>
        <w:t>Customer says: 'I need UGX 30 million to expand my pharmacy.'</w:t>
      </w:r>
    </w:p>
    <w:p>
      <w:pPr>
        <w:pStyle w:val="ListNumber"/>
        <w:spacing w:after="40"/>
      </w:pPr>
      <w:r>
        <w:t>WEZA extracts amount, purpose, SME context and asks only missing questions.</w:t>
      </w:r>
    </w:p>
    <w:p>
      <w:pPr>
        <w:pStyle w:val="ListNumber"/>
        <w:spacing w:after="40"/>
      </w:pPr>
      <w:r>
        <w:t>Customer verifies phone by OTP and completes required marketplace profile.</w:t>
      </w:r>
    </w:p>
    <w:p>
      <w:pPr>
        <w:pStyle w:val="ListNumber"/>
        <w:spacing w:after="40"/>
      </w:pPr>
      <w:r>
        <w:t>WEZA marks the customer Ready Now and calculates Quality Score.</w:t>
      </w:r>
    </w:p>
    <w:p>
      <w:pPr>
        <w:pStyle w:val="ListNumber"/>
        <w:spacing w:after="40"/>
      </w:pPr>
      <w:r>
        <w:t>Opportunity Engine identifies three eligible participating institutions and calculates explainable Match Scores.</w:t>
      </w:r>
    </w:p>
    <w:p>
      <w:pPr>
        <w:pStyle w:val="ListNumber"/>
        <w:spacing w:after="40"/>
      </w:pPr>
      <w:r>
        <w:t>Customer reviews options/preferences, selects Institution B and sees the exact sharing scope.</w:t>
      </w:r>
    </w:p>
    <w:p>
      <w:pPr>
        <w:pStyle w:val="ListNumber"/>
        <w:spacing w:after="40"/>
      </w:pPr>
      <w:r>
        <w:t>Customer consents. WEZA performs duplicate/integrity checks and creates a Qualified Opportunity snapshot.</w:t>
      </w:r>
    </w:p>
    <w:p>
      <w:pPr>
        <w:pStyle w:val="ListNumber"/>
        <w:spacing w:after="40"/>
      </w:pPr>
      <w:r>
        <w:t>Institution B routing rules assign the opportunity to its SME team; relevant officer is notified.</w:t>
      </w:r>
    </w:p>
    <w:p>
      <w:pPr>
        <w:pStyle w:val="ListNumber"/>
        <w:spacing w:after="40"/>
      </w:pPr>
      <w:r>
        <w:t>Officer sees match, reason, readiness, authorised customer data and service target.</w:t>
      </w:r>
    </w:p>
    <w:p>
      <w:pPr>
        <w:pStyle w:val="ListNumber"/>
        <w:spacing w:after="40"/>
      </w:pPr>
      <w:r>
        <w:t>Officer contacts customer and moves the customer into Institution B's existing internal process.</w:t>
      </w:r>
    </w:p>
    <w:p>
      <w:pPr>
        <w:pStyle w:val="ListNumber"/>
        <w:spacing w:after="40"/>
      </w:pPr>
      <w:r>
        <w:t>Institution performs formal KYC, underwriting and approval outside WEZA.</w:t>
      </w:r>
    </w:p>
    <w:p>
      <w:pPr>
        <w:pStyle w:val="ListNumber"/>
        <w:spacing w:after="40"/>
      </w:pPr>
      <w:r>
        <w:t>Officer reports Approved and later Disbursed UGX 25M inside WEZA.</w:t>
      </w:r>
    </w:p>
    <w:p>
      <w:pPr>
        <w:pStyle w:val="ListNumber"/>
        <w:spacing w:after="40"/>
      </w:pPr>
      <w:r>
        <w:t>WEZA updates customer/institution marketplace status, analytics and commercial event.</w:t>
      </w:r>
    </w:p>
    <w:p>
      <w:pPr>
        <w:pStyle w:val="ListNumber"/>
        <w:spacing w:after="40"/>
      </w:pPr>
      <w:r>
        <w:t>No connection to Institution B's core banking system or customer database was required.</w:t>
      </w:r>
    </w:p>
    <w:p>
      <w:pPr>
        <w:pStyle w:val="Heading1"/>
      </w:pPr>
      <w:r>
        <w:t>54. Future Architecture Reserved in the Design</w:t>
      </w:r>
    </w:p>
    <w:p>
      <w:pPr>
        <w:pStyle w:val="ListBullet"/>
        <w:spacing w:after="40"/>
      </w:pPr>
      <w:r>
        <w:t>WEZA Mobile and persistent My WEZA.</w:t>
      </w:r>
    </w:p>
    <w:p>
      <w:pPr>
        <w:pStyle w:val="ListBullet"/>
        <w:spacing w:after="40"/>
      </w:pPr>
      <w:r>
        <w:t>Financial Vault and permission-controlled reusable documents.</w:t>
      </w:r>
    </w:p>
    <w:p>
      <w:pPr>
        <w:pStyle w:val="ListBullet"/>
        <w:spacing w:after="40"/>
      </w:pPr>
      <w:r>
        <w:t>Financial State/Opportunity Graph.</w:t>
      </w:r>
    </w:p>
    <w:p>
      <w:pPr>
        <w:pStyle w:val="ListBullet"/>
        <w:spacing w:after="40"/>
      </w:pPr>
      <w:r>
        <w:t>Advanced market-clearing and marketplace liquidity intelligence.</w:t>
      </w:r>
    </w:p>
    <w:p>
      <w:pPr>
        <w:pStyle w:val="ListBullet"/>
        <w:spacing w:after="40"/>
      </w:pPr>
      <w:r>
        <w:t>Synthetic product design and demand forecasting.</w:t>
      </w:r>
    </w:p>
    <w:p>
      <w:pPr>
        <w:pStyle w:val="ListBullet"/>
        <w:spacing w:after="40"/>
      </w:pPr>
      <w:r>
        <w:t>Embedded WEZA distribution.</w:t>
      </w:r>
    </w:p>
    <w:p>
      <w:pPr>
        <w:pStyle w:val="ListBullet"/>
        <w:spacing w:after="40"/>
      </w:pPr>
      <w:r>
        <w:t>WEZA Flex, Pay, Protect, Save and Invest.</w:t>
      </w:r>
    </w:p>
    <w:p>
      <w:pPr>
        <w:pStyle w:val="ListBullet"/>
        <w:spacing w:after="40"/>
      </w:pPr>
      <w:r>
        <w:t>Separately governed P2P capabilities.</w:t>
      </w:r>
    </w:p>
    <w:p>
      <w:pPr>
        <w:pStyle w:val="ListBullet"/>
        <w:spacing w:after="40"/>
      </w:pPr>
      <w:r>
        <w:t>Advanced institutional and customer agents.</w:t>
      </w:r>
    </w:p>
    <w:p>
      <w:r>
        <w:t>These capabilities shall not expand V1 implementation scope unless separately approved.</w:t>
      </w:r>
    </w:p>
    <w:p>
      <w:pPr>
        <w:pStyle w:val="Heading1"/>
      </w:pPr>
      <w:r>
        <w:t>55. Final Functional Principle</w:t>
      </w:r>
    </w:p>
    <w:tbl>
      <w:tblPr>
        <w:tblW w:type="auto" w:w="0"/>
        <w:jc w:val="center"/>
        <w:tblLook w:firstColumn="1" w:firstRow="1" w:lastColumn="0" w:lastRow="0" w:noHBand="0" w:noVBand="1" w:val="04A0"/>
      </w:tblPr>
      <w:tblGrid>
        <w:gridCol w:w="10166"/>
      </w:tblGrid>
      <w:tr>
        <w:tc>
          <w:tcPr>
            <w:tcW w:type="dxa" w:w="10166"/>
            <w:shd w:fill="EAF3FA"/>
            <w:tcMar>
              <w:top w:w="140" w:type="dxa"/>
              <w:start w:w="160" w:type="dxa"/>
              <w:bottom w:w="140" w:type="dxa"/>
              <w:end w:w="160" w:type="dxa"/>
            </w:tcMar>
          </w:tcPr>
          <w:p>
            <w:pPr>
              <w:pStyle w:val="Callout"/>
            </w:pPr>
            <w:r>
              <w:t>WEZA is a persistent two-sided financial market: customer demand waits for suitable capital, institutional appetite waits for suitable demand, and the WEZA Opportunity/Market Clearing Engine continuously brings the two together.</w:t>
            </w:r>
          </w:p>
        </w:tc>
      </w:tr>
    </w:tbl>
    <w:p>
      <w:pPr>
        <w:spacing w:after="0"/>
      </w:pPr>
    </w:p>
    <w:p>
      <w:r>
        <w:t>The design must preserve the strategic boundary that makes WEZA deployable: institutions do not need to expose their core databases or existing customer records. WEZA creates value from customer-generated marketplace demand, institution-configured supply, explicit consent, intelligent matching and lightweight outcome feedback.</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8"/>
        <w:sz w:val="14"/>
      </w:rPr>
      <w:t>WEZA Functional Specification Document  |  Otic Technologies Limited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B1F3A"/>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2222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F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C99A3D"/>
      <w:sz w:val="16"/>
    </w:rPr>
  </w:style>
  <w:style w:type="paragraph" w:customStyle="1" w:styleId="SubtitleX">
    <w:name w:val="SubtitleX"/>
    <w:pPr>
      <w:spacing w:after="80"/>
    </w:pPr>
    <w:rPr>
      <w:rFonts w:ascii="Aptos" w:hAnsi="Aptos"/>
      <w:b w:val="0"/>
      <w:color w:val="5F6B78"/>
      <w:sz w:val="23"/>
    </w:rPr>
  </w:style>
  <w:style w:type="paragraph" w:customStyle="1" w:styleId="Callout">
    <w:name w:val="Callout"/>
    <w:pPr>
      <w:spacing w:after="80"/>
    </w:pPr>
    <w:rPr>
      <w:rFonts w:ascii="Aptos" w:hAnsi="Aptos"/>
      <w:b/>
      <w:color w:val="0B1F3A"/>
      <w:sz w:val="21"/>
    </w:rPr>
  </w:style>
  <w:style w:type="paragraph" w:customStyle="1" w:styleId="Small">
    <w:name w:val="Small"/>
    <w:pPr>
      <w:spacing w:after="80"/>
    </w:pPr>
    <w:rPr>
      <w:rFonts w:ascii="Aptos" w:hAnsi="Aptos"/>
      <w:b w:val="0"/>
      <w:color w:val="5F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