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OTIC TECHNOLOGIES</w:t>
      </w:r>
    </w:p>
    <w:p>
      <w:pPr>
        <w:pStyle w:val="Title"/>
      </w:pPr>
      <w:r>
        <w:t>WEZA</w:t>
      </w:r>
    </w:p>
    <w:p>
      <w:r>
        <w:t>Technical Specification Document (TSD)</w:t>
      </w:r>
    </w:p>
    <w:p>
      <w:r>
        <w:t>Intelligent Financial Marketplace &amp; Opportunity Network</w:t>
      </w:r>
    </w:p>
    <w:p>
      <w:r>
        <w:t>Version 1.0 | October 2026</w:t>
      </w:r>
    </w:p>
    <w:tbl>
      <w:tblPr>
        <w:tblW w:type="auto" w:w="0"/>
        <w:tblLook w:firstColumn="1" w:firstRow="1" w:lastColumn="0" w:lastRow="0" w:noHBand="0" w:noVBand="1" w:val="04A0"/>
      </w:tblPr>
      <w:tblGrid>
        <w:gridCol w:w="10166"/>
      </w:tblGrid>
      <w:tr>
        <w:tc>
          <w:tcPr>
            <w:tcW w:type="dxa" w:w="10166"/>
            <w:shd w:fill="EAF3FA"/>
          </w:tcPr>
          <w:p>
            <w:r>
              <w:rPr>
                <w:b/>
                <w:color w:val="0B1F3A"/>
              </w:rPr>
              <w:t>WEZA connects financial demand to institutional capital without requiring access to participating institutions' core databases.</w:t>
            </w:r>
          </w:p>
        </w:tc>
      </w:tr>
    </w:tbl>
    <w:p/>
    <w:p>
      <w:r>
        <w:br w:type="page"/>
      </w:r>
    </w:p>
    <w:p>
      <w:pPr>
        <w:pStyle w:val="Heading1"/>
      </w:pPr>
      <w:r>
        <w:t>1. Purpose</w:t>
      </w:r>
    </w:p>
    <w:p>
      <w:r>
        <w:t>This Technical Specification Document defines the production-oriented technical architecture, application components, data structures, service boundaries, APIs, AI controls, security, events, deployment model and engineering standards required to implement WEZA Version 1.</w:t>
      </w:r>
    </w:p>
    <w:p>
      <w:r>
        <w:t>WEZA V1 operates as an independent, secure, multi-tenant financial marketplace. Institutions configure products, eligibility, appetite, capacity, users and workflows inside WEZA; customers generate financial demand inside WEZA; the Opportunity and Market Clearing Engines connect the two.</w:t>
      </w:r>
    </w:p>
    <w:p>
      <w:pPr>
        <w:pStyle w:val="Heading1"/>
      </w:pPr>
      <w:r>
        <w:t>2. Technical Design Principles</w:t>
      </w:r>
    </w:p>
    <w:p>
      <w:r>
        <w:t>Zero core-banking integration; API-first interfaces; event-driven processing where appropriate; AI-assisted but deterministically controlled consequential workflows; privacy by design; multi-tenant isolation; explainability and versioning; graceful degradation; observability by default.</w:t>
      </w:r>
    </w:p>
    <w:p>
      <w:pPr>
        <w:pStyle w:val="Heading1"/>
      </w:pPr>
      <w:r>
        <w:t>3. Five-Plane Architecture</w:t>
      </w:r>
    </w:p>
    <w:p>
      <w:r>
        <w:t>Experience Plane: WhatsApp, Web, Institution Portal, Admin Portal and future Mobile.</w:t>
      </w:r>
    </w:p>
    <w:p>
      <w:r>
        <w:t>Intelligence Plane: Intent Engine, AI Control Plane, Rules Engine, Match Engine, Market Clearing, Simulation, Product Gap Intelligence and Conversational AI.</w:t>
      </w:r>
    </w:p>
    <w:p>
      <w:r>
        <w:t>Marketplace Plane: Customer, Financial Need, Institution, Product, Appetite, Opportunity, Assignment, Outcome, Billing and Disputes.</w:t>
      </w:r>
    </w:p>
    <w:p>
      <w:r>
        <w:t>Trust Plane: Identity Vault, Consent, Policy Decision Point, Disclosure Gateway, Integrity, Audit, Encryption and Privacy.</w:t>
      </w:r>
    </w:p>
    <w:p>
      <w:r>
        <w:t>Platform Plane: APIs, Events, Data, Cache, Storage, Observability, CI/CD, DR and Infrastructure.</w:t>
      </w:r>
    </w:p>
    <w:p>
      <w:pPr>
        <w:pStyle w:val="Heading1"/>
      </w:pPr>
      <w:r>
        <w:t>4. Recommended Technology Stack</w:t>
      </w:r>
    </w:p>
    <w:p>
      <w:r>
        <w:t>Frontend: Next.js/React for public, institutional and administrative web applications. Future mobile: React Native or equivalent.</w:t>
      </w:r>
    </w:p>
    <w:p>
      <w:r>
        <w:t>Backend: Python FastAPI for AI-heavy services and/or .NET 8+ for controlled enterprise APIs and workflow services. Begin with a modular monolith plus event bus rather than premature microservices.</w:t>
      </w:r>
    </w:p>
    <w:p>
      <w:r>
        <w:t>Cloud: Microsoft Azure. Recommended managed services include Azure Container Apps or AKS, API Management, Azure Database for PostgreSQL, Redis, Service Bus, Blob Storage, Key Vault, Entra ID, Azure Monitor/Application Insights and Microsoft Fabric as analytics scale requires.</w:t>
      </w:r>
    </w:p>
    <w:p>
      <w:pPr>
        <w:pStyle w:val="Heading1"/>
      </w:pPr>
      <w:r>
        <w:t>5. Channel Architecture</w:t>
      </w:r>
    </w:p>
    <w:p>
      <w:r>
        <w:t>WhatsApp is a channel, not the application. WhatsApp Business Platform webhooks shall terminate at a channel/webhook gateway, which normalises messages into WEZA's canonical message contract before passing them to the Conversation Orchestrator.</w:t>
      </w:r>
    </w:p>
    <w:p>
      <w:r>
        <w:t>Web and future mobile clients shall use the same core backend services.</w:t>
      </w:r>
    </w:p>
    <w:p>
      <w:pPr>
        <w:pStyle w:val="Heading1"/>
      </w:pPr>
      <w:r>
        <w:t>6. Canonical Message Contract</w:t>
      </w:r>
    </w:p>
    <w:p>
      <w:r>
        <w:t>Core fields: message_id, session_id, customer_id where known, channel, direction, message_type, content/reference, received_at and correlation_id. Supported message classes may include TEXT, IMAGE, DOCUMENT, LOCATION, BUTTON_RESPONSE, FORM_RESPONSE and SYSTEM_MESSAGE.</w:t>
      </w:r>
    </w:p>
    <w:p>
      <w:pPr>
        <w:pStyle w:val="Heading1"/>
      </w:pPr>
      <w:r>
        <w:t>7. Conversation Orchestrator</w:t>
      </w:r>
    </w:p>
    <w:p>
      <w:r>
        <w:t>The orchestrator controls journey state and determines the next required action. Initial states: NEW, INTENT_CAPTURE, PHONE_VERIFICATION, IDENTITY, PROFILE_BUILDING, DOCUMENT_COLLECTION, READY_FOR_MATCHING, MATCH_RESULTS, INSTITUTION_SELECTION, CONSENT, SUBMITTED and TRACKING.</w:t>
      </w:r>
    </w:p>
    <w:p>
      <w:pPr>
        <w:pStyle w:val="Heading1"/>
      </w:pPr>
      <w:r>
        <w:t>8. WEZA AI Control Plane</w:t>
      </w:r>
    </w:p>
    <w:p>
      <w:r>
        <w:t>All generative-AI calls shall pass through a central control plane that manages model routing, prompt/schema versions, authorised context retrieval, PII controls, prompt-injection defence, structured-output validation, safety policy, cost/latency monitoring, fallback and audit metadata.</w:t>
      </w:r>
    </w:p>
    <w:p>
      <w:r>
        <w:t>Uploaded documents and user content are untrusted data, never trusted instructions. The AI prompt is never a security boundary.</w:t>
      </w:r>
    </w:p>
    <w:p>
      <w:pPr>
        <w:pStyle w:val="Heading1"/>
      </w:pPr>
      <w:r>
        <w:t>9. Structured AI Output</w:t>
      </w:r>
    </w:p>
    <w:p>
      <w:r>
        <w:t>Critical AI extraction shall return versioned schemas such as FinancialIntent, CustomerProfileExtraction, ProductRuleExtraction, MatchExplanation, DocumentClassification and InstitutionQuery. Schema validation failure triggers retry, deterministic fallback or human review rather than uncontrolled persistence.</w:t>
      </w:r>
    </w:p>
    <w:p>
      <w:pPr>
        <w:pStyle w:val="Heading1"/>
      </w:pPr>
      <w:r>
        <w:t>10. Financial Intent Engine</w:t>
      </w:r>
    </w:p>
    <w:p>
      <w:r>
        <w:t>Input is conversational content; output includes intent, amount, currency, purpose, customer type, sector/activity, missing fields and confidence. Critical low-confidence extracted fields shall be confirmed with the customer before consequential use.</w:t>
      </w:r>
    </w:p>
    <w:p>
      <w:pPr>
        <w:pStyle w:val="Heading1"/>
      </w:pPr>
      <w:r>
        <w:t>11. Data Provenance and Confidence</w:t>
      </w:r>
    </w:p>
    <w:p>
      <w:r>
        <w:t>Important customer fields shall store value, source, source_channel/document, capture timestamp, verification state and AI confidence where applicable. Self-reported, extracted, confirmed and verified values shall remain distinguishable.</w:t>
      </w:r>
    </w:p>
    <w:p>
      <w:pPr>
        <w:pStyle w:val="Heading1"/>
      </w:pPr>
      <w:r>
        <w:t>12. Identity Vault</w:t>
      </w:r>
    </w:p>
    <w:p>
      <w:r>
        <w:t>Direct identifiers such as name, phone, NIN and identity documents shall be isolated behind the Identity domain/Vault wherever practical. Marketplace services operate primarily on internal customer IDs or tokenised identity references.</w:t>
      </w:r>
    </w:p>
    <w:p>
      <w:r>
        <w:t>Sensitive identifiers shall not be database primary keys and shall not be copied unnecessarily across services.</w:t>
      </w:r>
    </w:p>
    <w:p>
      <w:pPr>
        <w:pStyle w:val="Heading1"/>
      </w:pPr>
      <w:r>
        <w:t>13. OTP and Authentication</w:t>
      </w:r>
    </w:p>
    <w:p>
      <w:r>
        <w:t>Customer authentication initially uses phone/OTP with expiry, retry/resend limits and brute-force controls. OTPs are never stored in plaintext. Institution users use enterprise authentication with MFA, preferably Entra ID where supported; WEZA privileged administrators require MFA.</w:t>
      </w:r>
    </w:p>
    <w:p>
      <w:pPr>
        <w:pStyle w:val="Heading1"/>
      </w:pPr>
      <w:r>
        <w:t>14. Customer Profile Service</w:t>
      </w:r>
    </w:p>
    <w:p>
      <w:r>
        <w:t>Stores reusable marketplace profile, employment/business data, customer-provided financial information, documents, preferences, verification and field provenance. Customer profile versions shall be immutable enough to reconstruct the profile used by any historical opportunity.</w:t>
      </w:r>
    </w:p>
    <w:p>
      <w:pPr>
        <w:pStyle w:val="Heading1"/>
      </w:pPr>
      <w:r>
        <w:t>15. Financial Need Domain</w:t>
      </w:r>
    </w:p>
    <w:p>
      <w:r>
        <w:t>Customer and Financial Need are separate entities because one customer may have multiple needs over time. Need fields include need_id, customer_id, type, amount, currency, purpose, urgency, status, created_at and expiry/reconfirmation data.</w:t>
      </w:r>
    </w:p>
    <w:p>
      <w:pPr>
        <w:pStyle w:val="Heading1"/>
      </w:pPr>
      <w:r>
        <w:t>16. Product Service</w:t>
      </w:r>
    </w:p>
    <w:p>
      <w:r>
        <w:t>Stores institution products, terms, eligibility, document requirements, status, owner, approver, effective dates and ruleset version. Product rule changes create new effective versions rather than silently overwriting historical logic.</w:t>
      </w:r>
    </w:p>
    <w:p>
      <w:pPr>
        <w:pStyle w:val="Heading1"/>
      </w:pPr>
      <w:r>
        <w:t>17. Appetite and Mandate Service</w:t>
      </w:r>
    </w:p>
    <w:p>
      <w:r>
        <w:t>Appetite is technically distinct from Product and expresses what demand an institution currently wants. Fields include institution/product, target segment, amount range, sector, geography, thresholds, target demand/volume, minimum match, capacity state, effective dates and ruleset version.</w:t>
      </w:r>
    </w:p>
    <w:p>
      <w:pPr>
        <w:pStyle w:val="Heading1"/>
      </w:pPr>
      <w:r>
        <w:t>18. Deterministic Rules Engine</w:t>
      </w:r>
    </w:p>
    <w:p>
      <w:r>
        <w:t>Eligibility shall be evaluated by deterministic, versioned rules. LLMs may interpret customer language or documents but do not determine rule satisfaction. Output contains pass/fail/unknown per rule, required value, observed value and reason code.</w:t>
      </w:r>
    </w:p>
    <w:p>
      <w:pPr>
        <w:pStyle w:val="Heading1"/>
      </w:pPr>
      <w:r>
        <w:t>19. Eligibility, Suitability and Ranking</w:t>
      </w:r>
    </w:p>
    <w:p>
      <w:r>
        <w:t>WEZA shall separate three stages: Eligibility asks whether a customer can potentially use a product; Suitability/Match evaluates alignment with current institutional appetite; Ranking determines the order in which appropriate options are presented. These must not collapse into one opaque score.</w:t>
      </w:r>
    </w:p>
    <w:p>
      <w:pPr>
        <w:pStyle w:val="Heading1"/>
      </w:pPr>
      <w:r>
        <w:t>20. Multidimensional Match Engine</w:t>
      </w:r>
    </w:p>
    <w:p>
      <w:r>
        <w:t>Internal match dimensions may include Product Fit, Appetite Fit, Customer Preference Fit, Readiness and Marketplace Capacity. Composite weights are configurable and versioned. Every Match stores algorithm_version, product_version, appetite_version and ruleset_version.</w:t>
      </w:r>
    </w:p>
    <w:p>
      <w:pPr>
        <w:pStyle w:val="Heading1"/>
      </w:pPr>
      <w:r>
        <w:t>21. Match Explainability</w:t>
      </w:r>
    </w:p>
    <w:p>
      <w:r>
        <w:t>Match explanations are derived primarily from deterministic rule results and score components. AI may translate structured reason codes into clear language but shall not invent reasons.</w:t>
      </w:r>
    </w:p>
    <w:p>
      <w:pPr>
        <w:pStyle w:val="Heading1"/>
      </w:pPr>
      <w:r>
        <w:t>22. Market Clearing Engine</w:t>
      </w:r>
    </w:p>
    <w:p>
      <w:r>
        <w:t>The Opportunity Engine evaluates individual matches; the Market Clearing Engine continuously reconciles active demand and supply in response to NewFinancialNeed, ProductActivated/Paused, AppetiteChanged, CapacityChanged, CustomerReactivated and OpportunityExpired events. Identity disclosure is never triggered merely by a new match.</w:t>
      </w:r>
    </w:p>
    <w:p>
      <w:pPr>
        <w:pStyle w:val="Heading1"/>
      </w:pPr>
      <w:r>
        <w:t>23. Waiting Rooms</w:t>
      </w:r>
    </w:p>
    <w:p>
      <w:r>
        <w:t>Customer Demand Waiting Room keeps an opted-in unmatched need eligible for future clearing for a defined period. Institution Mandate Waiting keeps active institutional appetite eligible for future customer demand until paused, full or expired.</w:t>
      </w:r>
    </w:p>
    <w:p>
      <w:pPr>
        <w:pStyle w:val="Heading1"/>
      </w:pPr>
      <w:r>
        <w:t>24. Marketplace Capacity</w:t>
      </w:r>
    </w:p>
    <w:p>
      <w:r>
        <w:t>Institutions may configure daily/weekly/monthly opportunity limits and/or requested-financing limits. Capacity states include ACTIVE, LIMITED, FULL and PAUSED and are evaluated before routing.</w:t>
      </w:r>
    </w:p>
    <w:p>
      <w:pPr>
        <w:pStyle w:val="Heading1"/>
      </w:pPr>
      <w:r>
        <w:t>25. Opportunity Preview</w:t>
      </w:r>
    </w:p>
    <w:p>
      <w:r>
        <w:t>A privacy-preserving preview may expose non-identifiable segment, sector, broad geography, amount band, business-age band and match information. It must exclude name, phone, NIN, email, exact address and raw identity documents.</w:t>
      </w:r>
    </w:p>
    <w:p>
      <w:pPr>
        <w:pStyle w:val="Heading1"/>
      </w:pPr>
      <w:r>
        <w:t>26. Institution Interest</w:t>
      </w:r>
    </w:p>
    <w:p>
      <w:r>
        <w:t>Permitted institutions may mark an anonymised preview INTERESTED, NEED_MORE_INFORMATION, NOT_INTERESTED or allow it to EXPIRE. Interest is not approval and does not itself authorise identity disclosure.</w:t>
      </w:r>
    </w:p>
    <w:p>
      <w:pPr>
        <w:pStyle w:val="Heading1"/>
      </w:pPr>
      <w:r>
        <w:t>27. Consent Service</w:t>
      </w:r>
    </w:p>
    <w:p>
      <w:r>
        <w:t>Consent is a dedicated bounded domain. Records include consent_id, customer_id, institution_id, opportunity_id, purpose, authorised data categories, consent text/version, status and timestamps. No Level-3 identifiable disclosure occurs without applicable valid consent.</w:t>
      </w:r>
    </w:p>
    <w:p>
      <w:pPr>
        <w:pStyle w:val="Heading1"/>
      </w:pPr>
      <w:r>
        <w:t>28. Policy Decision Point</w:t>
      </w:r>
    </w:p>
    <w:p>
      <w:r>
        <w:t>All sensitive access shall be centrally evaluated using actor, tenant, role, resource, opportunity relationship, consent, purpose, data classification and policy version. Outcomes: PERMIT, DENY or PERMIT_WITH_RESTRICTED_FIELDS.</w:t>
      </w:r>
    </w:p>
    <w:p>
      <w:pPr>
        <w:pStyle w:val="Heading1"/>
      </w:pPr>
      <w:r>
        <w:t>29. Data Disclosure Gateway</w:t>
      </w:r>
    </w:p>
    <w:p>
      <w:r>
        <w:t>Institution access to customer data flows through Authentication → Tenant Check → Role/Policy Check → Opportunity Access → Consent Check → Data Scope Check → Authorised Fields. Frontend filtering is never treated as access control.</w:t>
      </w:r>
    </w:p>
    <w:p>
      <w:pPr>
        <w:pStyle w:val="Heading1"/>
      </w:pPr>
      <w:r>
        <w:t>30. Qualified Opportunity Service</w:t>
      </w:r>
    </w:p>
    <w:p>
      <w:r>
        <w:t>A Qualified Opportunity is created only after verified marketplace prerequisites, valid match, institution selection/authorisation, consent and duplicate/integrity checks. Creation freezes a versioned snapshot of relevant inputs and commercial attribution.</w:t>
      </w:r>
    </w:p>
    <w:p>
      <w:pPr>
        <w:pStyle w:val="Heading1"/>
      </w:pPr>
      <w:r>
        <w:t>31. Opportunity Workflow</w:t>
      </w:r>
    </w:p>
    <w:p>
      <w:r>
        <w:t>Core lifecycle: DRAFT → PROFILE_IN_PROGRESS → READY_FOR_MATCHING → MATCHED → CUSTOMER_SELECTED → CONSENTED → QUALIFIED → ROUTED → RECEIVED → ASSIGNED → CONTACTED → PROCEEDING → SUBMITTED_TO_INSTITUTION → REPORTED_APPROVED / REPORTED_DECLINED / WITHDRAWN → REPORTED_DISBURSED / CLOSED. Transitions are server-enforced.</w:t>
      </w:r>
    </w:p>
    <w:p>
      <w:pPr>
        <w:pStyle w:val="Heading1"/>
      </w:pPr>
      <w:r>
        <w:t>32. Workflow/Saga Orchestration</w:t>
      </w:r>
    </w:p>
    <w:p>
      <w:r>
        <w:t>Cross-domain operations such as Validate Match → Validate Consent → Check Duplicate → Create Opportunity → Route → Notify → Create Billing Event shall use explicit workflow/saga orchestration with known compensation/recovery states rather than uncontrolled synchronous call chains.</w:t>
      </w:r>
    </w:p>
    <w:p>
      <w:pPr>
        <w:pStyle w:val="Heading1"/>
      </w:pPr>
      <w:r>
        <w:t>33. Assignment and Service Targets</w:t>
      </w:r>
    </w:p>
    <w:p>
      <w:r>
        <w:t>Institution-specific assignment rules may route by product, amount, geography, sector or team. Opportunities maintain received_at, assigned_at, first_contact_due_at, first_contact_at and next_action_due_at. Background workers emit approaching/breached events.</w:t>
      </w:r>
    </w:p>
    <w:p>
      <w:pPr>
        <w:pStyle w:val="Heading1"/>
      </w:pPr>
      <w:r>
        <w:t>34. Notification Service</w:t>
      </w:r>
    </w:p>
    <w:p>
      <w:r>
        <w:t>Domain Event → Notification Policy → Recipient Resolution → Channel Selection → Delivery. Supported adapters may include in-app, email, push, Teams, WhatsApp and SMS. Delivery is asynchronous, retryable and observable.</w:t>
      </w:r>
    </w:p>
    <w:p>
      <w:pPr>
        <w:pStyle w:val="Heading1"/>
      </w:pPr>
      <w:r>
        <w:t>35. Conversational Institutional AI</w:t>
      </w:r>
    </w:p>
    <w:p>
      <w:r>
        <w:t>User question → Authentication/RBAC → Intent → Approved WEZA Tool → Structured Result → LLM explanation. The LLM receives no unrestricted production database access and cannot bypass tenant/role policy.</w:t>
      </w:r>
    </w:p>
    <w:p>
      <w:pPr>
        <w:pStyle w:val="Heading1"/>
      </w:pPr>
      <w:r>
        <w:t>36. Institutional AI Tools</w:t>
      </w:r>
    </w:p>
    <w:p>
      <w:r>
        <w:t>Controlled tools may include search_opportunities, get_demand_summary, get_product_performance, get_near_match_analysis, simulate_appetite and get_team_queue. Every tool independently enforces tenant, role, data policy and audit logging.</w:t>
      </w:r>
    </w:p>
    <w:p>
      <w:pPr>
        <w:pStyle w:val="Heading1"/>
      </w:pPr>
      <w:r>
        <w:t>37. Appetite Simulation</w:t>
      </w:r>
    </w:p>
    <w:p>
      <w:r>
        <w:t>Simulation executes proposed criteria against permitted anonymised marketplace demand and returns counts, requested financing, match bands and near-match reasons. It never reveals customer identity.</w:t>
      </w:r>
    </w:p>
    <w:p>
      <w:pPr>
        <w:pStyle w:val="Heading1"/>
      </w:pPr>
      <w:r>
        <w:t>38. Analytics Architecture</w:t>
      </w:r>
    </w:p>
    <w:p>
      <w:r>
        <w:t>Transactional PostgreSQL feeds a separate analytical layer through controlled event/ETL pipelines. Microsoft Fabric/Lakehouse/Warehouse may be introduced as scale requires. Complex analytics should not degrade transactional workloads.</w:t>
      </w:r>
    </w:p>
    <w:p>
      <w:pPr>
        <w:pStyle w:val="Heading1"/>
      </w:pPr>
      <w:r>
        <w:t>39. Privacy-Preserving Aggregation</w:t>
      </w:r>
    </w:p>
    <w:p>
      <w:r>
        <w:t>Marketplace intelligence shall apply aggregation thresholds and suppression rules to avoid re-identifying individuals in sparse segments or geographies.</w:t>
      </w:r>
    </w:p>
    <w:p>
      <w:pPr>
        <w:pStyle w:val="Heading1"/>
      </w:pPr>
      <w:r>
        <w:t>40. Product Gap and Liquidity Intelligence</w:t>
      </w:r>
    </w:p>
    <w:p>
      <w:r>
        <w:t>Analytical services may compute demand minus current product coverage, near-match demand and segment liquidity states. These are intelligence features and do not automatically modify institution products or appetite.</w:t>
      </w:r>
    </w:p>
    <w:p>
      <w:pPr>
        <w:pStyle w:val="Heading1"/>
      </w:pPr>
      <w:r>
        <w:t>41. Marketplace Integrity Engine</w:t>
      </w:r>
    </w:p>
    <w:p>
      <w:r>
        <w:t>Detect duplicate identities/phones, repeated devices, abnormal application velocity, synthetic submissions, suspicious referral/partner activity, repeated disputes and other anomalies. Integrity states such as NORMAL, REVIEW, HIGH_RISK and BLOCKED protect the marketplace and are not creditworthiness scores.</w:t>
      </w:r>
    </w:p>
    <w:p>
      <w:pPr>
        <w:pStyle w:val="Heading1"/>
      </w:pPr>
      <w:r>
        <w:t>42. Document Pipeline</w:t>
      </w:r>
    </w:p>
    <w:p>
      <w:r>
        <w:t>UPLOAD → QUARANTINE → MALWARE SCAN → FILE VALIDATION → SECURE STORAGE → CLASSIFICATION → OPTIONAL AI EXTRACTION → CUSTOMER/HUMAN CONFIRMATION → AUTHORISED WORKFLOW. Raw unscanned uploads must not be sent directly to an LLM.</w:t>
      </w:r>
    </w:p>
    <w:p>
      <w:pPr>
        <w:pStyle w:val="Heading1"/>
      </w:pPr>
      <w:r>
        <w:t>43. Commercial Engine</w:t>
      </w:r>
    </w:p>
    <w:p>
      <w:r>
        <w:t>Manages subscriptions, Qualified Opportunity billing events, credits, disputes, partner attribution and usage/invoice data. Commercial definitions are contract-configurable per institution rather than hard-coded.</w:t>
      </w:r>
    </w:p>
    <w:p>
      <w:pPr>
        <w:pStyle w:val="Heading1"/>
      </w:pPr>
      <w:r>
        <w:t>44. Institution Contract Configuration</w:t>
      </w:r>
    </w:p>
    <w:p>
      <w:r>
        <w:t>InstitutionContract stores subscription plan, billing rule, qualified-opportunity definition, duplicate window, dispute window, lead/opportunity price, campaign terms and effective dates.</w:t>
      </w:r>
    </w:p>
    <w:p>
      <w:pPr>
        <w:pStyle w:val="Heading1"/>
      </w:pPr>
      <w:r>
        <w:t>45. Commercial Attribution</w:t>
      </w:r>
    </w:p>
    <w:p>
      <w:r>
        <w:t>Preserve Source → Campaign → Partner → Customer → Financial Need → Qualified Opportunity → Institution → Billing Event → Outcome. Attribution is immutable enough for audit and commercial reconciliation.</w:t>
      </w:r>
    </w:p>
    <w:p>
      <w:pPr>
        <w:pStyle w:val="Heading1"/>
      </w:pPr>
      <w:r>
        <w:t>46. Dispute Engine</w:t>
      </w:r>
    </w:p>
    <w:p>
      <w:r>
        <w:t>Lifecycle: OPEN → UNDER_REVIEW → CHARGE_VALID / CHARGE_REVERSED / OPPORTUNITY_REPLACED / FURTHER_INVESTIGATION → CLOSED. Evidence and decision history are retained.</w:t>
      </w:r>
    </w:p>
    <w:p>
      <w:pPr>
        <w:pStyle w:val="Heading1"/>
      </w:pPr>
      <w:r>
        <w:t>47. Multi-Tenant Security</w:t>
      </w:r>
    </w:p>
    <w:p>
      <w:r>
        <w:t>Institution-scoped entities carry institution_id/tenant context. Isolation is enforced across authentication, application services, database queries, storage paths, cache keys, search and analytics. Tenant identifiers supplied by a client are never trusted without authenticated context.</w:t>
      </w:r>
    </w:p>
    <w:p>
      <w:pPr>
        <w:pStyle w:val="Heading1"/>
      </w:pPr>
      <w:r>
        <w:t>48. Authorisation Model</w:t>
      </w:r>
    </w:p>
    <w:p>
      <w:r>
        <w:t>Use RBAC with policy-based extensions. Example permissions: opportunity.read, opportunity.assign, opportunity.update_status, product.create, product.approve, appetite.edit, appetite.activate, analytics.executive, billing.view and consent.audit.</w:t>
      </w:r>
    </w:p>
    <w:p>
      <w:pPr>
        <w:pStyle w:val="Heading1"/>
      </w:pPr>
      <w:r>
        <w:t>49. Data Classification</w:t>
      </w:r>
    </w:p>
    <w:p>
      <w:r>
        <w:t>Fields and objects shall be classified PUBLIC, INTERNAL, CONFIDENTIAL, PERSONAL or HIGHLY_SENSITIVE. Security, logging, retention and disclosure policies consume this classification.</w:t>
      </w:r>
    </w:p>
    <w:p>
      <w:pPr>
        <w:pStyle w:val="Heading1"/>
      </w:pPr>
      <w:r>
        <w:t>50. Transactional Data Architecture</w:t>
      </w:r>
    </w:p>
    <w:p>
      <w:r>
        <w:t>Primary system of record: managed PostgreSQL. Logical domains: identity, customer, profile, institution, product, appetite, matching, opportunity, consent, workflow, notification, commercial, integrity and audit. Begin with strong schema/domain boundaries before splitting databases.</w:t>
      </w:r>
    </w:p>
    <w:p>
      <w:pPr>
        <w:pStyle w:val="Heading1"/>
      </w:pPr>
      <w:r>
        <w:t>51. Document Storage</w:t>
      </w:r>
    </w:p>
    <w:p>
      <w:r>
        <w:t>Use Azure Blob Storage or equivalent; transactional tables store document metadata/reference, type, hash, timestamps and verification state. Files are encrypted, malware scanned and delivered through controlled short-lived access or streaming endpoints, never public URLs.</w:t>
      </w:r>
    </w:p>
    <w:p>
      <w:pPr>
        <w:pStyle w:val="Heading1"/>
      </w:pPr>
      <w:r>
        <w:t>52. Decision Ledger</w:t>
      </w:r>
    </w:p>
    <w:p>
      <w:r>
        <w:t>For material WEZA determinations persist Decision ID, Decision Type, input snapshot/reference, ruleset, algorithm/model version where applicable, output, explanation and timestamp. This allows historical reconstruction of why a match, routing or policy decision occurred.</w:t>
      </w:r>
    </w:p>
    <w:p>
      <w:pPr>
        <w:pStyle w:val="Heading1"/>
      </w:pPr>
      <w:r>
        <w:t>53. Audit Architecture</w:t>
      </w:r>
    </w:p>
    <w:p>
      <w:r>
        <w:t>Append-oriented audit events record actor, tenant, action, object, previous/new state or version, timestamp, reason and correlation ID. Sensitive audit events are not editable through normal workflows.</w:t>
      </w:r>
    </w:p>
    <w:p>
      <w:pPr>
        <w:pStyle w:val="Heading1"/>
      </w:pPr>
      <w:r>
        <w:t>54. Event Architecture</w:t>
      </w:r>
    </w:p>
    <w:p>
      <w:r>
        <w:t>Recommended event backbone: Azure Service Bus. Domains may publish customer-events, matching-events, opportunity-events, institution-events, notification-events, commercial-events, audit-events and integrity-events.</w:t>
      </w:r>
    </w:p>
    <w:p>
      <w:pPr>
        <w:pStyle w:val="Heading1"/>
      </w:pPr>
      <w:r>
        <w:t>55. Transactional Outbox</w:t>
      </w:r>
    </w:p>
    <w:p>
      <w:r>
        <w:t>Business state and its event intent shall be committed atomically using the Transactional Outbox Pattern. A publisher subsequently delivers outbox events to the bus, preventing 'database committed but event lost' failures.</w:t>
      </w:r>
    </w:p>
    <w:p>
      <w:pPr>
        <w:pStyle w:val="Heading1"/>
      </w:pPr>
      <w:r>
        <w:t>56. Delivery Semantics</w:t>
      </w:r>
    </w:p>
    <w:p>
      <w:r>
        <w:t>Use at-least-once event delivery plus idempotent business operations. Repeated OpportunityQualified messages must still produce one opportunity, one delivery and one billable event.</w:t>
      </w:r>
    </w:p>
    <w:p>
      <w:pPr>
        <w:pStyle w:val="Heading1"/>
      </w:pPr>
      <w:r>
        <w:t>57. Dead-Letter and Retry</w:t>
      </w:r>
    </w:p>
    <w:p>
      <w:r>
        <w:t>Failed asynchronous messages follow bounded retry policies and then dead-letter queues. Critical dead letters for routing, consent, notification and billing generate operational alerts and support controlled replay.</w:t>
      </w:r>
    </w:p>
    <w:p>
      <w:pPr>
        <w:pStyle w:val="Heading1"/>
      </w:pPr>
      <w:r>
        <w:t>58. API Gateway and Versioning</w:t>
      </w:r>
    </w:p>
    <w:p>
      <w:r>
        <w:t>All external APIs pass through Azure API Management or equivalent for authentication, validation, rate limiting, threat protection, logging and routing. Version routes such as /api/v1/...; breaking changes require new versions.</w:t>
      </w:r>
    </w:p>
    <w:p>
      <w:pPr>
        <w:pStyle w:val="Heading1"/>
      </w:pPr>
      <w:r>
        <w:t>59. API Error Standard</w:t>
      </w:r>
    </w:p>
    <w:p>
      <w:r>
        <w:t>All APIs return a common error contract including machine-readable code, safe human message, correlation_id, retryable flag and optional validation details.</w:t>
      </w:r>
    </w:p>
    <w:p>
      <w:pPr>
        <w:pStyle w:val="Heading1"/>
      </w:pPr>
      <w:r>
        <w:t>60. Idempotency</w:t>
      </w:r>
    </w:p>
    <w:p>
      <w:r>
        <w:t>Create Opportunity, billing, critical notifications and outcome-reporting endpoints support idempotency keys and server-side deduplication.</w:t>
      </w:r>
    </w:p>
    <w:p>
      <w:pPr>
        <w:pStyle w:val="Heading1"/>
      </w:pPr>
      <w:r>
        <w:t>61. Caching</w:t>
      </w:r>
    </w:p>
    <w:p>
      <w:r>
        <w:t>Redis may support sessions, rate limits, short-lived OTP metadata, frequently read configuration and temporary aggregates. Cache is never the system of record and sensitive data is minimised.</w:t>
      </w:r>
    </w:p>
    <w:p>
      <w:pPr>
        <w:pStyle w:val="Heading1"/>
      </w:pPr>
      <w:r>
        <w:t>62. Background Processing</w:t>
      </w:r>
    </w:p>
    <w:p>
      <w:r>
        <w:t>Workers handle ageing, Waiting Room re-evaluation, service targets, notification retries, digests, expiry, analytics aggregation, retention and integrity checks.</w:t>
      </w:r>
    </w:p>
    <w:p>
      <w:pPr>
        <w:pStyle w:val="Heading1"/>
      </w:pPr>
      <w:r>
        <w:t>63. Rate Limiting and Anti-Automation</w:t>
      </w:r>
    </w:p>
    <w:p>
      <w:r>
        <w:t>Apply adaptive limits across OTP, login, public messaging, document upload, AI, simulation and APIs using relevant IP, user, customer, tenant, API key and device/session signals. Protect against account farming, scraping, credential stuffing and fake-lead automation.</w:t>
      </w:r>
    </w:p>
    <w:p>
      <w:pPr>
        <w:pStyle w:val="Heading1"/>
      </w:pPr>
      <w:r>
        <w:t>64. Observability</w:t>
      </w:r>
    </w:p>
    <w:p>
      <w:r>
        <w:t>Expose service health, latency, error rate, throughput, dependency status, queue depth and saturation. Business telemetry includes matching latency, routing success, notification success, AI validation failure, consent completion, opportunity creation and billing events.</w:t>
      </w:r>
    </w:p>
    <w:p>
      <w:pPr>
        <w:pStyle w:val="Heading1"/>
      </w:pPr>
      <w:r>
        <w:t>65. Distributed Tracing</w:t>
      </w:r>
    </w:p>
    <w:p>
      <w:r>
        <w:t>Propagate correlation IDs across channel gateway, conversation, AI, profile, matching, consent, opportunity, notification and commercial services.</w:t>
      </w:r>
    </w:p>
    <w:p>
      <w:pPr>
        <w:pStyle w:val="Heading1"/>
      </w:pPr>
      <w:r>
        <w:t>66. Logging and Redaction</w:t>
      </w:r>
    </w:p>
    <w:p>
      <w:r>
        <w:t>Structured logs shall not unnecessarily contain NINs, raw documents, OTPs or sensitive financial data. Redaction and classification-aware logging policies are mandatory.</w:t>
      </w:r>
    </w:p>
    <w:p>
      <w:pPr>
        <w:pStyle w:val="Heading1"/>
      </w:pPr>
      <w:r>
        <w:t>67. AI Observability</w:t>
      </w:r>
    </w:p>
    <w:p>
      <w:r>
        <w:t>Track model/provider, prompt version, schema version, latency, token/cost metrics, validation success, fallback and error rates under approved privacy/retention controls.</w:t>
      </w:r>
    </w:p>
    <w:p>
      <w:pPr>
        <w:pStyle w:val="Heading1"/>
      </w:pPr>
      <w:r>
        <w:t>68. Security Architecture</w:t>
      </w:r>
    </w:p>
    <w:p>
      <w:r>
        <w:t>Defence in depth: WAF, API gateway, strong authentication, RBAC/policy, tenant isolation, encryption, Key Vault, secure storage, network controls, audit, monitoring and threat detection.</w:t>
      </w:r>
    </w:p>
    <w:p>
      <w:pPr>
        <w:pStyle w:val="Heading1"/>
      </w:pPr>
      <w:r>
        <w:t>69. Encryption and Secrets</w:t>
      </w:r>
    </w:p>
    <w:p>
      <w:r>
        <w:t>TLS in transit; managed encryption at rest; consider application-level encryption/tokenisation for highly sensitive identifiers. Secrets and keys reside in Key Vault or equivalent, never source code or repositories.</w:t>
      </w:r>
    </w:p>
    <w:p>
      <w:pPr>
        <w:pStyle w:val="Heading1"/>
      </w:pPr>
      <w:r>
        <w:t>70. Retention and Privacy Lifecycle</w:t>
      </w:r>
    </w:p>
    <w:p>
      <w:r>
        <w:t>A retention engine evaluates data type, purpose, consent, legal hold, policy and last activity and determines RETAIN, ARCHIVE, DELETE or ANONYMISE. Identity deletion/restriction and legally required audit/commercial retention follow separate lifecycles.</w:t>
      </w:r>
    </w:p>
    <w:p>
      <w:pPr>
        <w:pStyle w:val="Heading1"/>
      </w:pPr>
      <w:r>
        <w:t>71. Country Configuration</w:t>
      </w:r>
    </w:p>
    <w:p>
      <w:r>
        <w:t>CountryConfiguration is first-class: country code, currencies, identity types, phone rules, administrative regions, institution types, consent templates, retention policy, localisation and regulatory feature flags. Uganda is a configuration, not hard-coded architecture.</w:t>
      </w:r>
    </w:p>
    <w:p>
      <w:pPr>
        <w:pStyle w:val="Heading1"/>
      </w:pPr>
      <w:r>
        <w:t>72. Localisation</w:t>
      </w:r>
    </w:p>
    <w:p>
      <w:r>
        <w:t>Language is separated from business logic. Architecture supports future English, Luganda, Kinyarwanda, Swahili and French. Approved legal/consent text versions are controlled and not freely altered by AI translation.</w:t>
      </w:r>
    </w:p>
    <w:p>
      <w:pPr>
        <w:pStyle w:val="Heading1"/>
      </w:pPr>
      <w:r>
        <w:t>73. Partner and Referral Service</w:t>
      </w:r>
    </w:p>
    <w:p>
      <w:r>
        <w:t>Partner, Campaign, Referral Link, QR Code, Source, Customer, Opportunity, Outcome and Commercial Attribution are explicit objects/relationships.</w:t>
      </w:r>
    </w:p>
    <w:p>
      <w:pPr>
        <w:pStyle w:val="Heading1"/>
      </w:pPr>
      <w:r>
        <w:t>74. Institution Configuration Sandbox</w:t>
      </w:r>
    </w:p>
    <w:p>
      <w:r>
        <w:t>Institutions can test product/appetite/routing against synthetic customers before activation. Synthetic data is clearly isolated from production customers and cannot generate billable events.</w:t>
      </w:r>
    </w:p>
    <w:p>
      <w:pPr>
        <w:pStyle w:val="Heading1"/>
      </w:pPr>
      <w:r>
        <w:t>75. Kill Switches</w:t>
      </w:r>
    </w:p>
    <w:p>
      <w:r>
        <w:t>Audited controls shall support Pause All Routing, Suspend Institution, Pause Product, Pause Mandate, disable a channel, switch AI to fallback/degraded mode and pause billing-event creation.</w:t>
      </w:r>
    </w:p>
    <w:p>
      <w:pPr>
        <w:pStyle w:val="Heading1"/>
      </w:pPr>
      <w:r>
        <w:t>76. Graceful AI Degradation</w:t>
      </w:r>
    </w:p>
    <w:p>
      <w:r>
        <w:t>AI AVAILABLE: natural-language experience. AI DEGRADED: deterministic structured questions plus reduced AI. AI UNAVAILABLE: core forms/rules/workflows remain functional. WEZA must not become unavailable solely because an LLM endpoint fails.</w:t>
      </w:r>
    </w:p>
    <w:p>
      <w:pPr>
        <w:pStyle w:val="Heading1"/>
      </w:pPr>
      <w:r>
        <w:t>77. Model Portability</w:t>
      </w:r>
    </w:p>
    <w:p>
      <w:r>
        <w:t>Business services call stable AI capabilities such as extract_financial_intent, classify_document, generate_match_explanation and answer_institution_query rather than coupling directly to a specific model provider.</w:t>
      </w:r>
    </w:p>
    <w:p>
      <w:pPr>
        <w:pStyle w:val="Heading1"/>
      </w:pPr>
      <w:r>
        <w:t>78. FinOps and Unit Economics</w:t>
      </w:r>
    </w:p>
    <w:p>
      <w:r>
        <w:t>Track cloud/AI/messaging cost per conversation, verified customer, match and Qualified Opportunity; revenue and gross contribution by institution/campaign; model/provider cost and expensive query paths.</w:t>
      </w:r>
    </w:p>
    <w:p>
      <w:pPr>
        <w:pStyle w:val="Heading1"/>
      </w:pPr>
      <w:r>
        <w:t>79. Backup and Disaster Recovery</w:t>
      </w:r>
    </w:p>
    <w:p>
      <w:r>
        <w:t>Automated database backups and point-in-time recovery; resilient/versioned object storage; Infrastructure-as-Code in version control. Define and test RPO/RTO, restore procedures and alternate-environment/region recovery according to approved continuity requirements.</w:t>
      </w:r>
    </w:p>
    <w:p>
      <w:pPr>
        <w:pStyle w:val="Heading1"/>
      </w:pPr>
      <w:r>
        <w:t>80. Environments and CI/CD</w:t>
      </w:r>
    </w:p>
    <w:p>
      <w:r>
        <w:t>At minimum LOCAL, DEVELOPMENT, TEST, UAT and PRODUCTION. Production data is not copied downward without approved de-identification. Pipeline: commit → static analysis → tests → security scan → build → container scan → test deployment → integration tests → UAT → approved production.</w:t>
      </w:r>
    </w:p>
    <w:p>
      <w:pPr>
        <w:pStyle w:val="Heading1"/>
      </w:pPr>
      <w:r>
        <w:t>81. Infrastructure as Code and Feature Flags</w:t>
      </w:r>
    </w:p>
    <w:p>
      <w:r>
        <w:t>Use Terraform or Bicep for reproducible infrastructure. High-risk/new capabilities such as Opportunity Preview, Institution Interest, Waiting Room, Match Algorithm versions and AI models use feature flags for controlled rollout.</w:t>
      </w:r>
    </w:p>
    <w:p>
      <w:pPr>
        <w:pStyle w:val="Heading1"/>
      </w:pPr>
      <w:r>
        <w:t>82. Initial Deployment Topology</w:t>
      </w:r>
    </w:p>
    <w:p>
      <w:r>
        <w:t>Recommended initial deployables: WEZA Core API; Conversation/AI Service; Background Worker; Customer/Institution Web applications; Admin application; Analytics pipeline. Extract independent services only when scale, security or ownership justifies it.</w:t>
      </w:r>
    </w:p>
    <w:p>
      <w:pPr>
        <w:pStyle w:val="Heading1"/>
      </w:pPr>
      <w:r>
        <w:t>83. Technical Non-Goals V1</w:t>
      </w:r>
    </w:p>
    <w:p>
      <w:r>
        <w:t>WEZA V1 is not a core banking system, full LOS, bank data warehouse, replacement CRM, payment switch, settlement system, deposit-taking system, credit bureau, fully autonomous underwriting engine or bank-core integration platform.</w:t>
      </w:r>
    </w:p>
    <w:p>
      <w:pPr>
        <w:pStyle w:val="Heading1"/>
      </w:pPr>
      <w:r>
        <w:t>84. Funds and Credit Decision Boundary</w:t>
      </w:r>
    </w:p>
    <w:p>
      <w:r>
        <w:t>WEZA creates and routes qualified opportunities. The financial institution performs formal KYC, underwriting, contracting, approval and disbursement through its own approved processes and rails. No LLM may autonomously approve or disburse credit in V1.</w:t>
      </w:r>
    </w:p>
    <w:p>
      <w:pPr>
        <w:pStyle w:val="Heading1"/>
      </w:pPr>
      <w:r>
        <w:t>85. Technical Acceptance Scenario</w:t>
      </w:r>
    </w:p>
    <w:p>
      <w:r>
        <w:t>A customer opens WhatsApp; the webhook creates a canonical session; Intent Engine structures a UGX 30M pharmacy-expansion need; OTP and profile complete; Rules/Match Engines identify eligible institutions; customer selects Institution B; Consent Service and Policy/Disclosure checks pass; Qualified Opportunity is created and routed; Assignment Engine alerts an officer; the institution performs its own internal credit process; it later reports Approved and Disbursed; marketplace analytics and one commercial billing event update. No bank-core database query occurs.</w:t>
      </w:r>
    </w:p>
    <w:p>
      <w:pPr>
        <w:pStyle w:val="Heading1"/>
      </w:pPr>
      <w:r>
        <w:t>86. Technical North Star</w:t>
      </w:r>
    </w:p>
    <w:p>
      <w:r>
        <w:t>WEZA's moat is not a chatbot, dashboard or a single matching algorithm. It is the permissioned Opportunity Graph built from financial demand, customer readiness/preferences, institutional products, appetite, capacity, marketplace behaviour and observed outcomes.</w:t>
      </w:r>
    </w:p>
    <w:p>
      <w:r>
        <w:t>The architecture should make that graph increasingly useful while preserving customer control, institution confidentiality, explainability, zero-core-integration simplicity and regulatory adaptability.</w:t>
      </w:r>
    </w:p>
    <w:p>
      <w:pPr>
        <w:pStyle w:val="Heading1"/>
      </w:pPr>
      <w:r>
        <w:t>87. Core Entity Relationship Summary</w:t>
      </w:r>
    </w:p>
    <w:tbl>
      <w:tblPr>
        <w:tblStyle w:val="TableGrid"/>
        <w:tblW w:type="auto" w:w="0"/>
        <w:jc w:val="center"/>
        <w:tblLook w:firstColumn="1" w:firstRow="1" w:lastColumn="0" w:lastRow="0" w:noHBand="0" w:noVBand="1" w:val="04A0"/>
      </w:tblPr>
      <w:tblGrid>
        <w:gridCol w:w="5083"/>
        <w:gridCol w:w="5083"/>
      </w:tblGrid>
      <w:tr>
        <w:tc>
          <w:tcPr>
            <w:tcW w:type="dxa" w:w="5083"/>
            <w:shd w:fill="0B1F3A"/>
          </w:tcPr>
          <w:p>
            <w:r>
              <w:rPr>
                <w:b/>
                <w:color w:val="FFFFFF"/>
                <w:sz w:val="16"/>
              </w:rPr>
              <w:t>Entity</w:t>
            </w:r>
          </w:p>
        </w:tc>
        <w:tc>
          <w:tcPr>
            <w:tcW w:type="dxa" w:w="5083"/>
            <w:shd w:fill="0B1F3A"/>
          </w:tcPr>
          <w:p>
            <w:r>
              <w:rPr>
                <w:b/>
                <w:color w:val="FFFFFF"/>
                <w:sz w:val="16"/>
              </w:rPr>
              <w:t>Relationships / Technical Role</w:t>
            </w:r>
          </w:p>
        </w:tc>
      </w:tr>
      <w:tr>
        <w:tc>
          <w:tcPr>
            <w:tcW w:type="dxa" w:w="5083"/>
          </w:tcPr>
          <w:p>
            <w:r>
              <w:rPr>
                <w:sz w:val="15"/>
              </w:rPr>
              <w:t>Customer</w:t>
            </w:r>
          </w:p>
        </w:tc>
        <w:tc>
          <w:tcPr>
            <w:tcW w:type="dxa" w:w="5083"/>
          </w:tcPr>
          <w:p>
            <w:r>
              <w:rPr>
                <w:sz w:val="15"/>
              </w:rPr>
              <w:t>Identity Vault reference; profiles; financial needs; preferences; consents.</w:t>
            </w:r>
          </w:p>
        </w:tc>
      </w:tr>
      <w:tr>
        <w:tc>
          <w:tcPr>
            <w:tcW w:type="dxa" w:w="5083"/>
            <w:shd w:fill="F7F9FB"/>
          </w:tcPr>
          <w:p>
            <w:r>
              <w:rPr>
                <w:sz w:val="15"/>
              </w:rPr>
              <w:t>Financial Need</w:t>
            </w:r>
          </w:p>
        </w:tc>
        <w:tc>
          <w:tcPr>
            <w:tcW w:type="dxa" w:w="5083"/>
            <w:shd w:fill="F7F9FB"/>
          </w:tcPr>
          <w:p>
            <w:r>
              <w:rPr>
                <w:sz w:val="15"/>
              </w:rPr>
              <w:t>Belongs to customer; generates matches/opportunities; may enter Waiting Room.</w:t>
            </w:r>
          </w:p>
        </w:tc>
      </w:tr>
      <w:tr>
        <w:tc>
          <w:tcPr>
            <w:tcW w:type="dxa" w:w="5083"/>
          </w:tcPr>
          <w:p>
            <w:r>
              <w:rPr>
                <w:sz w:val="15"/>
              </w:rPr>
              <w:t>Institution</w:t>
            </w:r>
          </w:p>
        </w:tc>
        <w:tc>
          <w:tcPr>
            <w:tcW w:type="dxa" w:w="5083"/>
          </w:tcPr>
          <w:p>
            <w:r>
              <w:rPr>
                <w:sz w:val="15"/>
              </w:rPr>
              <w:t>Tenant; owns users, products, appetite, mandates and opportunities.</w:t>
            </w:r>
          </w:p>
        </w:tc>
      </w:tr>
      <w:tr>
        <w:tc>
          <w:tcPr>
            <w:tcW w:type="dxa" w:w="5083"/>
            <w:shd w:fill="F7F9FB"/>
          </w:tcPr>
          <w:p>
            <w:r>
              <w:rPr>
                <w:sz w:val="15"/>
              </w:rPr>
              <w:t>Product</w:t>
            </w:r>
          </w:p>
        </w:tc>
        <w:tc>
          <w:tcPr>
            <w:tcW w:type="dxa" w:w="5083"/>
            <w:shd w:fill="F7F9FB"/>
          </w:tcPr>
          <w:p>
            <w:r>
              <w:rPr>
                <w:sz w:val="15"/>
              </w:rPr>
              <w:t>Institution offering; versioned eligibility.</w:t>
            </w:r>
          </w:p>
        </w:tc>
      </w:tr>
      <w:tr>
        <w:tc>
          <w:tcPr>
            <w:tcW w:type="dxa" w:w="5083"/>
          </w:tcPr>
          <w:p>
            <w:r>
              <w:rPr>
                <w:sz w:val="15"/>
              </w:rPr>
              <w:t>Appetite/Mandate</w:t>
            </w:r>
          </w:p>
        </w:tc>
        <w:tc>
          <w:tcPr>
            <w:tcW w:type="dxa" w:w="5083"/>
          </w:tcPr>
          <w:p>
            <w:r>
              <w:rPr>
                <w:sz w:val="15"/>
              </w:rPr>
              <w:t>Current target demand/capacity; versioned/effective-dated.</w:t>
            </w:r>
          </w:p>
        </w:tc>
      </w:tr>
      <w:tr>
        <w:tc>
          <w:tcPr>
            <w:tcW w:type="dxa" w:w="5083"/>
            <w:shd w:fill="F7F9FB"/>
          </w:tcPr>
          <w:p>
            <w:r>
              <w:rPr>
                <w:sz w:val="15"/>
              </w:rPr>
              <w:t>Match</w:t>
            </w:r>
          </w:p>
        </w:tc>
        <w:tc>
          <w:tcPr>
            <w:tcW w:type="dxa" w:w="5083"/>
            <w:shd w:fill="F7F9FB"/>
          </w:tcPr>
          <w:p>
            <w:r>
              <w:rPr>
                <w:sz w:val="15"/>
              </w:rPr>
              <w:t>Need + institution + product + appetite; multidimensional scores/reasons.</w:t>
            </w:r>
          </w:p>
        </w:tc>
      </w:tr>
      <w:tr>
        <w:tc>
          <w:tcPr>
            <w:tcW w:type="dxa" w:w="5083"/>
          </w:tcPr>
          <w:p>
            <w:r>
              <w:rPr>
                <w:sz w:val="15"/>
              </w:rPr>
              <w:t>Consent</w:t>
            </w:r>
          </w:p>
        </w:tc>
        <w:tc>
          <w:tcPr>
            <w:tcW w:type="dxa" w:w="5083"/>
          </w:tcPr>
          <w:p>
            <w:r>
              <w:rPr>
                <w:sz w:val="15"/>
              </w:rPr>
              <w:t>Customer + institution + purpose + data scope + version.</w:t>
            </w:r>
          </w:p>
        </w:tc>
      </w:tr>
      <w:tr>
        <w:tc>
          <w:tcPr>
            <w:tcW w:type="dxa" w:w="5083"/>
            <w:shd w:fill="F7F9FB"/>
          </w:tcPr>
          <w:p>
            <w:r>
              <w:rPr>
                <w:sz w:val="15"/>
              </w:rPr>
              <w:t>Opportunity</w:t>
            </w:r>
          </w:p>
        </w:tc>
        <w:tc>
          <w:tcPr>
            <w:tcW w:type="dxa" w:w="5083"/>
            <w:shd w:fill="F7F9FB"/>
          </w:tcPr>
          <w:p>
            <w:r>
              <w:rPr>
                <w:sz w:val="15"/>
              </w:rPr>
              <w:t>Consent-bound routed marketplace relationship.</w:t>
            </w:r>
          </w:p>
        </w:tc>
      </w:tr>
      <w:tr>
        <w:tc>
          <w:tcPr>
            <w:tcW w:type="dxa" w:w="5083"/>
          </w:tcPr>
          <w:p>
            <w:r>
              <w:rPr>
                <w:sz w:val="15"/>
              </w:rPr>
              <w:t>Assignment</w:t>
            </w:r>
          </w:p>
        </w:tc>
        <w:tc>
          <w:tcPr>
            <w:tcW w:type="dxa" w:w="5083"/>
          </w:tcPr>
          <w:p>
            <w:r>
              <w:rPr>
                <w:sz w:val="15"/>
              </w:rPr>
              <w:t>Opportunity ownership and service targets.</w:t>
            </w:r>
          </w:p>
        </w:tc>
      </w:tr>
      <w:tr>
        <w:tc>
          <w:tcPr>
            <w:tcW w:type="dxa" w:w="5083"/>
            <w:shd w:fill="F7F9FB"/>
          </w:tcPr>
          <w:p>
            <w:r>
              <w:rPr>
                <w:sz w:val="15"/>
              </w:rPr>
              <w:t>Outcome</w:t>
            </w:r>
          </w:p>
        </w:tc>
        <w:tc>
          <w:tcPr>
            <w:tcW w:type="dxa" w:w="5083"/>
            <w:shd w:fill="F7F9FB"/>
          </w:tcPr>
          <w:p>
            <w:r>
              <w:rPr>
                <w:sz w:val="15"/>
              </w:rPr>
              <w:t>Institution-reported marketplace result.</w:t>
            </w:r>
          </w:p>
        </w:tc>
      </w:tr>
      <w:tr>
        <w:tc>
          <w:tcPr>
            <w:tcW w:type="dxa" w:w="5083"/>
          </w:tcPr>
          <w:p>
            <w:r>
              <w:rPr>
                <w:sz w:val="15"/>
              </w:rPr>
              <w:t>Commercial Event</w:t>
            </w:r>
          </w:p>
        </w:tc>
        <w:tc>
          <w:tcPr>
            <w:tcW w:type="dxa" w:w="5083"/>
          </w:tcPr>
          <w:p>
            <w:r>
              <w:rPr>
                <w:sz w:val="15"/>
              </w:rPr>
              <w:t>Contract-derived subscription/opportunity billing event.</w:t>
            </w:r>
          </w:p>
        </w:tc>
      </w:tr>
      <w:tr>
        <w:tc>
          <w:tcPr>
            <w:tcW w:type="dxa" w:w="5083"/>
            <w:shd w:fill="F7F9FB"/>
          </w:tcPr>
          <w:p>
            <w:r>
              <w:rPr>
                <w:sz w:val="15"/>
              </w:rPr>
              <w:t>Decision Ledger</w:t>
            </w:r>
          </w:p>
        </w:tc>
        <w:tc>
          <w:tcPr>
            <w:tcW w:type="dxa" w:w="5083"/>
            <w:shd w:fill="F7F9FB"/>
          </w:tcPr>
          <w:p>
            <w:r>
              <w:rPr>
                <w:sz w:val="15"/>
              </w:rPr>
              <w:t>Reconstructable material system determinations.</w:t>
            </w:r>
          </w:p>
        </w:tc>
      </w:tr>
      <w:tr>
        <w:tc>
          <w:tcPr>
            <w:tcW w:type="dxa" w:w="5083"/>
          </w:tcPr>
          <w:p>
            <w:r>
              <w:rPr>
                <w:sz w:val="15"/>
              </w:rPr>
              <w:t>Audit Event</w:t>
            </w:r>
          </w:p>
        </w:tc>
        <w:tc>
          <w:tcPr>
            <w:tcW w:type="dxa" w:w="5083"/>
          </w:tcPr>
          <w:p>
            <w:r>
              <w:rPr>
                <w:sz w:val="15"/>
              </w:rPr>
              <w:t>Append-oriented security/governance history.</w:t>
            </w:r>
          </w:p>
        </w:tc>
      </w:tr>
    </w:tbl>
    <w:p/>
    <w:p>
      <w:pPr>
        <w:pStyle w:val="Heading1"/>
      </w:pPr>
      <w:r>
        <w:t>88. Suggested Initial Repository Structure</w:t>
      </w:r>
    </w:p>
    <w:p>
      <w:r>
        <w:t>weza/</w:t>
        <w:br/>
        <w:t xml:space="preserve">  apps/customer-web</w:t>
        <w:br/>
        <w:t xml:space="preserve">  apps/institution-web</w:t>
        <w:br/>
        <w:t xml:space="preserve">  apps/admin-web</w:t>
        <w:br/>
        <w:t xml:space="preserve">  services/core-api</w:t>
        <w:br/>
        <w:t xml:space="preserve">  services/ai-service</w:t>
        <w:br/>
        <w:t xml:space="preserve">  services/worker</w:t>
        <w:br/>
        <w:t xml:space="preserve">  domains/identity</w:t>
        <w:br/>
        <w:t xml:space="preserve">  domains/customer</w:t>
        <w:br/>
        <w:t xml:space="preserve">  domains/institution</w:t>
        <w:br/>
        <w:t xml:space="preserve">  domains/product</w:t>
        <w:br/>
        <w:t xml:space="preserve">  domains/appetite</w:t>
        <w:br/>
        <w:t xml:space="preserve">  domains/matching</w:t>
        <w:br/>
        <w:t xml:space="preserve">  domains/consent</w:t>
        <w:br/>
        <w:t xml:space="preserve">  domains/opportunity</w:t>
        <w:br/>
        <w:t xml:space="preserve">  domains/notification</w:t>
        <w:br/>
        <w:t xml:space="preserve">  domains/commercial</w:t>
        <w:br/>
        <w:t xml:space="preserve">  domains/integrity</w:t>
        <w:br/>
        <w:t xml:space="preserve">  infrastructure/</w:t>
        <w:br/>
        <w:t xml:space="preserve">  schemas/</w:t>
        <w:br/>
        <w:t xml:space="preserve">  tests/</w:t>
      </w:r>
    </w:p>
    <w:p>
      <w:pPr>
        <w:pStyle w:val="Heading1"/>
      </w:pPr>
      <w:r>
        <w:t>89. Final Architecture Statement</w:t>
      </w:r>
    </w:p>
    <w:tbl>
      <w:tblPr>
        <w:tblW w:type="auto" w:w="0"/>
        <w:tblLook w:firstColumn="1" w:firstRow="1" w:lastColumn="0" w:lastRow="0" w:noHBand="0" w:noVBand="1" w:val="04A0"/>
      </w:tblPr>
      <w:tblGrid>
        <w:gridCol w:w="10166"/>
      </w:tblGrid>
      <w:tr>
        <w:tc>
          <w:tcPr>
            <w:tcW w:type="dxa" w:w="10166"/>
            <w:shd w:fill="EAF3FA"/>
          </w:tcPr>
          <w:p>
            <w:r>
              <w:rPr>
                <w:b/>
                <w:color w:val="0B1F3A"/>
              </w:rPr>
              <w:t>The two sides exchange marketplace instructions and consented opportunities, not databases.</w:t>
            </w:r>
          </w:p>
        </w:tc>
      </w:tr>
    </w:tbl>
    <w:p/>
    <w:p>
      <w:r>
        <w:t>The technical moat is WEZA's ability to understand financial demand, understand institutional appetite, enforce trust and permission boundaries, continuously clear the market between them, and learn from permissioned marketplace outcomes.</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8"/>
        <w:sz w:val="14"/>
      </w:rPr>
      <w:t>WEZA Technical Specification Document | Otic Technologies Limited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F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