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Noto Serif SC" w:cs="Times New Roman"/>
          <w:sz w:val="32"/>
        </w:rPr>
        <w:t>概率论导论</w:t>
      </w:r>
    </w:p>
    <w:p>
      <w:pPr>
        <w:spacing w:line="240" w:lineRule="auto" w:before="0" w:after="0"/>
      </w:pPr>
      <w:r>
        <w:rPr>
          <w:rFonts w:ascii="Times New Roman" w:hAnsi="Times New Roman" w:eastAsia="Noto Serif SC" w:cs="Times New Roman"/>
          <w:b w:val="0"/>
          <w:i w:val="0"/>
          <w:sz w:val="24"/>
          <w:u w:val="none"/>
        </w:rPr>
        <w:t>概率论导论</w:t>
      </w:r>
    </w:p>
    <w:p>
      <w:pPr>
        <w:pStyle w:val="Heading2"/>
        <w:spacing w:line="240" w:lineRule="auto" w:before="0" w:after="0"/>
      </w:pPr>
      <w:r>
        <w:rPr>
          <w:rFonts w:ascii="Times New Roman" w:hAnsi="Times New Roman" w:eastAsia="Noto Serif SC" w:cs="Times New Roman"/>
          <w:b w:val="0"/>
          <w:i w:val="0"/>
          <w:sz w:val="40"/>
          <w:u w:val="none"/>
        </w:rPr>
        <w:t>样本空间（sample space）描述实验全部可能结果。</w:t>
      </w:r>
    </w:p>
    <w:p>
      <w:pPr>
        <w:pStyle w:val="ListBullet"/>
        <w:spacing w:line="240" w:lineRule="auto" w:before="0" w:after="0"/>
      </w:pPr>
      <w:r>
        <w:rPr>
          <w:rFonts w:ascii="Times New Roman" w:hAnsi="Times New Roman" w:eastAsia="Noto Serif SC" w:cs="Times New Roman"/>
          <w:b w:val="0"/>
          <w:i w:val="0"/>
          <w:sz w:val="36"/>
          <w:u w:val="none"/>
        </w:rPr>
        <w:t>事件（event）是样本空间的子集。</w:t>
      </w:r>
    </w:p>
    <w:p>
      <w:pPr>
        <w:pStyle w:val="ListBullet"/>
        <w:spacing w:line="240" w:lineRule="auto" w:before="0" w:after="0"/>
      </w:pPr>
      <w:r>
        <w:rPr>
          <w:rFonts w:ascii="Times New Roman" w:hAnsi="Times New Roman" w:eastAsia="Noto Serif SC" w:cs="Times New Roman"/>
          <w:b w:val="0"/>
          <w:i w:val="0"/>
          <w:sz w:val="36"/>
          <w:u w:val="none"/>
        </w:rPr>
        <w:t>概率函数需要满足非负性、规范性与可列可加性。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1-0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Noto Serif SC" w:cs="Times New Roman"/>
          <w:sz w:val="24"/>
        </w:rPr>
        <w:t>图 1：概率树示意图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Noto Serif SC" w:cs="Times New Roman"/>
          <w:sz w:val="32"/>
        </w:rPr>
        <w:t>离散型随机变量</w:t>
      </w:r>
    </w:p>
    <w:p>
      <w:pPr>
        <w:spacing w:line="240" w:lineRule="auto" w:before="0" w:after="0"/>
      </w:pPr>
      <w:r>
        <w:rPr>
          <w:rFonts w:ascii="Times New Roman" w:hAnsi="Times New Roman" w:eastAsia="Noto Serif SC" w:cs="Times New Roman"/>
          <w:b/>
          <w:i w:val="0"/>
          <w:sz w:val="56"/>
          <w:u w:val="none"/>
        </w:rPr>
        <w:t>离散型随机变量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t>变量</w:t>
            </w:r>
          </w:p>
        </w:tc>
        <w:tc>
          <w:tcPr>
            <w:tcW w:type="dxa" w:w="3010"/>
          </w:tcPr>
          <w:p>
            <w:r>
              <w:t>取值</w:t>
            </w:r>
          </w:p>
        </w:tc>
        <w:tc>
          <w:tcPr>
            <w:tcW w:type="dxa" w:w="3010"/>
          </w:tcPr>
          <w:p>
            <w:r>
              <w:t>概率</w:t>
            </w:r>
          </w:p>
        </w:tc>
      </w:tr>
      <w:tr>
        <w:tc>
          <w:tcPr>
            <w:tcW w:type="dxa" w:w="3010"/>
          </w:tcPr>
          <w:p>
            <w:r>
              <w:t>X</w:t>
            </w:r>
          </w:p>
        </w:tc>
        <w:tc>
          <w:tcPr>
            <w:tcW w:type="dxa" w:w="3010"/>
          </w:tcPr>
          <w:p>
            <w:r>
              <w:t>0</w:t>
            </w:r>
          </w:p>
        </w:tc>
        <w:tc>
          <w:tcPr>
            <w:tcW w:type="dxa" w:w="3010"/>
          </w:tcPr>
          <w:p>
            <w:r>
              <w:t>0.4</w:t>
            </w:r>
          </w:p>
        </w:tc>
      </w:tr>
      <w:tr>
        <w:tc>
          <w:tcPr>
            <w:tcW w:type="dxa" w:w="3010"/>
          </w:tcPr>
          <w:p>
            <w:r>
              <w:t>X</w:t>
            </w:r>
          </w:p>
        </w:tc>
        <w:tc>
          <w:tcPr>
            <w:tcW w:type="dxa" w:w="3010"/>
          </w:tcPr>
          <w:p>
            <w:r>
              <w:t>1</w:t>
            </w:r>
          </w:p>
        </w:tc>
        <w:tc>
          <w:tcPr>
            <w:tcW w:type="dxa" w:w="3010"/>
          </w:tcPr>
          <w:p>
            <w:r>
              <w:t>0.6</w:t>
            </w:r>
          </w:p>
        </w:tc>
      </w:tr>
    </w:tbl>
    <w:p>
      <w:pPr>
        <w:pStyle w:val="Caption"/>
        <w:jc w:val="center"/>
      </w:pPr>
      <w:r>
        <w:rPr>
          <w:rFonts w:ascii="Times New Roman" w:hAnsi="Times New Roman" w:eastAsia="Noto Serif SC" w:cs="Times New Roman"/>
          <w:sz w:val="24"/>
        </w:rPr>
        <w:t>表 1：离散型随机变量分布示例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70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-005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70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Noto Serif SC" w:cs="Times New Roman"/>
          <w:sz w:val="24"/>
        </w:rPr>
        <w:t>[图形降级] 事件 A -&gt; 事件 B</w:t>
      </w:r>
    </w:p>
    <w:p>
      <w:r>
        <w:rPr>
          <w:rFonts w:ascii="Times New Roman" w:hAnsi="Times New Roman" w:eastAsia="Noto Serif SC" w:cs="Times New Roman"/>
          <w:sz w:val="20"/>
        </w:rPr>
        <w:t>SVG asset: samples\expected_outputs\demo_course\assets\slide_002\s002-005-diagram.svg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