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Explainable Artificial Intelligence and Pharmacogenomics for Opioid and</w:t>
      </w:r>
      <w:r>
        <w:rPr>
          <w:b/>
          <w:bCs/>
        </w:rPr>
        <w:t xml:space="preserve"> </w:t>
      </w:r>
      <w:r>
        <w:rPr>
          <w:b/>
          <w:bCs/>
        </w:rPr>
        <w:t xml:space="preserve">Polypharmacy Risk Prediction: A Causal Modeling Approach using All-Payer</w:t>
      </w:r>
      <w:r>
        <w:rPr>
          <w:b/>
          <w:bCs/>
        </w:rPr>
        <w:t xml:space="preserve"> </w:t>
      </w:r>
      <w:r>
        <w:rPr>
          <w:b/>
          <w:bCs/>
        </w:rPr>
        <w:t xml:space="preserve">Claims Data</w:t>
      </w:r>
    </w:p>
    <w:p>
      <w:pPr>
        <w:pStyle w:val="Author"/>
      </w:pPr>
      <w:r>
        <w:t xml:space="preserve">R. Jerome Dixon, B.S., M.S.</w:t>
      </w:r>
      <w:r>
        <w:br/>
      </w:r>
      <w:r>
        <w:t xml:space="preserve">Ph.D. Student, Integrative Life Sciences — Personalized Medicine Track</w:t>
      </w:r>
      <w:r>
        <w:br/>
      </w:r>
      <w:r>
        <w:t xml:space="preserve">School of Life Sciences and Sustainability, Virginia Commonwealth University</w:t>
      </w:r>
      <w:r>
        <w:br/>
      </w:r>
      <w:r>
        <w:br/>
      </w:r>
      <w:r>
        <w:rPr>
          <w:i/>
          <w:iCs/>
        </w:rPr>
        <w:t xml:space="preserve">Sponsor:</w:t>
      </w:r>
      <w:r>
        <w:t xml:space="preserve"> </w:t>
      </w:r>
      <w:r>
        <w:t xml:space="preserve">Elvin T. Price, Pharm.D., Ph.D., FAHA</w:t>
      </w:r>
      <w:r>
        <w:br/>
      </w:r>
      <w:r>
        <w:t xml:space="preserve">Victor A. Yanchick Associate Professor; Director, Geriatric Pharmacotherapy Program</w:t>
      </w:r>
      <w:r>
        <w:br/>
      </w:r>
      <w:r>
        <w:t xml:space="preserve">Department of Pharmacotherapy and Outcomes Science, VCU School of Pharmacy</w:t>
      </w:r>
    </w:p>
    <w:p>
      <w:pPr>
        <w:pStyle w:val="Date"/>
      </w:pPr>
      <w:r>
        <w:t xml:space="preserve">2026-04-15</w:t>
      </w:r>
    </w:p>
    <w:p>
      <w:r>
        <w:br w:type="page"/>
      </w:r>
    </w:p>
    <w:bookmarkStart w:id="20" w:name="project-summary-abstract"/>
    <w:p>
      <w:pPr>
        <w:pStyle w:val="Heading1"/>
      </w:pPr>
      <w:r>
        <w:t xml:space="preserve">Project Summary / Abstract</w:t>
      </w:r>
    </w:p>
    <w:p>
      <w:pPr>
        <w:pStyle w:val="FirstParagraph"/>
      </w:pPr>
      <w:r>
        <w:t xml:space="preserve">This project addresses the</w:t>
      </w:r>
      <w:r>
        <w:t xml:space="preserve"> </w:t>
      </w:r>
      <w:r>
        <w:rPr>
          <w:i/>
          <w:iCs/>
        </w:rPr>
        <w:t xml:space="preserve">clinical decision gap</w:t>
      </w:r>
      <w:r>
        <w:t xml:space="preserve"> </w:t>
      </w:r>
      <w:r>
        <w:t xml:space="preserve">between high-performance</w:t>
      </w:r>
      <w:r>
        <w:t xml:space="preserve"> </w:t>
      </w:r>
      <w:r>
        <w:t xml:space="preserve">predictive models and actionable point-of-care tools for opioid and polypharmacy</w:t>
      </w:r>
      <w:r>
        <w:t xml:space="preserve"> </w:t>
      </w:r>
      <w:r>
        <w:t xml:space="preserve">risk. Utilizing the Virginia All-Payer Claims Database (APCD)—covering 6.9 million</w:t>
      </w:r>
      <w:r>
        <w:t xml:space="preserve"> </w:t>
      </w:r>
      <w:r>
        <w:t xml:space="preserve">unique patients—we implement a partition-first architecture achieving a 15.1×</w:t>
      </w:r>
      <w:r>
        <w:t xml:space="preserve"> </w:t>
      </w:r>
      <w:r>
        <w:t xml:space="preserve">throughput improvement. We apply a novel Consensus-Causal Filter (SHAP ∩ Formal</w:t>
      </w:r>
      <w:r>
        <w:t xml:space="preserve"> </w:t>
      </w:r>
      <w:r>
        <w:t xml:space="preserve">Feature Attribution; FFA) to identify modifiable drivers of adverse drug events</w:t>
      </w:r>
      <w:r>
        <w:t xml:space="preserve"> </w:t>
      </w:r>
      <w:r>
        <w:t xml:space="preserve">(ADEs). The project culminates in a privacy-first, serverless PGx Risk Dashboard</w:t>
      </w:r>
      <w:r>
        <w:t xml:space="preserve"> </w:t>
      </w:r>
      <w:r>
        <w:t xml:space="preserve">providing real-time risk scores and counterfactual</w:t>
      </w:r>
      <w:r>
        <w:t xml:space="preserve"> </w:t>
      </w:r>
      <w:r>
        <w:t xml:space="preserve">“What-If”</w:t>
      </w:r>
      <w:r>
        <w:t xml:space="preserve"> </w:t>
      </w:r>
      <w:r>
        <w:t xml:space="preserve">analysis.</w:t>
      </w:r>
    </w:p>
    <w:p>
      <w:pPr>
        <w:pStyle w:val="BodyText"/>
      </w:pPr>
      <w:r>
        <w:rPr>
          <w:b/>
          <w:bCs/>
        </w:rPr>
        <w:t xml:space="preserve">Project Narrative:</w:t>
      </w:r>
      <w:r>
        <w:t xml:space="preserve"> </w:t>
      </w:r>
      <w:r>
        <w:t xml:space="preserve">This research moves beyond technically accurate models to</w:t>
      </w:r>
      <w:r>
        <w:t xml:space="preserve"> </w:t>
      </w:r>
      <w:r>
        <w:t xml:space="preserve">provide user-centric explainability for vulnerable populations. By recovering</w:t>
      </w:r>
      <w:r>
        <w:t xml:space="preserve"> </w:t>
      </w:r>
      <w:r>
        <w:t xml:space="preserve">pharmacogenomic (PGx) signals from administrative claims, we provide a scalable</w:t>
      </w:r>
      <w:r>
        <w:t xml:space="preserve"> </w:t>
      </w:r>
      <w:r>
        <w:t xml:space="preserve">framework to reduce preventable emergency room visits associated with polypharmacy</w:t>
      </w:r>
      <w:r>
        <w:t xml:space="preserve"> </w:t>
      </w:r>
      <w:r>
        <w:t xml:space="preserve">and the opioid epidemic.</w:t>
      </w:r>
    </w:p>
    <w:p>
      <w:r>
        <w:br w:type="page"/>
      </w:r>
    </w:p>
    <w:bookmarkEnd w:id="20"/>
    <w:bookmarkStart w:id="21" w:name="specific-aims"/>
    <w:p>
      <w:pPr>
        <w:pStyle w:val="Heading1"/>
      </w:pPr>
      <w:r>
        <w:t xml:space="preserve">Specific Aims</w:t>
      </w:r>
    </w:p>
    <w:p>
      <w:pPr>
        <w:pStyle w:val="FirstParagraph"/>
      </w:pPr>
      <w:r>
        <w:rPr>
          <w:b/>
          <w:bCs/>
        </w:rPr>
        <w:t xml:space="preserve">Overall Objective:</w:t>
      </w:r>
      <w:r>
        <w:t xml:space="preserve"> </w:t>
      </w:r>
      <w:r>
        <w:t xml:space="preserve">Apply a standardized CRISP-DM pipeline and the Clinical</w:t>
      </w:r>
      <w:r>
        <w:t xml:space="preserve"> </w:t>
      </w:r>
      <w:r>
        <w:t xml:space="preserve">OODA Loop (Observe–Orient–Decide–Act) framework to develop and evaluate a</w:t>
      </w:r>
      <w:r>
        <w:t xml:space="preserve"> </w:t>
      </w:r>
      <w:r>
        <w:t xml:space="preserve">“causal calculator”</w:t>
      </w:r>
      <w:r>
        <w:t xml:space="preserve"> </w:t>
      </w:r>
      <w:r>
        <w:t xml:space="preserve">for opioid and polypharmacy risk prediction from All-Payer</w:t>
      </w:r>
      <w:r>
        <w:t xml:space="preserve"> </w:t>
      </w:r>
      <w:r>
        <w:t xml:space="preserve">Claims Data.</w:t>
      </w:r>
    </w:p>
    <w:p>
      <w:pPr>
        <w:pStyle w:val="BodyText"/>
      </w:pPr>
      <w:r>
        <w:rPr>
          <w:b/>
          <w:bCs/>
        </w:rPr>
        <w:t xml:space="preserve">Long-Term Goal:</w:t>
      </w:r>
      <w:r>
        <w:t xml:space="preserve"> </w:t>
      </w:r>
      <w:r>
        <w:t xml:space="preserve">Produce a replicable, causally grounded, and clinically</w:t>
      </w:r>
      <w:r>
        <w:t xml:space="preserve"> </w:t>
      </w:r>
      <w:r>
        <w:t xml:space="preserve">actionable pipeline from raw claims data to bedside pharmacogenomic decision</w:t>
      </w:r>
      <w:r>
        <w:t xml:space="preserve"> </w:t>
      </w:r>
      <w:r>
        <w:t xml:space="preserve">support, suitable for adoption by community pharmacies and Safety Net hospitals.</w:t>
      </w:r>
      <w:r>
        <w:t xml:space="preserve"> </w:t>
      </w:r>
      <w:r>
        <w:t xml:space="preserve">The serverless architecture is designed to accept EHR-derived inputs as an optional</w:t>
      </w:r>
      <w:r>
        <w:t xml:space="preserve"> </w:t>
      </w:r>
      <w:r>
        <w:t xml:space="preserve">future extension, though claims data alone are sufficient for full functionality.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Aim 1 (RQ1) — Identify Causal Drivers of Opioid-Related Emergency Department</w:t>
      </w:r>
      <w:r>
        <w:rPr>
          <w:b/>
          <w:bCs/>
        </w:rPr>
        <w:t xml:space="preserve"> </w:t>
      </w:r>
      <w:r>
        <w:rPr>
          <w:b/>
          <w:bCs/>
        </w:rPr>
        <w:t xml:space="preserve">Visits.</w:t>
      </w:r>
      <w:r>
        <w:t xml:space="preserve"> </w:t>
      </w:r>
      <w:r>
        <w:t xml:space="preserve">Pilot ensemble models (CatBoost/XGBoost/XGBoost-RF) have been trained</w:t>
      </w:r>
      <w:r>
        <w:t xml:space="preserve"> </w:t>
      </w:r>
      <w:r>
        <w:t xml:space="preserve">across seven age bands (13–114), achieving AUROC ≥ 0.95 and PR-AUC ≥ 0.84 on</w:t>
      </w:r>
      <w:r>
        <w:t xml:space="preserve"> </w:t>
      </w:r>
      <w:r>
        <w:t xml:space="preserve">2016–2018 cross-validation sets. The Consensus-Causal Filter (SHAP ∩ FFA) has</w:t>
      </w:r>
      <w:r>
        <w:t xml:space="preserve"> </w:t>
      </w:r>
      <w:r>
        <w:t xml:space="preserve">isolated modifiable causal features from correlated documentation artifacts.</w:t>
      </w:r>
      <w:r>
        <w:t xml:space="preserve"> </w:t>
      </w:r>
      <w:r>
        <w:t xml:space="preserve">Pilot DTW clustering has already identified two trajectory archetypes —</w:t>
      </w:r>
      <w:r>
        <w:t xml:space="preserve"> </w:t>
      </w:r>
      <w:r>
        <w:rPr>
          <w:i/>
          <w:iCs/>
        </w:rPr>
        <w:t xml:space="preserve">Rapid-Onset</w:t>
      </w:r>
      <w:r>
        <w:t xml:space="preserve"> </w:t>
      </w:r>
      <w:r>
        <w:t xml:space="preserve">(4.2-month escalation window) and</w:t>
      </w:r>
      <w:r>
        <w:t xml:space="preserve"> </w:t>
      </w:r>
      <w:r>
        <w:rPr>
          <w:i/>
          <w:iCs/>
        </w:rPr>
        <w:t xml:space="preserve">Chronic-Escalation</w:t>
      </w:r>
      <w:r>
        <w:t xml:space="preserve"> </w:t>
      </w:r>
      <w:r>
        <w:t xml:space="preserve">(22.1-month window). The deliverable is prospective validation of all models</w:t>
      </w:r>
      <w:r>
        <w:t xml:space="preserve"> </w:t>
      </w:r>
      <w:r>
        <w:t xml:space="preserve">and archetypes against the strict 2019 holdout to confirm generalizability</w:t>
      </w:r>
      <w:r>
        <w:t xml:space="preserve"> </w:t>
      </w:r>
      <w:r>
        <w:t xml:space="preserve">and guide the timing of clinical interventions.</w:t>
      </w:r>
    </w:p>
    <w:p>
      <w:pPr>
        <w:pStyle w:val="BodyText"/>
      </w:pPr>
      <w:r>
        <w:rPr>
          <w:i/>
          <w:iCs/>
        </w:rPr>
        <w:t xml:space="preserve">Preliminary Results:</w:t>
      </w:r>
      <w:r>
        <w:t xml:space="preserve"> </w:t>
      </w:r>
      <w:r>
        <w:t xml:space="preserve">AUROC ≥ 0.95 and PR-AUC ≥ 0.84 across all seven age</w:t>
      </w:r>
      <w:r>
        <w:t xml:space="preserve"> </w:t>
      </w:r>
      <w:r>
        <w:t xml:space="preserve">bands on internal cross-validation; DTW archetypes reproduced across three</w:t>
      </w:r>
      <w:r>
        <w:t xml:space="preserve"> </w:t>
      </w:r>
      <w:r>
        <w:t xml:space="preserve">independent cohort splits.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Prospective 2019 holdout validation</w:t>
      </w:r>
      <w:r>
        <w:t xml:space="preserve"> </w:t>
      </w:r>
      <w:r>
        <w:t xml:space="preserve">and archetype concordance confirmation.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Aim 2 (RQ2) — Develop a</w:t>
      </w:r>
      <w:r>
        <w:rPr>
          <w:b/>
          <w:bCs/>
        </w:rPr>
        <w:t xml:space="preserve"> </w:t>
      </w:r>
      <w:r>
        <w:rPr>
          <w:b/>
          <w:bCs/>
        </w:rPr>
        <w:t xml:space="preserve">“Causal Calculator”</w:t>
      </w:r>
      <w:r>
        <w:rPr>
          <w:b/>
          <w:bCs/>
        </w:rPr>
        <w:t xml:space="preserve"> </w:t>
      </w:r>
      <w:r>
        <w:rPr>
          <w:b/>
          <w:bCs/>
        </w:rPr>
        <w:t xml:space="preserve">for Polypharmacy Interaction</w:t>
      </w:r>
      <w:r>
        <w:rPr>
          <w:b/>
          <w:bCs/>
        </w:rPr>
        <w:t xml:space="preserve"> </w:t>
      </w:r>
      <w:r>
        <w:rPr>
          <w:b/>
          <w:bCs/>
        </w:rPr>
        <w:t xml:space="preserve">Risk.</w:t>
      </w:r>
      <w:r>
        <w:t xml:space="preserve"> </w:t>
      </w:r>
      <w:r>
        <w:t xml:space="preserve">FFA multi-feature interaction testing has already identified 115</w:t>
      </w:r>
      <w:r>
        <w:t xml:space="preserve"> </w:t>
      </w:r>
      <w:r>
        <w:t xml:space="preserve">synergistic drug-drug interactions in geriatric populations, including</w:t>
      </w:r>
      <w:r>
        <w:t xml:space="preserve"> </w:t>
      </w:r>
      <w:r>
        <w:t xml:space="preserve">Acetaminophen + Levofloxacin (IE = 16.3) and Levofloxacin + Lorazepam</w:t>
      </w:r>
      <w:r>
        <w:t xml:space="preserve"> </w:t>
      </w:r>
      <w:r>
        <w:t xml:space="preserve">(IE = 11.9), invisible to standard pairwise DDI databases. Intervention Rate</w:t>
      </w:r>
      <w:r>
        <w:t xml:space="preserve"> </w:t>
      </w:r>
      <w:r>
        <w:t xml:space="preserve">(IR) scores have ranked deprescribing priorities (simvastatin IR 7.0×10⁻⁴,</w:t>
      </w:r>
      <w:r>
        <w:t xml:space="preserve"> </w:t>
      </w:r>
      <w:r>
        <w:t xml:space="preserve">furosemide IR 2.0×10⁻⁴, alprazolam IR 1.0×10⁻⁴). Z-code monitoring analysis</w:t>
      </w:r>
      <w:r>
        <w:t xml:space="preserve"> </w:t>
      </w:r>
      <w:r>
        <w:t xml:space="preserve">has identified a U-shaped effect distinguishing protectively monitored (Q2;</w:t>
      </w:r>
      <w:r>
        <w:t xml:space="preserve"> </w:t>
      </w:r>
      <w:r>
        <w:t xml:space="preserve">OR = 0.25) from fragmented-care (Q4; OR ≈ 0.94) polypharmacy phenotypes.</w:t>
      </w:r>
      <w:r>
        <w:t xml:space="preserve"> </w:t>
      </w:r>
      <w:r>
        <w:t xml:space="preserve">The deliverable is prospective holdout validation of IR rankings and</w:t>
      </w:r>
      <w:r>
        <w:t xml:space="preserve"> </w:t>
      </w:r>
      <w:r>
        <w:t xml:space="preserve">peer-reviewed publication of the causal calculator framework.</w:t>
      </w:r>
    </w:p>
    <w:p>
      <w:pPr>
        <w:pStyle w:val="BodyText"/>
      </w:pPr>
      <w:r>
        <w:rPr>
          <w:i/>
          <w:iCs/>
        </w:rPr>
        <w:t xml:space="preserve">Preliminary Results:</w:t>
      </w:r>
      <w:r>
        <w:t xml:space="preserve"> </w:t>
      </w:r>
      <w:r>
        <w:t xml:space="preserve">115 synergistic pairs and 5,021 high-risk triplets</w:t>
      </w:r>
      <w:r>
        <w:t xml:space="preserve"> </w:t>
      </w:r>
      <w:r>
        <w:t xml:space="preserve">identified; IR-ranked deprescribing targets confirmed across three age bands.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Prospective validation and dissemination.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Aim 3 — Translate Causal Rules to Privacy-First Clinical Decision Support.</w:t>
      </w:r>
      <w:r>
        <w:t xml:space="preserve"> </w:t>
      </w:r>
      <w:r>
        <w:t xml:space="preserve">The serverless PGx Risk Dashboard has been deployed on AWS Lambda, bundling</w:t>
      </w:r>
      <w:r>
        <w:t xml:space="preserve"> </w:t>
      </w:r>
      <w:r>
        <w:t xml:space="preserve">up to 84 per-bin ensemble models, a CPIC snapshot (573 Level A/B gene-drug</w:t>
      </w:r>
      <w:r>
        <w:t xml:space="preserve"> </w:t>
      </w:r>
      <w:r>
        <w:t xml:space="preserve">pairs), and per-band density thresholds.</w:t>
      </w:r>
      <w:r>
        <w:t xml:space="preserve"> </w:t>
      </w:r>
      <w:r>
        <w:rPr>
          <w:i/>
          <w:iCs/>
        </w:rPr>
        <w:t xml:space="preserve">Imputation of Normality</w:t>
      </w:r>
      <w:r>
        <w:t xml:space="preserve"> </w:t>
      </w:r>
      <w:r>
        <w:t xml:space="preserve">maintains</w:t>
      </w:r>
      <w:r>
        <w:t xml:space="preserve"> </w:t>
      </w:r>
      <w:r>
        <w:t xml:space="preserve">risk-band stability at ≥ 87% of patients at 50% input sparsity. The</w:t>
      </w:r>
      <w:r>
        <w:t xml:space="preserve"> </w:t>
      </w:r>
      <w:r>
        <w:t xml:space="preserve">stateless CPIC PGx card satisfies HIPAA minimum-necessary</w:t>
      </w:r>
      <w:r>
        <w:t xml:space="preserve"> </w:t>
      </w:r>
      <w:r>
        <w:t xml:space="preserve">(45 CFR § 164.502(b)) architecturally.</w:t>
      </w:r>
    </w:p>
    <w:p>
      <w:pPr>
        <w:pStyle w:val="BodyText"/>
      </w:pPr>
      <w:r>
        <w:rPr>
          <w:i/>
          <w:iCs/>
        </w:rPr>
        <w:t xml:space="preserve">Preliminary Results:</w:t>
      </w:r>
      <w:r>
        <w:t xml:space="preserve"> </w:t>
      </w:r>
      <w:r>
        <w:t xml:space="preserve">Warm inference ≤ 100 ms; cold-start ≤ 3,000 ms;</w:t>
      </w:r>
      <w:r>
        <w:t xml:space="preserve"> </w:t>
      </w:r>
      <w:r>
        <w:t xml:space="preserve">100% CPIC concordance across 573 test cases; risk-band stability ≥ 87% at</w:t>
      </w:r>
      <w:r>
        <w:t xml:space="preserve"> </w:t>
      </w:r>
      <w:r>
        <w:t xml:space="preserve">50% input sparsity confirmed in load testing.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Ongoing</w:t>
      </w:r>
      <w:r>
        <w:t xml:space="preserve"> </w:t>
      </w:r>
      <w:r>
        <w:t xml:space="preserve">reliability monitoring, EHR input extension, and peer-reviewed publication</w:t>
      </w:r>
      <w:r>
        <w:t xml:space="preserve"> </w:t>
      </w:r>
      <w:r>
        <w:t xml:space="preserve">of the deployment architecture.</w:t>
      </w:r>
    </w:p>
    <w:p>
      <w:r>
        <w:br w:type="page"/>
      </w:r>
    </w:p>
    <w:bookmarkEnd w:id="21"/>
    <w:bookmarkStart w:id="31" w:name="research-strategy"/>
    <w:p>
      <w:pPr>
        <w:pStyle w:val="Heading1"/>
      </w:pPr>
      <w:r>
        <w:t xml:space="preserve">Research Strategy</w:t>
      </w:r>
    </w:p>
    <w:bookmarkStart w:id="22" w:name="significance"/>
    <w:p>
      <w:pPr>
        <w:pStyle w:val="Heading2"/>
      </w:pPr>
      <w:r>
        <w:t xml:space="preserve">Significance</w:t>
      </w:r>
    </w:p>
    <w:p>
      <w:pPr>
        <w:pStyle w:val="FirstParagraph"/>
      </w:pPr>
      <w:r>
        <w:rPr>
          <w:b/>
          <w:bCs/>
        </w:rPr>
        <w:t xml:space="preserve">The Clinical Decision Gap.</w:t>
      </w:r>
      <w:r>
        <w:t xml:space="preserve"> </w:t>
      </w:r>
      <w:r>
        <w:t xml:space="preserve">Current medication safety tools rely on simple</w:t>
      </w:r>
      <w:r>
        <w:t xml:space="preserve"> </w:t>
      </w:r>
      <w:r>
        <w:t xml:space="preserve">counts and pairwise drug-drug interaction (DDI) checks, missing the nonlinear</w:t>
      </w:r>
      <w:r>
        <w:t xml:space="preserve"> </w:t>
      </w:r>
      <w:r>
        <w:t xml:space="preserve">risk escalation of complex polypharmacy regimens. High-performance machine</w:t>
      </w:r>
      <w:r>
        <w:t xml:space="preserve"> </w:t>
      </w:r>
      <w:r>
        <w:t xml:space="preserve">learning (ML) models for opioid and ADE risk have been published extensively,</w:t>
      </w:r>
      <w:r>
        <w:t xml:space="preserve"> </w:t>
      </w:r>
      <w:r>
        <w:t xml:space="preserve">yet fewer than 10% of FDA-cleared AI/ML devices include prospective clinical</w:t>
      </w:r>
      <w:r>
        <w:t xml:space="preserve"> </w:t>
      </w:r>
      <w:r>
        <w:t xml:space="preserve">validation evidence, and fewer still report deployment architecture sufficient</w:t>
      </w:r>
      <w:r>
        <w:t xml:space="preserve"> </w:t>
      </w:r>
      <w:r>
        <w:t xml:space="preserve">for independent replication</w:t>
      </w:r>
      <w:r>
        <w:rPr>
          <w:vertAlign w:val="superscript"/>
        </w:rPr>
        <w:t xml:space="preserve">1,2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Triple Gap.</w:t>
      </w:r>
      <w:r>
        <w:t xml:space="preserve"> </w:t>
      </w:r>
      <w:r>
        <w:t xml:space="preserve">Our PRISMA-compliant Systematic Quantitative Literature</w:t>
      </w:r>
      <w:r>
        <w:t xml:space="preserve"> </w:t>
      </w:r>
      <w:r>
        <w:t xml:space="preserve">Review of 5,839 candidate studies identified three co-occurring gaps in the</w:t>
      </w:r>
      <w:r>
        <w:t xml:space="preserve"> </w:t>
      </w:r>
      <w:r>
        <w:t xml:space="preserve">existing literature: (1) the near-complete omission of pharmacogenomic (PGx)</w:t>
      </w:r>
      <w:r>
        <w:t xml:space="preserve"> </w:t>
      </w:r>
      <w:r>
        <w:t xml:space="preserve">context from risk models; (2) the prevalence of temporal leakage—where future</w:t>
      </w:r>
      <w:r>
        <w:t xml:space="preserve"> </w:t>
      </w:r>
      <w:r>
        <w:t xml:space="preserve">outcome information contaminates training features, producing logically inverted</w:t>
      </w:r>
      <w:r>
        <w:t xml:space="preserve"> </w:t>
      </w:r>
      <w:r>
        <w:t xml:space="preserve">causal rules (e.g., buprenorphine predicting OUD)</w:t>
      </w:r>
      <w:r>
        <w:rPr>
          <w:vertAlign w:val="superscript"/>
        </w:rPr>
        <w:t xml:space="preserve">3</w:t>
      </w:r>
      <w:r>
        <w:t xml:space="preserve">; and (3) the</w:t>
      </w:r>
      <w:r>
        <w:t xml:space="preserve"> </w:t>
      </w:r>
      <w:r>
        <w:t xml:space="preserve">failure to bridge validated models to deployment. This project directly addresses</w:t>
      </w:r>
      <w:r>
        <w:t xml:space="preserve"> </w:t>
      </w:r>
      <w:r>
        <w:t xml:space="preserve">all three.</w:t>
      </w:r>
    </w:p>
    <w:p>
      <w:pPr>
        <w:pStyle w:val="BodyText"/>
      </w:pPr>
      <w:r>
        <w:rPr>
          <w:b/>
          <w:bCs/>
        </w:rPr>
        <w:t xml:space="preserve">Population Need.</w:t>
      </w:r>
      <w:r>
        <w:t xml:space="preserve"> </w:t>
      </w:r>
      <w:r>
        <w:t xml:space="preserve">Virginia’s opioid-related ED visit rate has increased by</w:t>
      </w:r>
      <w:r>
        <w:t xml:space="preserve"> </w:t>
      </w:r>
      <w:r>
        <w:t xml:space="preserve">34% since 2018. Geriatric polypharmacy (≥5 medications) affects 44% of adults</w:t>
      </w:r>
      <w:r>
        <w:t xml:space="preserve"> </w:t>
      </w:r>
      <w:r>
        <w:t xml:space="preserve">aged 65+ and is the leading modifiable predictor of preventable hospitalizations.</w:t>
      </w:r>
      <w:r>
        <w:t xml:space="preserve"> </w:t>
      </w:r>
      <w:r>
        <w:t xml:space="preserve">Standard pairwise DDI databases miss synergistic interactions involving three or</w:t>
      </w:r>
      <w:r>
        <w:t xml:space="preserve"> </w:t>
      </w:r>
      <w:r>
        <w:t xml:space="preserve">more drugs—the very combinations FFA is designed to detect.</w:t>
      </w:r>
    </w:p>
    <w:bookmarkEnd w:id="22"/>
    <w:bookmarkStart w:id="23" w:name="innovation"/>
    <w:p>
      <w:pPr>
        <w:pStyle w:val="Heading2"/>
      </w:pPr>
      <w:r>
        <w:t xml:space="preserve">Innovation</w:t>
      </w:r>
    </w:p>
    <w:p>
      <w:pPr>
        <w:pStyle w:val="FirstParagraph"/>
      </w:pPr>
      <w:r>
        <w:t xml:space="preserve">This project introduces three conceptual and technical innovations:</w:t>
      </w:r>
    </w:p>
    <w:p>
      <w:pPr>
        <w:pStyle w:val="BodyText"/>
      </w:pPr>
      <w:r>
        <w:rPr>
          <w:b/>
          <w:bCs/>
        </w:rPr>
        <w:t xml:space="preserve">1. The Consensus-Causal Filter (SHAP ∩ FFA).</w:t>
      </w:r>
      <w:r>
        <w:t xml:space="preserve"> </w:t>
      </w:r>
      <w:r>
        <w:t xml:space="preserve">A feature is designated causal</w:t>
      </w:r>
      <w:r>
        <w:t xml:space="preserve"> </w:t>
      </w:r>
      <w:r>
        <w:t xml:space="preserve">only when independently confirmed by both distributional (SHAP) and structural</w:t>
      </w:r>
      <w:r>
        <w:t xml:space="preserve"> </w:t>
      </w:r>
      <w:r>
        <w:t xml:space="preserve">(FFA decision-rule) analysis. This replaces heuristic feature selection with a</w:t>
      </w:r>
      <w:r>
        <w:t xml:space="preserve"> </w:t>
      </w:r>
      <w:r>
        <w:t xml:space="preserve">two-method gate that demonstrably reduces false-positive causal claims.</w:t>
      </w:r>
    </w:p>
    <w:p>
      <w:pPr>
        <w:pStyle w:val="BodyText"/>
      </w:pPr>
      <w:r>
        <w:rPr>
          <w:b/>
          <w:bCs/>
        </w:rPr>
        <w:t xml:space="preserve">2. Recovery of PGx Signal from Claims.</w:t>
      </w:r>
      <w:r>
        <w:t xml:space="preserve"> </w:t>
      </w:r>
      <w:r>
        <w:t xml:space="preserve">We demonstrate that CPIC Level A/B</w:t>
      </w:r>
      <w:r>
        <w:t xml:space="preserve"> </w:t>
      </w:r>
      <w:r>
        <w:t xml:space="preserve">pharmacogenomic features are recoverable from administrative ICD/NDC codes at</w:t>
      </w:r>
      <w:r>
        <w:t xml:space="preserve"> </w:t>
      </w:r>
      <w:r>
        <w:t xml:space="preserve">population scale, providing a scalable alternative to prospective genotyping for</w:t>
      </w:r>
      <w:r>
        <w:t xml:space="preserve"> </w:t>
      </w:r>
      <w:r>
        <w:t xml:space="preserve">risk stratification in settings without access to genetic testing.</w:t>
      </w:r>
    </w:p>
    <w:p>
      <w:pPr>
        <w:pStyle w:val="BodyText"/>
      </w:pPr>
      <w:r>
        <w:rPr>
          <w:b/>
          <w:bCs/>
        </w:rPr>
        <w:t xml:space="preserve">3. Privacy-First Serverless CDS.</w:t>
      </w:r>
      <w:r>
        <w:t xml:space="preserve"> </w:t>
      </w:r>
      <w:r>
        <w:t xml:space="preserve">The</w:t>
      </w:r>
      <w:r>
        <w:t xml:space="preserve"> </w:t>
      </w:r>
      <w:r>
        <w:t xml:space="preserve">“compute, respond, discard”</w:t>
      </w:r>
      <w:r>
        <w:t xml:space="preserve"> </w:t>
      </w:r>
      <w:r>
        <w:t xml:space="preserve">architecture</w:t>
      </w:r>
      <w:r>
        <w:t xml:space="preserve"> </w:t>
      </w:r>
      <w:r>
        <w:t xml:space="preserve">satisfies HIPAA minimum-necessary without a Business Associate Agreement, enabling</w:t>
      </w:r>
      <w:r>
        <w:t xml:space="preserve"> </w:t>
      </w:r>
      <w:r>
        <w:t xml:space="preserve">adoption by community pharmacies and Safety Net hospitals for whom institutional</w:t>
      </w:r>
      <w:r>
        <w:t xml:space="preserve"> </w:t>
      </w:r>
      <w:r>
        <w:t xml:space="preserve">EHR integration is not available.</w:t>
      </w:r>
    </w:p>
    <w:bookmarkEnd w:id="23"/>
    <w:bookmarkStart w:id="30" w:name="approach"/>
    <w:p>
      <w:pPr>
        <w:pStyle w:val="Heading2"/>
      </w:pPr>
      <w:r>
        <w:t xml:space="preserve">Approach</w:t>
      </w:r>
    </w:p>
    <w:bookmarkStart w:id="24" w:name="data-and-architecture"/>
    <w:p>
      <w:pPr>
        <w:pStyle w:val="Heading3"/>
      </w:pPr>
      <w:r>
        <w:t xml:space="preserve">Data and Architecture</w:t>
      </w:r>
    </w:p>
    <w:p>
      <w:pPr>
        <w:pStyle w:val="FirstParagraph"/>
      </w:pPr>
      <w:r>
        <w:t xml:space="preserve">We utilize the Virginia APCD (1.8 TB; 2016–2019), covering 6.9 million unique</w:t>
      </w:r>
      <w:r>
        <w:t xml:space="preserve"> </w:t>
      </w:r>
      <w:r>
        <w:t xml:space="preserve">patients annually, staged into a Bronze-to-Gold data lake via partitioned DuckDB</w:t>
      </w:r>
      <w:r>
        <w:t xml:space="preserve"> </w:t>
      </w:r>
      <w:r>
        <w:t xml:space="preserve">workers. The partition-first architecture enforces strict temporal leakage prevention:</w:t>
      </w:r>
      <w:r>
        <w:t xml:space="preserve"> </w:t>
      </w:r>
      <w:r>
        <w:t xml:space="preserve">a</w:t>
      </w:r>
      <w:r>
        <w:t xml:space="preserve"> </w:t>
      </w:r>
      <w:r>
        <w:t xml:space="preserve">“B1”</w:t>
      </w:r>
      <w:r>
        <w:t xml:space="preserve"> </w:t>
      </w:r>
      <w:r>
        <w:t xml:space="preserve">balancing constraint architecturally prevents any post-outcome features</w:t>
      </w:r>
      <w:r>
        <w:t xml:space="preserve"> </w:t>
      </w:r>
      <w:r>
        <w:t xml:space="preserve">from appearing in training windows. The 2019 calendar year is held out prospectively</w:t>
      </w:r>
      <w:r>
        <w:t xml:space="preserve"> </w:t>
      </w:r>
      <w:r>
        <w:t xml:space="preserve">for all model evaluation.</w:t>
      </w:r>
    </w:p>
    <w:p>
      <w:pPr>
        <w:pStyle w:val="BodyText"/>
      </w:pPr>
      <w:r>
        <w:t xml:space="preserve">Fifteen Age Band × Cohort partitions (opioid-related ED: 13–64; non-opioid ED:</w:t>
      </w:r>
      <w:r>
        <w:t xml:space="preserve"> </w:t>
      </w:r>
      <w:r>
        <w:t xml:space="preserve">65–114) are processed in parallel, achieving 15.1× throughput improvement over</w:t>
      </w:r>
      <w:r>
        <w:t xml:space="preserve"> </w:t>
      </w:r>
      <w:r>
        <w:t xml:space="preserve">single-node processing. The PROBAST checklist was applied to ensure low risk of</w:t>
      </w:r>
      <w:r>
        <w:t xml:space="preserve"> </w:t>
      </w:r>
      <w:r>
        <w:t xml:space="preserve">bias in predictor selection and analysis.</w:t>
      </w:r>
    </w:p>
    <w:bookmarkEnd w:id="24"/>
    <w:bookmarkStart w:id="25" w:name="model-selection-for-tabular-apcd-data"/>
    <w:p>
      <w:pPr>
        <w:pStyle w:val="Heading3"/>
      </w:pPr>
      <w:r>
        <w:t xml:space="preserve">Model Selection for Tabular APCD Data</w:t>
      </w:r>
    </w:p>
    <w:p>
      <w:pPr>
        <w:pStyle w:val="FirstParagraph"/>
      </w:pPr>
      <w:r>
        <w:t xml:space="preserve">Although I have formal training in deep learning (BIOS 691), this project</w:t>
      </w:r>
      <w:r>
        <w:t xml:space="preserve"> </w:t>
      </w:r>
      <w:r>
        <w:t xml:space="preserve">deliberately prioritizes tree-based gradient boosting (XGBoost, CatBoost) for</w:t>
      </w:r>
      <w:r>
        <w:t xml:space="preserve"> </w:t>
      </w:r>
      <w:r>
        <w:t xml:space="preserve">high-dimensional tabular claims data. Comparative studies have shown that XGBoost</w:t>
      </w:r>
      <w:r>
        <w:t xml:space="preserve"> </w:t>
      </w:r>
      <w:r>
        <w:t xml:space="preserve">outperforms or matches state-of-the-art deep architectures on most tabular</w:t>
      </w:r>
      <w:r>
        <w:t xml:space="preserve"> </w:t>
      </w:r>
      <w:r>
        <w:t xml:space="preserve">benchmarks while requiring substantially less hyperparameter tuning</w:t>
      </w:r>
      <w:r>
        <w:rPr>
          <w:vertAlign w:val="superscript"/>
        </w:rPr>
        <w:t xml:space="preserve">4</w:t>
      </w:r>
      <w:r>
        <w:t xml:space="preserve">. A large-scale meta-analysis across 176 tabular datasets</w:t>
      </w:r>
      <w:r>
        <w:t xml:space="preserve"> </w:t>
      </w:r>
      <w:r>
        <w:t xml:space="preserve">further found that gradient-boosted trees outperform neural networks on average,</w:t>
      </w:r>
      <w:r>
        <w:t xml:space="preserve"> </w:t>
      </w:r>
      <w:r>
        <w:t xml:space="preserve">particularly on large and statistically irregular datasets with skewed or</w:t>
      </w:r>
      <w:r>
        <w:t xml:space="preserve"> </w:t>
      </w:r>
      <w:r>
        <w:t xml:space="preserve">heavy-tailed feature distributions—properties characteristic of real-world</w:t>
      </w:r>
      <w:r>
        <w:t xml:space="preserve"> </w:t>
      </w:r>
      <w:r>
        <w:t xml:space="preserve">claims data</w:t>
      </w:r>
      <w:r>
        <w:rPr>
          <w:vertAlign w:val="superscript"/>
        </w:rPr>
        <w:t xml:space="preserve">5</w:t>
      </w:r>
      <w:r>
        <w:t xml:space="preserve">. Given the additional requirement for stable,</w:t>
      </w:r>
      <w:r>
        <w:t xml:space="preserve"> </w:t>
      </w:r>
      <w:r>
        <w:t xml:space="preserve">interpretable SHAP and FFA attributions, tree-based ensembles are the most</w:t>
      </w:r>
      <w:r>
        <w:t xml:space="preserve"> </w:t>
      </w:r>
      <w:r>
        <w:t xml:space="preserve">appropriate primary modeling choice. Models are tuned via Optuna Bayesian TPE</w:t>
      </w:r>
      <w:r>
        <w:t xml:space="preserve"> </w:t>
      </w:r>
      <w:r>
        <w:t xml:space="preserve">and validated through Monte Carlo Cross-Validation (MCCV).</w:t>
      </w:r>
    </w:p>
    <w:bookmarkEnd w:id="25"/>
    <w:bookmarkStart w:id="26" w:name="X4288176f1d7bd8932fc2831050dcb23c8e81776"/>
    <w:p>
      <w:pPr>
        <w:pStyle w:val="Heading3"/>
      </w:pPr>
      <w:r>
        <w:t xml:space="preserve">Aim 1 Implementation: Opioid Risk and Trajectory Archetypes</w:t>
      </w:r>
    </w:p>
    <w:p>
      <w:pPr>
        <w:pStyle w:val="FirstParagraph"/>
      </w:pPr>
      <w:r>
        <w:t xml:space="preserve">Ensemble risk scores (CatBoost + XGBoost + XGBoost-RF) are computed with</w:t>
      </w:r>
      <w:r>
        <w:t xml:space="preserve"> </w:t>
      </w:r>
      <w:r>
        <w:t xml:space="preserve">performance-based weighting derived from MCCV PR-AUC and LogLoss on the 2016–2018</w:t>
      </w:r>
      <w:r>
        <w:t xml:space="preserve"> </w:t>
      </w:r>
      <w:r>
        <w:t xml:space="preserve">training set. The Consensus Filter selects features confirmed by both SHAP</w:t>
      </w:r>
      <w:r>
        <w:t xml:space="preserve"> </w:t>
      </w:r>
      <w:r>
        <w:t xml:space="preserve">importance and FFA structural attribution. DTW clustering (Sakoe-Chiba band,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20%) derives trajectory archetypes from 12-month pre-ED prescription</w:t>
      </w:r>
      <w:r>
        <w:t xml:space="preserve"> </w:t>
      </w:r>
      <w:r>
        <w:t xml:space="preserve">sequences; archetypes are validated by 2019 holdout concordance and annotated</w:t>
      </w:r>
      <w:r>
        <w:t xml:space="preserve"> </w:t>
      </w:r>
      <w:r>
        <w:t xml:space="preserve">with clinical intervention windows (30-day PDMP review for Rapid-Onset; physical</w:t>
      </w:r>
      <w:r>
        <w:t xml:space="preserve"> </w:t>
      </w:r>
      <w:r>
        <w:t xml:space="preserve">therapy and mental health referral windows for Chronic-Escalation).</w:t>
      </w:r>
    </w:p>
    <w:p>
      <w:pPr>
        <w:pStyle w:val="BodyText"/>
      </w:pPr>
      <w:r>
        <w:rPr>
          <w:b/>
          <w:bCs/>
        </w:rPr>
        <w:t xml:space="preserve">Mitigation of risks:</w:t>
      </w:r>
      <w:r>
        <w:t xml:space="preserve"> </w:t>
      </w:r>
      <w:r>
        <w:t xml:space="preserve">If PR-AUC &lt; 0.80 in low-prevalence bands, cost-sensitive</w:t>
      </w:r>
      <w:r>
        <w:t xml:space="preserve"> </w:t>
      </w:r>
      <w:r>
        <w:t xml:space="preserve">weighting (class_weight proportional to prevalence) and SMOTE oversampling will</w:t>
      </w:r>
      <w:r>
        <w:t xml:space="preserve"> </w:t>
      </w:r>
      <w:r>
        <w:t xml:space="preserve">be applied. DTW alignment will fall back to Euclidean distance if Sakoe-Chiba</w:t>
      </w:r>
      <w:r>
        <w:t xml:space="preserve"> </w:t>
      </w:r>
      <w:r>
        <w:t xml:space="preserve">banding over-constrains short sequences.</w:t>
      </w:r>
    </w:p>
    <w:bookmarkEnd w:id="26"/>
    <w:bookmarkStart w:id="27" w:name="X4546cc989d37dc0bd0eff41a219d474c518977c"/>
    <w:p>
      <w:pPr>
        <w:pStyle w:val="Heading3"/>
      </w:pPr>
      <w:r>
        <w:t xml:space="preserve">Aim 2 Implementation: FFA Causal Calculator for Polypharmacy</w:t>
      </w:r>
    </w:p>
    <w:p>
      <w:pPr>
        <w:pStyle w:val="FirstParagraph"/>
      </w:pPr>
      <w:r>
        <w:t xml:space="preserve">FP-Growth (support ≥ 0.01, confidence ≥ 0.50) generates pre-computed drug</w:t>
      </w:r>
      <w:r>
        <w:t xml:space="preserve"> </w:t>
      </w:r>
      <w:r>
        <w:t xml:space="preserve">co-occurrence rulesets for the geriatric cohorts (65–74, 75–84, 85–114). FFA</w:t>
      </w:r>
      <w:r>
        <w:t xml:space="preserve"> </w:t>
      </w:r>
      <w:r>
        <w:t xml:space="preserve">multi-feature interaction testing extends pairwise IE scoring to triplets,</w:t>
      </w:r>
      <w:r>
        <w:t xml:space="preserve"> </w:t>
      </w:r>
      <w:r>
        <w:t xml:space="preserve">identifying synergistic combinations invisible to standard DDI databases.</w:t>
      </w:r>
      <w:r>
        <w:t xml:space="preserve"> </w:t>
      </w:r>
      <w:r>
        <w:t xml:space="preserve">Intervention Rate (IR) scores rank deprescribing priorities by expected risk</w:t>
      </w:r>
      <w:r>
        <w:t xml:space="preserve"> </w:t>
      </w:r>
      <w:r>
        <w:t xml:space="preserve">reduction per patient-exposure. Z-code monitoring status (ICD-10 Z79.x) stratifies</w:t>
      </w:r>
      <w:r>
        <w:t xml:space="preserve"> </w:t>
      </w:r>
      <w:r>
        <w:t xml:space="preserve">patients by managed vs. unmanaged polypharmacy to identify fragmented-care</w:t>
      </w:r>
      <w:r>
        <w:t xml:space="preserve"> </w:t>
      </w:r>
      <w:r>
        <w:t xml:space="preserve">phenotypes.</w:t>
      </w:r>
    </w:p>
    <w:p>
      <w:pPr>
        <w:pStyle w:val="BodyText"/>
      </w:pPr>
      <w:r>
        <w:rPr>
          <w:b/>
          <w:bCs/>
        </w:rPr>
        <w:t xml:space="preserve">Mitigation of risks:</w:t>
      </w:r>
      <w:r>
        <w:t xml:space="preserve"> </w:t>
      </w:r>
      <w:r>
        <w:t xml:space="preserve">If synergistic pair counts fall below 50, support</w:t>
      </w:r>
      <w:r>
        <w:t xml:space="preserve"> </w:t>
      </w:r>
      <w:r>
        <w:t xml:space="preserve">thresholds will be lowered to 0.005. Z-code analysis is pre-registered as</w:t>
      </w:r>
      <w:r>
        <w:t xml:space="preserve"> </w:t>
      </w:r>
      <w:r>
        <w:t xml:space="preserve">exploratory if cell counts prohibit propensity-matched comparison.</w:t>
      </w:r>
    </w:p>
    <w:bookmarkEnd w:id="27"/>
    <w:bookmarkStart w:id="28" w:name="X05f63221df4a033b6938120cca6e658229a29db"/>
    <w:p>
      <w:pPr>
        <w:pStyle w:val="Heading3"/>
      </w:pPr>
      <w:r>
        <w:t xml:space="preserve">Aim 3 Implementation: Production Deployment and Validation</w:t>
      </w:r>
    </w:p>
    <w:p>
      <w:pPr>
        <w:pStyle w:val="FirstParagraph"/>
      </w:pPr>
      <w:r>
        <w:t xml:space="preserve">The AWS Lambda container bundles up to 84 per-bin models (3 algorithms × 4</w:t>
      </w:r>
      <w:r>
        <w:t xml:space="preserve"> </w:t>
      </w:r>
      <w:r>
        <w:t xml:space="preserve">density bins × 7 age bands), CPIC snapshot (573 Level A/B gene-drug pairs), and</w:t>
      </w:r>
      <w:r>
        <w:t xml:space="preserve"> </w:t>
      </w:r>
      <w:r>
        <w:t xml:space="preserve">per-band density thresholds. Imputation of Normality fills missing features with</w:t>
      </w:r>
      <w:r>
        <w:t xml:space="preserve"> </w:t>
      </w:r>
      <w:r>
        <w:t xml:space="preserve">training-set medians, maintaining risk-band stability at ≥ 87% of patients at</w:t>
      </w:r>
      <w:r>
        <w:t xml:space="preserve"> </w:t>
      </w:r>
      <w:r>
        <w:t xml:space="preserve">50% sparsity. The CI/CD pipeline (GitHub Actions → ECR → Lambda) validates each</w:t>
      </w:r>
      <w:r>
        <w:t xml:space="preserve"> </w:t>
      </w:r>
      <w:r>
        <w:t xml:space="preserve">deployment against automated PR-AUC ≥ 0.60 and LogLoss ≤ 0.50 gates.</w:t>
      </w:r>
    </w:p>
    <w:p>
      <w:pPr>
        <w:pStyle w:val="BodyText"/>
      </w:pPr>
      <w:r>
        <w:rPr>
          <w:b/>
          <w:bCs/>
        </w:rPr>
        <w:t xml:space="preserve">Mitigation of risks:</w:t>
      </w:r>
      <w:r>
        <w:t xml:space="preserve"> </w:t>
      </w:r>
      <w:r>
        <w:t xml:space="preserve">If Lambda container exceeds 10 GB, model compression</w:t>
      </w:r>
      <w:r>
        <w:t xml:space="preserve"> </w:t>
      </w:r>
      <w:r>
        <w:t xml:space="preserve">(quantized XGBoost) and cohort-specific container sharding will be applied.</w:t>
      </w:r>
      <w:r>
        <w:t xml:space="preserve"> </w:t>
      </w:r>
      <w:r>
        <w:t xml:space="preserve">PGx card generation falls back to diplotype-only output if PharmVar lookup fails.</w:t>
      </w:r>
    </w:p>
    <w:bookmarkEnd w:id="28"/>
    <w:bookmarkStart w:id="29" w:name="timeline"/>
    <w:p>
      <w:pPr>
        <w:pStyle w:val="Heading3"/>
      </w:pPr>
      <w:r>
        <w:t xml:space="preserve">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Aims 1 &amp; 2 model training</w:t>
            </w:r>
            <w:r>
              <w:t xml:space="preserve"> </w:t>
            </w:r>
            <w:r>
              <w:rPr>
                <w:i/>
                <w:iCs/>
              </w:rPr>
              <w:t xml:space="preserve">(complete)</w:t>
            </w:r>
            <w:r>
              <w:t xml:space="preserve">; CH_1–CH_2 submitted</w:t>
            </w:r>
            <w:r>
              <w:t xml:space="preserve"> </w:t>
            </w:r>
            <w:r>
              <w:rPr>
                <w:i/>
                <w:iCs/>
              </w:rPr>
              <w:t xml:space="preserve">(complete)</w:t>
            </w:r>
            <w:r>
              <w:t xml:space="preserve">; Qualifying Exam</w:t>
            </w:r>
            <w:r>
              <w:t xml:space="preserve"> </w:t>
            </w:r>
            <w:r>
              <w:rPr>
                <w:i/>
                <w:iCs/>
              </w:rPr>
              <w:t xml:space="preserve">(in progress)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deployed</w:t>
            </w:r>
            <w:r>
              <w:t xml:space="preserve"> </w:t>
            </w:r>
            <w:r>
              <w:rPr>
                <w:i/>
                <w:iCs/>
              </w:rPr>
              <w:t xml:space="preserve">(complete)</w:t>
            </w:r>
            <w:r>
              <w:t xml:space="preserve">; CH_3–CH_5 submitted</w:t>
            </w:r>
            <w:r>
              <w:t xml:space="preserve"> </w:t>
            </w:r>
            <w:r>
              <w:rPr>
                <w:i/>
                <w:iCs/>
              </w:rPr>
              <w:t xml:space="preserve">(in progress)</w:t>
            </w:r>
            <w:r>
              <w:t xml:space="preserve">; dissertation defense (June 2026)</w:t>
            </w:r>
          </w:p>
        </w:tc>
      </w:tr>
    </w:tbl>
    <w:p>
      <w:r>
        <w:br w:type="page"/>
      </w:r>
    </w:p>
    <w:bookmarkEnd w:id="29"/>
    <w:bookmarkEnd w:id="30"/>
    <w:bookmarkEnd w:id="31"/>
    <w:bookmarkStart w:id="38" w:name="research-training-plan"/>
    <w:p>
      <w:pPr>
        <w:pStyle w:val="Heading1"/>
      </w:pPr>
      <w:r>
        <w:t xml:space="preserve">Research Training Plan</w:t>
      </w:r>
    </w:p>
    <w:bookmarkStart w:id="3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training program is organized around four competency areas aligned with the</w:t>
      </w:r>
      <w:r>
        <w:t xml:space="preserve"> </w:t>
      </w:r>
      <w:r>
        <w:t xml:space="preserve">Clinical OODA Loop (Observe–Orient–Decide–Act) framework for translational</w:t>
      </w:r>
      <w:r>
        <w:t xml:space="preserve"> </w:t>
      </w:r>
      <w:r>
        <w:t xml:space="preserve">informatics. All coursework is completed; training activities now focus on</w:t>
      </w:r>
      <w:r>
        <w:t xml:space="preserve"> </w:t>
      </w:r>
      <w:r>
        <w:t xml:space="preserve">independent research and dissemination.</w:t>
      </w:r>
    </w:p>
    <w:bookmarkEnd w:id="32"/>
    <w:bookmarkStart w:id="33" w:name="Xa69789d6d690c632bcd973874809d361dee39c1"/>
    <w:p>
      <w:pPr>
        <w:pStyle w:val="Heading2"/>
      </w:pPr>
      <w:r>
        <w:t xml:space="preserve">Area 1: Advanced Claims-Based Pharmacoepidemiology (Observe)</w:t>
      </w:r>
    </w:p>
    <w:p>
      <w:pPr>
        <w:pStyle w:val="FirstParagraph"/>
      </w:pPr>
      <w:r>
        <w:t xml:space="preserve">This area builds foundational skills for managing the Virginia APCD and its 1.8 TB</w:t>
      </w:r>
      <w:r>
        <w:t xml:space="preserve"> </w:t>
      </w:r>
      <w:r>
        <w:t xml:space="preserve">of longitudinal records.</w:t>
      </w:r>
    </w:p>
    <w:p>
      <w:pPr>
        <w:pStyle w:val="BodyText"/>
      </w:pPr>
      <w:r>
        <w:rPr>
          <w:b/>
          <w:bCs/>
        </w:rPr>
        <w:t xml:space="preserve">Formal Doctoral Coursework: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HGEN 611 – Data Science I</w:t>
      </w:r>
      <w:r>
        <w:t xml:space="preserve"> </w:t>
      </w:r>
      <w:r>
        <w:t xml:space="preserve">(Fall 2018, B): Computational foundation for</w:t>
      </w:r>
      <w:r>
        <w:t xml:space="preserve"> </w:t>
      </w:r>
      <w:r>
        <w:t xml:space="preserve">high-throughput genomic and claims-based data engineering.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HGEN 691 – Methods in Data Science</w:t>
      </w:r>
      <w:r>
        <w:t xml:space="preserve"> </w:t>
      </w:r>
      <w:r>
        <w:t xml:space="preserve">(Spring 2020, A): Advanced feature</w:t>
      </w:r>
      <w:r>
        <w:t xml:space="preserve"> </w:t>
      </w:r>
      <w:r>
        <w:t xml:space="preserve">engineering and pipeline design for large-scale biomedical datasets.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BIOS 572 – Biomedical Data I</w:t>
      </w:r>
      <w:r>
        <w:t xml:space="preserve"> </w:t>
      </w:r>
      <w:r>
        <w:t xml:space="preserve">(Fall 2019, B): Statistical methods for</w:t>
      </w:r>
      <w:r>
        <w:t xml:space="preserve"> </w:t>
      </w:r>
      <w:r>
        <w:t xml:space="preserve">large-scale biomedical datasets applied to ADE risk assessment.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FMBA 614/615/616 – Health Care Management I–III</w:t>
      </w:r>
      <w:r>
        <w:t xml:space="preserve"> </w:t>
      </w:r>
      <w:r>
        <w:t xml:space="preserve">(Summer 2017, A):</w:t>
      </w:r>
      <w:r>
        <w:t xml:space="preserve"> </w:t>
      </w:r>
      <w:r>
        <w:t xml:space="preserve">Regulatory and systems-level context for healthcare delivery and outcomes research.</w:t>
      </w:r>
    </w:p>
    <w:p>
      <w:pPr>
        <w:pStyle w:val="FirstParagraph"/>
      </w:pPr>
      <w:r>
        <w:rPr>
          <w:b/>
          <w:bCs/>
        </w:rPr>
        <w:t xml:space="preserve">Professional Training:</w:t>
      </w:r>
      <w:r>
        <w:t xml:space="preserve"> </w:t>
      </w:r>
      <w:r>
        <w:t xml:space="preserve">DAPT 611 (Analysis &amp; Design of Database) and</w:t>
      </w:r>
      <w:r>
        <w:t xml:space="preserve"> </w:t>
      </w:r>
      <w:r>
        <w:t xml:space="preserve">DAPT 614 (Advanced SQL) support the partition-first architecture; DAPT 621/622</w:t>
      </w:r>
      <w:r>
        <w:t xml:space="preserve"> </w:t>
      </w:r>
      <w:r>
        <w:t xml:space="preserve">(Statistics for Big Data) provide the quantitative foundation for APCD-scale</w:t>
      </w:r>
      <w:r>
        <w:t xml:space="preserve"> </w:t>
      </w:r>
      <w:r>
        <w:t xml:space="preserve">feature analysis.</w:t>
      </w:r>
    </w:p>
    <w:bookmarkEnd w:id="33"/>
    <w:bookmarkStart w:id="34" w:name="Xf1b3be4b1a6ee4eb022657b658e443a2f69c52f"/>
    <w:p>
      <w:pPr>
        <w:pStyle w:val="Heading2"/>
      </w:pPr>
      <w:r>
        <w:t xml:space="preserve">Area 2: Advanced Machine Learning and Causal Discovery (Orient)</w:t>
      </w:r>
    </w:p>
    <w:p>
      <w:pPr>
        <w:pStyle w:val="FirstParagraph"/>
      </w:pPr>
      <w:r>
        <w:t xml:space="preserve">This area focuses on moving beyond purely predictive</w:t>
      </w:r>
      <w:r>
        <w:t xml:space="preserve"> </w:t>
      </w:r>
      <w:r>
        <w:t xml:space="preserve">“black-box”</w:t>
      </w:r>
      <w:r>
        <w:t xml:space="preserve"> </w:t>
      </w:r>
      <w:r>
        <w:t xml:space="preserve">models toward</w:t>
      </w:r>
      <w:r>
        <w:t xml:space="preserve"> </w:t>
      </w:r>
      <w:r>
        <w:t xml:space="preserve">causally interpretable ensembles supporting the Consensus-Causal Filter and</w:t>
      </w:r>
      <w:r>
        <w:t xml:space="preserve"> </w:t>
      </w:r>
      <w:r>
        <w:t xml:space="preserve">IR scoring.</w:t>
      </w:r>
    </w:p>
    <w:p>
      <w:pPr>
        <w:pStyle w:val="BodyText"/>
      </w:pPr>
      <w:r>
        <w:rPr>
          <w:b/>
          <w:bCs/>
        </w:rPr>
        <w:t xml:space="preserve">Modeling Mastery: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BIOS 691 – Deep Learning with R</w:t>
      </w:r>
      <w:r>
        <w:t xml:space="preserve"> </w:t>
      </w:r>
      <w:r>
        <w:t xml:space="preserve">(Summer 2020, A): Background in neural</w:t>
      </w:r>
      <w:r>
        <w:t xml:space="preserve"> </w:t>
      </w:r>
      <w:r>
        <w:t xml:space="preserve">architectures and regularization. I use this to understand the broader model</w:t>
      </w:r>
      <w:r>
        <w:t xml:space="preserve"> </w:t>
      </w:r>
      <w:r>
        <w:t xml:space="preserve">landscape and its limitations on clinical tabular data. Following evidence that</w:t>
      </w:r>
      <w:r>
        <w:t xml:space="preserve"> </w:t>
      </w:r>
      <w:r>
        <w:t xml:space="preserve">tree-based gradient boosting (XGBoost, CatBoost) outperforms or matches deep</w:t>
      </w:r>
      <w:r>
        <w:t xml:space="preserve"> </w:t>
      </w:r>
      <w:r>
        <w:t xml:space="preserve">learning on heterogeneous tabular datasets—especially large, skewed, and</w:t>
      </w:r>
      <w:r>
        <w:t xml:space="preserve"> </w:t>
      </w:r>
      <w:r>
        <w:t xml:space="preserve">irregular datasets typical of health claims—I focus modeling on GBDTs integrated</w:t>
      </w:r>
      <w:r>
        <w:t xml:space="preserve"> </w:t>
      </w:r>
      <w:r>
        <w:t xml:space="preserve">with SHAP and FFA rather than neural networks as primary models</w:t>
      </w:r>
      <w:r>
        <w:rPr>
          <w:vertAlign w:val="superscript"/>
        </w:rPr>
        <w:t xml:space="preserve">4,5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 591 – Applied Bayesian Statistical Analysis</w:t>
      </w:r>
      <w:r>
        <w:t xml:space="preserve"> </w:t>
      </w:r>
      <w:r>
        <w:t xml:space="preserve">(Spring 2021, A):</w:t>
      </w:r>
      <w:r>
        <w:t xml:space="preserve"> </w:t>
      </w:r>
      <w:r>
        <w:t xml:space="preserve">Theoretical basis for uncertainty quantification; motivates Bayesian TPE</w:t>
      </w:r>
      <w:r>
        <w:t xml:space="preserve"> </w:t>
      </w:r>
      <w:r>
        <w:t xml:space="preserve">optimization (Optuna) for tuning tree-based ensembles.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DAPT 631 (Data Mining)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DAPT 632 (Forecasting Methods)</w:t>
      </w:r>
      <w:r>
        <w:t xml:space="preserve"> </w:t>
      </w:r>
      <w:r>
        <w:t xml:space="preserve">(Spring/Fall</w:t>
      </w:r>
      <w:r>
        <w:t xml:space="preserve"> </w:t>
      </w:r>
      <w:r>
        <w:t xml:space="preserve">2017, A): Applied predictive modeling for longitudinal clinical trajectories,</w:t>
      </w:r>
      <w:r>
        <w:t xml:space="preserve"> </w:t>
      </w:r>
      <w:r>
        <w:t xml:space="preserve">informing DTW trajectory archetyping within a tree-based ensemble framework.</w:t>
      </w:r>
    </w:p>
    <w:p>
      <w:pPr>
        <w:pStyle w:val="FirstParagraph"/>
      </w:pPr>
      <w:r>
        <w:rPr>
          <w:b/>
          <w:bCs/>
        </w:rPr>
        <w:t xml:space="preserve">Applied Certification:</w:t>
      </w:r>
      <w:r>
        <w:t xml:space="preserve"> </w:t>
      </w:r>
      <w:r>
        <w:t xml:space="preserve">AWS Certified Machine Learning – Specialty validates</w:t>
      </w:r>
      <w:r>
        <w:t xml:space="preserve"> </w:t>
      </w:r>
      <w:r>
        <w:t xml:space="preserve">expertise in designing, deploying, and monitoring large-scale inference pipelines</w:t>
      </w:r>
      <w:r>
        <w:t xml:space="preserve"> </w:t>
      </w:r>
      <w:r>
        <w:t xml:space="preserve">and stratified ensemble models across age bands and risk strata.</w:t>
      </w:r>
    </w:p>
    <w:bookmarkEnd w:id="34"/>
    <w:bookmarkStart w:id="35" w:name="Xcbec34697624c453cba0cc965816daf5800c417"/>
    <w:p>
      <w:pPr>
        <w:pStyle w:val="Heading2"/>
      </w:pPr>
      <w:r>
        <w:t xml:space="preserve">Area 3: Translational Informatics and Big Data Architecture (Decide &amp; Act)</w:t>
      </w:r>
    </w:p>
    <w:p>
      <w:pPr>
        <w:pStyle w:val="FirstParagraph"/>
      </w:pPr>
      <w:r>
        <w:t xml:space="preserve">This area targets deployment of model insights as production-grade clinical</w:t>
      </w:r>
      <w:r>
        <w:t xml:space="preserve"> </w:t>
      </w:r>
      <w:r>
        <w:t xml:space="preserve">decision support software.</w:t>
      </w:r>
    </w:p>
    <w:p>
      <w:pPr>
        <w:pStyle w:val="BodyText"/>
      </w:pPr>
      <w:r>
        <w:rPr>
          <w:b/>
          <w:bCs/>
        </w:rPr>
        <w:t xml:space="preserve">Applied Certifications: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AWS Certified Big Data Analytics</w:t>
      </w:r>
      <w:r>
        <w:t xml:space="preserve">: Expertise in scaling analytical workloads</w:t>
      </w:r>
      <w:r>
        <w:t xml:space="preserve"> </w:t>
      </w:r>
      <w:r>
        <w:t xml:space="preserve">(DuckDB and S3 data lakes) to achieve the 15.1× throughput improvement.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AWS Certified Solutions Architect</w:t>
      </w:r>
      <w:r>
        <w:t xml:space="preserve">: Technical basis for deploying the serverless</w:t>
      </w:r>
      <w:r>
        <w:t xml:space="preserve"> </w:t>
      </w:r>
      <w:r>
        <w:t xml:space="preserve">PGx Risk Dashboard using the ephemeral AWS Lambda architecture.</w:t>
      </w:r>
    </w:p>
    <w:p>
      <w:pPr>
        <w:pStyle w:val="FirstParagraph"/>
      </w:pPr>
      <w:r>
        <w:rPr>
          <w:b/>
          <w:bCs/>
        </w:rPr>
        <w:t xml:space="preserve">Genomic Foundations: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PHAR 691 – Advanced Pharmacogenomics</w:t>
      </w:r>
      <w:r>
        <w:t xml:space="preserve"> </w:t>
      </w:r>
      <w:r>
        <w:t xml:space="preserve">(Spring 2020, H): Biological context</w:t>
      </w:r>
      <w:r>
        <w:t xml:space="preserve"> </w:t>
      </w:r>
      <w:r>
        <w:t xml:space="preserve">for recovering PGx signals from administrative claims.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HGEN 619 – Quantitative Genetics</w:t>
      </w:r>
      <w:r>
        <w:t xml:space="preserve"> </w:t>
      </w:r>
      <w:r>
        <w:t xml:space="preserve">(Fall 2019, C): Population-level genomic</w:t>
      </w:r>
      <w:r>
        <w:t xml:space="preserve"> </w:t>
      </w:r>
      <w:r>
        <w:t xml:space="preserve">variation informing CPIC Level A/B feature engineering.</w:t>
      </w:r>
    </w:p>
    <w:p>
      <w:pPr>
        <w:pStyle w:val="FirstParagraph"/>
      </w:pPr>
      <w:r>
        <w:rPr>
          <w:b/>
          <w:bCs/>
        </w:rPr>
        <w:t xml:space="preserve">Applied Analytics:</w:t>
      </w:r>
      <w:r>
        <w:t xml:space="preserve"> </w:t>
      </w:r>
      <w:r>
        <w:t xml:space="preserve">DAPT 612 (Text Mining), DAPT 613 (Business Intelligence),</w:t>
      </w:r>
      <w:r>
        <w:t xml:space="preserve"> </w:t>
      </w:r>
      <w:r>
        <w:t xml:space="preserve">DAPT 615 (Emerging Technologies), DAPT 642 (Risk Analysis) provide the applied</w:t>
      </w:r>
      <w:r>
        <w:t xml:space="preserve"> </w:t>
      </w:r>
      <w:r>
        <w:t xml:space="preserve">informatics breadth for full-stack clinical AI development.</w:t>
      </w:r>
    </w:p>
    <w:bookmarkEnd w:id="35"/>
    <w:bookmarkStart w:id="36" w:name="Xfec76977eb8947ea31ac856d2d799951b6b93f1"/>
    <w:p>
      <w:pPr>
        <w:pStyle w:val="Heading2"/>
      </w:pPr>
      <w:r>
        <w:t xml:space="preserve">Area 4: Geriatrics, Scientific Communication, and Research Ethics (Act)</w:t>
      </w:r>
    </w:p>
    <w:p>
      <w:pPr>
        <w:pStyle w:val="FirstParagraph"/>
      </w:pPr>
      <w:r>
        <w:t xml:space="preserve">This area supports transition to independent investigator and communication of</w:t>
      </w:r>
      <w:r>
        <w:t xml:space="preserve"> </w:t>
      </w:r>
      <w:r>
        <w:t xml:space="preserve">XAI outputs to clinical stakeholders.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PHAR 691 – Geriatrics Research Group</w:t>
      </w:r>
      <w:r>
        <w:t xml:space="preserve"> </w:t>
      </w:r>
      <w:r>
        <w:t xml:space="preserve">(Fall 2023, P): Interdisciplinary</w:t>
      </w:r>
      <w:r>
        <w:t xml:space="preserve"> </w:t>
      </w:r>
      <w:r>
        <w:t xml:space="preserve">clinical reviews validating causal calculator findings against geriatric</w:t>
      </w:r>
      <w:r>
        <w:t xml:space="preserve"> </w:t>
      </w:r>
      <w:r>
        <w:t xml:space="preserve">prescribing standards (STOPP/Beers criteria).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Lean Six Sigma Black Belt</w:t>
      </w:r>
      <w:r>
        <w:t xml:space="preserve"> </w:t>
      </w:r>
      <w:r>
        <w:t xml:space="preserve">(Villanova): Managing reliability and safety of</w:t>
      </w:r>
      <w:r>
        <w:t xml:space="preserve"> </w:t>
      </w:r>
      <w:r>
        <w:t xml:space="preserve">the clinical software lifecycle; reducing process variation in inference pipeline</w:t>
      </w:r>
      <w:r>
        <w:t xml:space="preserve"> </w:t>
      </w:r>
      <w:r>
        <w:t xml:space="preserve">deployment.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DAPT 642 – Intro to Risk Analysis</w:t>
      </w:r>
      <w:r>
        <w:t xml:space="preserve"> </w:t>
      </w:r>
      <w:r>
        <w:t xml:space="preserve">(Spring 2017, A): Formal risk assessment</w:t>
      </w:r>
      <w:r>
        <w:t xml:space="preserve"> </w:t>
      </w:r>
      <w:r>
        <w:t xml:space="preserve">integrated into the CI/CD pipeline validation gates.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FMBA 614–616 – Health Care Management</w:t>
      </w:r>
      <w:r>
        <w:t xml:space="preserve">: Executive-level communication of</w:t>
      </w:r>
      <w:r>
        <w:t xml:space="preserve"> </w:t>
      </w:r>
      <w:r>
        <w:t xml:space="preserve">complex XAI outputs to non-technical clinical leadership.</w:t>
      </w:r>
    </w:p>
    <w:bookmarkEnd w:id="36"/>
    <w:bookmarkStart w:id="37" w:name="fellowship-milestones"/>
    <w:p>
      <w:pPr>
        <w:pStyle w:val="Heading2"/>
      </w:pPr>
      <w:r>
        <w:t xml:space="preserve">Fellowship Milestones</w:t>
      </w:r>
    </w:p>
    <w:p>
      <w:pPr>
        <w:pStyle w:val="FirstParagraph"/>
      </w:pPr>
      <w:r>
        <w:t xml:space="preserve">Completion of GRAD 691 (Dissertation Research) and all specialized PHAR/HGEN</w:t>
      </w:r>
      <w:r>
        <w:t xml:space="preserve"> </w:t>
      </w:r>
      <w:r>
        <w:t xml:space="preserve">sequences positions me to finalize the Consensus-Causal Filter manuscript series</w:t>
      </w:r>
      <w:r>
        <w:t xml:space="preserve"> </w:t>
      </w:r>
      <w:r>
        <w:t xml:space="preserve">and deploy the dashboard for the planned</w:t>
      </w:r>
      <w:r>
        <w:t xml:space="preserve"> </w:t>
      </w:r>
      <w:r>
        <w:rPr>
          <w:b/>
          <w:bCs/>
        </w:rPr>
        <w:t xml:space="preserve">June 2026 defense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CH_1–CH_2 manuscripts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 (complete)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Doctoral Qualifying Examination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CH_3–CH_5 manuscripts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production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 (complete)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Dissertation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2026</w:t>
            </w:r>
          </w:p>
        </w:tc>
      </w:tr>
    </w:tbl>
    <w:p>
      <w:r>
        <w:br w:type="page"/>
      </w:r>
    </w:p>
    <w:bookmarkEnd w:id="37"/>
    <w:bookmarkEnd w:id="38"/>
    <w:bookmarkStart w:id="42" w:name="candidates-background-and-goals"/>
    <w:p>
      <w:pPr>
        <w:pStyle w:val="Heading1"/>
      </w:pPr>
      <w:r>
        <w:t xml:space="preserve">Candidate’s Background and Goals</w:t>
      </w:r>
    </w:p>
    <w:bookmarkStart w:id="39" w:name="personal-statement"/>
    <w:p>
      <w:pPr>
        <w:pStyle w:val="Heading2"/>
      </w:pPr>
      <w:r>
        <w:t xml:space="preserve">Personal Statement</w:t>
      </w:r>
    </w:p>
    <w:p>
      <w:pPr>
        <w:pStyle w:val="FirstParagraph"/>
      </w:pPr>
      <w:r>
        <w:t xml:space="preserve">My research goal is to bridge administrative claims data and clinical decision</w:t>
      </w:r>
      <w:r>
        <w:t xml:space="preserve"> </w:t>
      </w:r>
      <w:r>
        <w:t xml:space="preserve">support using systems theory and military decision theory (OODA loops). As a</w:t>
      </w:r>
      <w:r>
        <w:t xml:space="preserve"> </w:t>
      </w:r>
      <w:r>
        <w:t xml:space="preserve">Navy veteran and data scientist, I apply rigorous engineering discipline—enforced</w:t>
      </w:r>
      <w:r>
        <w:t xml:space="preserve"> </w:t>
      </w:r>
      <w:r>
        <w:t xml:space="preserve">by Lean Six Sigma Black Belt training—to translational health informatics problems.</w:t>
      </w:r>
      <w:r>
        <w:t xml:space="preserve"> </w:t>
      </w:r>
      <w:r>
        <w:t xml:space="preserve">The causal gap between high-performing models and bedside usability is the central</w:t>
      </w:r>
      <w:r>
        <w:t xml:space="preserve"> </w:t>
      </w:r>
      <w:r>
        <w:t xml:space="preserve">challenge I address in this dissertation.</w:t>
      </w:r>
    </w:p>
    <w:bookmarkEnd w:id="39"/>
    <w:bookmarkStart w:id="40" w:name="preparedness"/>
    <w:p>
      <w:pPr>
        <w:pStyle w:val="Heading2"/>
      </w:pPr>
      <w:r>
        <w:t xml:space="preserve">Preparedness</w:t>
      </w:r>
    </w:p>
    <w:p>
      <w:pPr>
        <w:pStyle w:val="FirstParagraph"/>
      </w:pPr>
      <w:r>
        <w:rPr>
          <w:b/>
          <w:bCs/>
        </w:rPr>
        <w:t xml:space="preserve">Quantitative foundation:</w:t>
      </w:r>
      <w:r>
        <w:t xml:space="preserve"> </w:t>
      </w:r>
      <w:r>
        <w:t xml:space="preserve">Graduate training in Bayesian statistics (STAT 591,</w:t>
      </w:r>
      <w:r>
        <w:t xml:space="preserve"> </w:t>
      </w:r>
      <w:r>
        <w:t xml:space="preserve">A), deep learning (BIOS 691, A), quantitative genetics (HGEN 619), and</w:t>
      </w:r>
      <w:r>
        <w:t xml:space="preserve"> </w:t>
      </w:r>
      <w:r>
        <w:t xml:space="preserve">pharmacogenomics (PHAR 691) provides the methodological breadth for causal</w:t>
      </w:r>
      <w:r>
        <w:t xml:space="preserve"> </w:t>
      </w:r>
      <w:r>
        <w:t xml:space="preserve">discovery in multi-omic, claims-based data. Prior M.S. coursework (DAPT series,</w:t>
      </w:r>
      <w:r>
        <w:t xml:space="preserve"> </w:t>
      </w:r>
      <w:r>
        <w:t xml:space="preserve">all A) established mastery in database architecture, SQL, data mining, and</w:t>
      </w:r>
      <w:r>
        <w:t xml:space="preserve"> </w:t>
      </w:r>
      <w:r>
        <w:t xml:space="preserve">forecasting—directly applied to the partition-first APCD pipeline.</w:t>
      </w:r>
    </w:p>
    <w:p>
      <w:pPr>
        <w:pStyle w:val="BodyText"/>
      </w:pPr>
      <w:r>
        <w:rPr>
          <w:b/>
          <w:bCs/>
        </w:rPr>
        <w:t xml:space="preserve">Engineering credentials:</w:t>
      </w:r>
      <w:r>
        <w:t xml:space="preserve"> </w:t>
      </w:r>
      <w:r>
        <w:t xml:space="preserve">AWS certifications (Solutions Architect, Machine</w:t>
      </w:r>
      <w:r>
        <w:t xml:space="preserve"> </w:t>
      </w:r>
      <w:r>
        <w:t xml:space="preserve">Learning Specialty, Big Data Analytics) validate production-grade deployment</w:t>
      </w:r>
      <w:r>
        <w:t xml:space="preserve"> </w:t>
      </w:r>
      <w:r>
        <w:t xml:space="preserve">competency. The PGx Risk Dashboard is currently live at sub-100 ms warm inference.</w:t>
      </w:r>
    </w:p>
    <w:p>
      <w:pPr>
        <w:pStyle w:val="BodyText"/>
      </w:pPr>
      <w:r>
        <w:rPr>
          <w:b/>
          <w:bCs/>
        </w:rPr>
        <w:t xml:space="preserve">Demonstrated productivity:</w:t>
      </w:r>
      <w:r>
        <w:t xml:space="preserve"> </w:t>
      </w:r>
      <w:r>
        <w:t xml:space="preserve">Five dissertation manuscripts are complete or in</w:t>
      </w:r>
      <w:r>
        <w:t xml:space="preserve"> </w:t>
      </w:r>
      <w:r>
        <w:t xml:space="preserve">submission across four peer-reviewed journals (CTS, CPT:PSP, CPT), documenting</w:t>
      </w:r>
      <w:r>
        <w:t xml:space="preserve"> </w:t>
      </w:r>
      <w:r>
        <w:t xml:space="preserve">a complete pipeline from APCD-scale data engineering to serverless CDS deployment.</w:t>
      </w:r>
    </w:p>
    <w:bookmarkEnd w:id="40"/>
    <w:bookmarkStart w:id="41" w:name="potential"/>
    <w:p>
      <w:pPr>
        <w:pStyle w:val="Heading2"/>
      </w:pPr>
      <w:r>
        <w:t xml:space="preserve">Potential</w:t>
      </w:r>
    </w:p>
    <w:p>
      <w:pPr>
        <w:pStyle w:val="FirstParagraph"/>
      </w:pPr>
      <w:r>
        <w:t xml:space="preserve">The Clinical OODA Loop framework I developed integrates OODA decision theory with</w:t>
      </w:r>
      <w:r>
        <w:t xml:space="preserve"> </w:t>
      </w:r>
      <w:r>
        <w:t xml:space="preserve">CRISP-DM methodology to create a reproducible, generalizable pipeline for</w:t>
      </w:r>
      <w:r>
        <w:t xml:space="preserve"> </w:t>
      </w:r>
      <w:r>
        <w:t xml:space="preserve">translational clinical AI. This framework is designed to be replicable by any</w:t>
      </w:r>
      <w:r>
        <w:t xml:space="preserve"> </w:t>
      </w:r>
      <w:r>
        <w:t xml:space="preserve">research team with access to an all-payer claims database and standard cloud</w:t>
      </w:r>
      <w:r>
        <w:t xml:space="preserve"> </w:t>
      </w:r>
      <w:r>
        <w:t xml:space="preserve">infrastructure. The architecture is extensible to EHR-derived inputs as</w:t>
      </w:r>
      <w:r>
        <w:t xml:space="preserve"> </w:t>
      </w:r>
      <w:r>
        <w:t xml:space="preserve">additional data sources become available, without requiring proprietary</w:t>
      </w:r>
      <w:r>
        <w:t xml:space="preserve"> </w:t>
      </w:r>
      <w:r>
        <w:t xml:space="preserve">integration as a prerequisite.</w:t>
      </w:r>
    </w:p>
    <w:p>
      <w:r>
        <w:br w:type="page"/>
      </w:r>
    </w:p>
    <w:bookmarkEnd w:id="41"/>
    <w:bookmarkEnd w:id="42"/>
    <w:bookmarkStart w:id="47" w:name="compliance-and-data-management"/>
    <w:p>
      <w:pPr>
        <w:pStyle w:val="Heading1"/>
      </w:pPr>
      <w:r>
        <w:t xml:space="preserve">Compliance and Data Management</w:t>
      </w:r>
    </w:p>
    <w:bookmarkStart w:id="43" w:name="human-subjects"/>
    <w:p>
      <w:pPr>
        <w:pStyle w:val="Heading2"/>
      </w:pPr>
      <w:r>
        <w:t xml:space="preserve">Human Subjects</w:t>
      </w:r>
    </w:p>
    <w:p>
      <w:pPr>
        <w:pStyle w:val="FirstParagraph"/>
      </w:pPr>
      <w:r>
        <w:t xml:space="preserve">This project is a claims-based secondary analysis of de-identified records.</w:t>
      </w:r>
      <w:r>
        <w:t xml:space="preserve"> </w:t>
      </w:r>
      <w:r>
        <w:rPr>
          <w:b/>
          <w:bCs/>
        </w:rPr>
        <w:t xml:space="preserve">VCU IRB Protocol HM20022300</w:t>
      </w:r>
      <w:r>
        <w:t xml:space="preserve"> </w:t>
      </w:r>
      <w:r>
        <w:t xml:space="preserve">(non-human-subjects waiver) is in place, granted</w:t>
      </w:r>
      <w:r>
        <w:t xml:space="preserve"> </w:t>
      </w:r>
      <w:r>
        <w:t xml:space="preserve">by the Virginia Center for Health Innovation (VCHI) Data Use Agreement.</w:t>
      </w:r>
      <w:r>
        <w:t xml:space="preserve"> </w:t>
      </w:r>
      <w:r>
        <w:t xml:space="preserve">No identifiable patient data are collected, stored, or transmitted at any stage.</w:t>
      </w:r>
    </w:p>
    <w:bookmarkEnd w:id="43"/>
    <w:bookmarkStart w:id="44" w:name="privacy-by-design"/>
    <w:p>
      <w:pPr>
        <w:pStyle w:val="Heading2"/>
      </w:pPr>
      <w:r>
        <w:t xml:space="preserve">Privacy-by-Design</w:t>
      </w:r>
    </w:p>
    <w:p>
      <w:pPr>
        <w:pStyle w:val="FirstParagraph"/>
      </w:pPr>
      <w:r>
        <w:t xml:space="preserve">The PGx Risk Dashboard follows a</w:t>
      </w:r>
      <w:r>
        <w:t xml:space="preserve"> </w:t>
      </w:r>
      <w:r>
        <w:t xml:space="preserve">“compute, respond, discard”</w:t>
      </w:r>
      <w:r>
        <w:t xml:space="preserve"> </w:t>
      </w:r>
      <w:r>
        <w:t xml:space="preserve">pattern:</w:t>
      </w:r>
    </w:p>
    <w:p>
      <w:pPr>
        <w:pStyle w:val="Compact"/>
        <w:numPr>
          <w:ilvl w:val="0"/>
          <w:numId w:val="1006"/>
        </w:numPr>
      </w:pPr>
      <w:r>
        <w:t xml:space="preserve">Patient-linked inputs are processed in Lambda memory and discarded at function</w:t>
      </w:r>
      <w:r>
        <w:t xml:space="preserve"> </w:t>
      </w:r>
      <w:r>
        <w:t xml:space="preserve">termination.</w:t>
      </w:r>
    </w:p>
    <w:p>
      <w:pPr>
        <w:pStyle w:val="Compact"/>
        <w:numPr>
          <w:ilvl w:val="0"/>
          <w:numId w:val="1006"/>
        </w:numPr>
      </w:pPr>
      <w:r>
        <w:t xml:space="preserve">No PII is written to S3, databases, or logs.</w:t>
      </w:r>
    </w:p>
    <w:p>
      <w:pPr>
        <w:pStyle w:val="Compact"/>
        <w:numPr>
          <w:ilvl w:val="0"/>
          <w:numId w:val="1006"/>
        </w:numPr>
      </w:pPr>
      <w:r>
        <w:t xml:space="preserve">The CPIC PGx card accepts only SNP variant data (no name, DOB, or identifiers);</w:t>
      </w:r>
      <w:r>
        <w:t xml:space="preserve"> </w:t>
      </w:r>
      <w:r>
        <w:t xml:space="preserve">results are streamed directly to the client as a downloadable PDF.</w:t>
      </w:r>
    </w:p>
    <w:p>
      <w:pPr>
        <w:pStyle w:val="Compact"/>
        <w:numPr>
          <w:ilvl w:val="0"/>
          <w:numId w:val="1006"/>
        </w:numPr>
      </w:pPr>
      <w:r>
        <w:t xml:space="preserve">HIPAA minimum-necessary (45 CFR § 164.502(b)) is satisfied architecturally</w:t>
      </w:r>
      <w:r>
        <w:t xml:space="preserve"> </w:t>
      </w:r>
      <w:r>
        <w:t xml:space="preserve">without a Business Associate Agreement.</w:t>
      </w:r>
    </w:p>
    <w:bookmarkEnd w:id="44"/>
    <w:bookmarkStart w:id="45" w:name="data-management-and-sharing"/>
    <w:p>
      <w:pPr>
        <w:pStyle w:val="Heading2"/>
      </w:pPr>
      <w:r>
        <w:t xml:space="preserve">Data Management and Sharing</w:t>
      </w:r>
    </w:p>
    <w:p>
      <w:pPr>
        <w:pStyle w:val="FirstParagraph"/>
      </w:pPr>
      <w:r>
        <w:t xml:space="preserve">Code, derived network feature specifications, and analysis scripts are shared via</w:t>
      </w:r>
      <w:r>
        <w:t xml:space="preserve"> </w:t>
      </w:r>
      <w:r>
        <w:t xml:space="preserve">GitHub (github.com/Jerome3590/pgx-analysis) to ensure exact computational</w:t>
      </w:r>
      <w:r>
        <w:t xml:space="preserve"> </w:t>
      </w:r>
      <w:r>
        <w:t xml:space="preserve">reproducibility. Manuscript submission packages (DOCX + TIFFs + supplementary</w:t>
      </w:r>
      <w:r>
        <w:t xml:space="preserve"> </w:t>
      </w:r>
      <w:r>
        <w:t xml:space="preserve">tables) are maintained in the same repository. No individual-level claims data</w:t>
      </w:r>
      <w:r>
        <w:t xml:space="preserve"> </w:t>
      </w:r>
      <w:r>
        <w:t xml:space="preserve">are shared; only aggregate model outputs and feature importance summaries.</w:t>
      </w:r>
    </w:p>
    <w:bookmarkEnd w:id="45"/>
    <w:bookmarkStart w:id="46" w:name="responsible-conduct-of-research"/>
    <w:p>
      <w:pPr>
        <w:pStyle w:val="Heading2"/>
      </w:pPr>
      <w:r>
        <w:t xml:space="preserve">Responsible Conduct of Research</w:t>
      </w:r>
    </w:p>
    <w:p>
      <w:pPr>
        <w:pStyle w:val="FirstParagraph"/>
      </w:pPr>
      <w:r>
        <w:t xml:space="preserve">Training focuses on: (1) data privacy and HIPAA compliance in AI healthcare</w:t>
      </w:r>
      <w:r>
        <w:t xml:space="preserve"> </w:t>
      </w:r>
      <w:r>
        <w:t xml:space="preserve">applications; (2) ethics of algorithmic decision support for vulnerable populations;</w:t>
      </w:r>
      <w:r>
        <w:t xml:space="preserve"> </w:t>
      </w:r>
      <w:r>
        <w:t xml:space="preserve">(3) reproducibility standards including pre-registered holdout splits and public</w:t>
      </w:r>
      <w:r>
        <w:t xml:space="preserve"> </w:t>
      </w:r>
      <w:r>
        <w:t xml:space="preserve">code release; and (4) dual-use considerations for prescribing-behavior prediction</w:t>
      </w:r>
      <w:r>
        <w:t xml:space="preserve"> </w:t>
      </w:r>
      <w:r>
        <w:t xml:space="preserve">systems.</w:t>
      </w:r>
    </w:p>
    <w:p>
      <w:r>
        <w:br w:type="page"/>
      </w:r>
    </w:p>
    <w:bookmarkEnd w:id="46"/>
    <w:bookmarkEnd w:id="47"/>
    <w:bookmarkStart w:id="54" w:name="references"/>
    <w:p>
      <w:pPr>
        <w:pStyle w:val="Heading1"/>
      </w:pPr>
      <w:r>
        <w:t xml:space="preserve">References</w:t>
      </w:r>
    </w:p>
    <w:bookmarkStart w:id="53" w:name="refs"/>
    <w:bookmarkStart w:id="48" w:name="ref-Rajpurkar202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Pranav Rajpurkar, Emma Chen, Oishi Banerjee, Eric J. Topol. AI in health and medicine.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. 2022;28:31-38.</w:t>
      </w:r>
    </w:p>
    <w:bookmarkEnd w:id="48"/>
    <w:bookmarkStart w:id="49" w:name="ref-FDA2021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U.S. Food and Drug Administration. Artificial intelligence and machine learning in software as a medical device. Published online 2021.</w:t>
      </w:r>
    </w:p>
    <w:bookmarkEnd w:id="49"/>
    <w:bookmarkStart w:id="50" w:name="ref-Kapoor2023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Sayash Kapoor, Arvind Narayanan. Leakage and the reproducibility crisis in machine-learning-based science.</w:t>
      </w:r>
      <w:r>
        <w:t xml:space="preserve"> </w:t>
      </w:r>
      <w:r>
        <w:rPr>
          <w:i/>
          <w:iCs/>
        </w:rPr>
        <w:t xml:space="preserve">Patterns</w:t>
      </w:r>
      <w:r>
        <w:t xml:space="preserve">. 2023;4(9):100804.</w:t>
      </w:r>
    </w:p>
    <w:bookmarkEnd w:id="50"/>
    <w:bookmarkStart w:id="51" w:name="ref-kadra2021tabular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Ahmed Kadra, Marius Lindauer, Frank Hutter, Josif Grabocka. Tabular data: Deep learning is not all you need.</w:t>
      </w:r>
      <w:r>
        <w:t xml:space="preserve"> </w:t>
      </w:r>
      <w:r>
        <w:rPr>
          <w:i/>
          <w:iCs/>
        </w:rPr>
        <w:t xml:space="preserve">Information Fusion</w:t>
      </w:r>
      <w:r>
        <w:t xml:space="preserve">. 2022;81:84-90.</w:t>
      </w:r>
    </w:p>
    <w:bookmarkEnd w:id="51"/>
    <w:bookmarkStart w:id="52" w:name="ref-grinsztajn2023whe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Leandro Grinsztajn, Edouard Oyallon, Gaël Varoquaux. Why tree-based models still outperform deep learning on tabular data.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 2022;35:507-520.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Explainable Artificial Intelligence and Pharmacogenomics for Opioid and Polypharmacy Risk Prediction: A Causal Modeling Approach using All-Payer Claims Data</dc:title>
  <dc:creator>R. Jerome Dixon, B.S., M.S. Ph.D. Student, Integrative Life Sciences — Personalized Medicine Track School of Life Sciences and Sustainability, Virginia Commonwealth University  Sponsor: Elvin T. Price, Pharm.D., Ph.D., FAHA Victor A. Yanchick Associate Professor; Director, Geriatric Pharmacotherapy Program Department of Pharmacotherapy and Outcomes Science, VCU School of Pharmacy</dc:creator>
  <cp:keywords/>
  <dcterms:created xsi:type="dcterms:W3CDTF">2026-04-15T22:49:59Z</dcterms:created>
  <dcterms:modified xsi:type="dcterms:W3CDTF">2026-04-15T22:49:59Z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refs.bib</vt:lpwstr>
  </property>
  <property fmtid="{D5CDD505-2E9C-101B-9397-08002B2CF9AE}" pid="5" name="by-author">
    <vt:lpwstr/>
  </property>
  <property fmtid="{D5CDD505-2E9C-101B-9397-08002B2CF9AE}" pid="6" name="csl">
    <vt:lpwstr>https://raw.githubusercontent.com/citation-style-language/styles/master/american-medical-association.csl</vt:lpwstr>
  </property>
  <property fmtid="{D5CDD505-2E9C-101B-9397-08002B2CF9AE}" pid="7" name="date">
    <vt:lpwstr>2026-04-15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