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2026-04-15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mortality associated with polypharmacy and the</w:t>
      </w:r>
      <w:r>
        <w:t xml:space="preserve"> </w:t>
      </w:r>
      <w:r>
        <w:t xml:space="preserve">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</w:t>
      </w:r>
      <w:r>
        <w:t xml:space="preserve"> </w:t>
      </w:r>
      <w:r>
        <w:t xml:space="preserve">without EHR integration.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Develop an ensemble model (CatBoost/XGBoost) to predict opioid-related</w:t>
      </w:r>
      <w:r>
        <w:t xml:space="preserve"> </w:t>
      </w:r>
      <w:r>
        <w:t xml:space="preserve">ED visits across seven age bands (13–114) using a strict 2019 prospective holdout.</w:t>
      </w:r>
      <w:r>
        <w:t xml:space="preserve"> </w:t>
      </w:r>
      <w:r>
        <w:t xml:space="preserve">The Consensus-Causal Filter (SHAP ∩ FFA) will isolate modifiable causal features</w:t>
      </w:r>
      <w:r>
        <w:t xml:space="preserve"> </w:t>
      </w:r>
      <w:r>
        <w:t xml:space="preserve">from correlated documentation artifacts. Dynamic Time Warping (DTW) clustering</w:t>
      </w:r>
      <w:r>
        <w:t xml:space="preserve"> </w:t>
      </w:r>
      <w:r>
        <w:t xml:space="preserve">will identify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(22.1-month)</w:t>
      </w:r>
      <w:r>
        <w:t xml:space="preserve"> </w:t>
      </w:r>
      <w:r>
        <w:t xml:space="preserve">trajectory archetypes to guide the timing of clinical interventions.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Ensemble models with AUROC ≥ 0.95 and PR-AUC ≥ 0.84 across</w:t>
      </w:r>
      <w:r>
        <w:t xml:space="preserve"> </w:t>
      </w:r>
      <w:r>
        <w:t xml:space="preserve">all seven age bands, with DTW archetypes providing intervention windows validated</w:t>
      </w:r>
      <w:r>
        <w:t xml:space="preserve"> </w:t>
      </w:r>
      <w:r>
        <w:t xml:space="preserve">against 2019 holdout trajectory concordance.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Extend FFA to identify synergistic drug-drug interactions (e.g.,</w:t>
      </w:r>
      <w:r>
        <w:t xml:space="preserve"> </w:t>
      </w:r>
      <w:r>
        <w:t xml:space="preserve">Acetaminophen + Levofloxacin, IE = 16.3) in geriatric populations using FP-Growth</w:t>
      </w:r>
      <w:r>
        <w:t xml:space="preserve"> </w:t>
      </w:r>
      <w:r>
        <w:t xml:space="preserve">co-occurrence networks and Interaction Effect (IE) scoring. Quantify Intervention</w:t>
      </w:r>
      <w:r>
        <w:t xml:space="preserve"> </w:t>
      </w:r>
      <w:r>
        <w:t xml:space="preserve">Rate (IR) scores to rank deprescribing priorities based on expected risk reduction</w:t>
      </w:r>
      <w:r>
        <w:t xml:space="preserve"> </w:t>
      </w:r>
      <w:r>
        <w:t xml:space="preserve">per patient exposure.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Identification of ≥100 synergistic drug pairs, IR-ranked</w:t>
      </w:r>
      <w:r>
        <w:t xml:space="preserve"> </w:t>
      </w:r>
      <w:r>
        <w:t xml:space="preserve">deprescribing targets actionable from standard claims data, and a validated Z-code</w:t>
      </w:r>
      <w:r>
        <w:t xml:space="preserve"> </w:t>
      </w:r>
      <w:r>
        <w:t xml:space="preserve">monitoring analysis distinguishing managed from fragmented-care polypharmacy</w:t>
      </w:r>
      <w:r>
        <w:t xml:space="preserve"> </w:t>
      </w:r>
      <w:r>
        <w:t xml:space="preserve">phenotypes.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Deploy a serverless PGx Risk Dashboard on AWS Lambda bundling up to 84 per-bin</w:t>
      </w:r>
      <w:r>
        <w:t xml:space="preserve"> </w:t>
      </w:r>
      <w:r>
        <w:t xml:space="preserve">ensemble models. Implement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to maintain risk-band</w:t>
      </w:r>
      <w:r>
        <w:t xml:space="preserve"> </w:t>
      </w:r>
      <w:r>
        <w:t xml:space="preserve">stability up to 60% input sparsity. Integrate CPIC Level A/B pharmacogenomic</w:t>
      </w:r>
      <w:r>
        <w:t xml:space="preserve"> </w:t>
      </w:r>
      <w:r>
        <w:t xml:space="preserve">guidance via a stateless, ephemeral gene-drug lookup card satisfying HIPAA</w:t>
      </w:r>
      <w:r>
        <w:t xml:space="preserve"> </w:t>
      </w:r>
      <w:r>
        <w:t xml:space="preserve">minimum-necessary (45 CFR § 164.502(b)).</w:t>
      </w:r>
    </w:p>
    <w:p>
      <w:pPr>
        <w:pStyle w:val="BodyText"/>
      </w:pPr>
      <w:r>
        <w:rPr>
          <w:i/>
          <w:iCs/>
        </w:rPr>
        <w:t xml:space="preserve">Expected Outcome:</w:t>
      </w:r>
      <w:r>
        <w:t xml:space="preserve"> </w:t>
      </w:r>
      <w:r>
        <w:t xml:space="preserve">Production-deployed dashboard achieving warm inference ≤ 100 ms,</w:t>
      </w:r>
      <w:r>
        <w:t xml:space="preserve"> </w:t>
      </w:r>
      <w:r>
        <w:t xml:space="preserve">cold-start ≤ 3,000 ms, 100% CPIC concordance across 573 test cases, and risk-band</w:t>
      </w:r>
      <w:r>
        <w:t xml:space="preserve"> </w:t>
      </w:r>
      <w:r>
        <w:t xml:space="preserve">stability at ≥ 87% of patients at 50% input sparsity.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Fifteen Age Band × Cohort partitions (opioid-related ED: 13–64; non-opioid ED:</w:t>
      </w:r>
      <w:r>
        <w:t xml:space="preserve"> </w:t>
      </w:r>
      <w:r>
        <w:t xml:space="preserve">65–114)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Aims 1 &amp; 2 model training; qualify; submit CH_1–CH_2 to journals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deployment (Aim 3); submit CH_3–CH_5;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Computational foundation for</w:t>
      </w:r>
      <w:r>
        <w:t xml:space="preserve"> </w:t>
      </w:r>
      <w:r>
        <w:t xml:space="preserve">high-throughput genomic and claims-based data engineering.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A): Advanced feature</w:t>
      </w:r>
      <w:r>
        <w:t xml:space="preserve"> </w:t>
      </w:r>
      <w:r>
        <w:t xml:space="preserve">engineering and pipeline design for large-scale biomedical datasets.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 validates</w:t>
      </w:r>
      <w:r>
        <w:t xml:space="preserve"> </w:t>
      </w:r>
      <w:r>
        <w:t xml:space="preserve">expertise in designing, deploying, and monitoring large-scale inference pipelines</w:t>
      </w:r>
      <w:r>
        <w:t xml:space="preserve"> </w:t>
      </w:r>
      <w:r>
        <w:t xml:space="preserve">and stratified ensemble models across age bands and risk strata.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Analytics</w:t>
      </w:r>
      <w:r>
        <w:t xml:space="preserve">: Expertise in scaling analytical workloads</w:t>
      </w:r>
      <w:r>
        <w:t xml:space="preserve"> </w:t>
      </w:r>
      <w:r>
        <w:t xml:space="preserve">(DuckDB and S3 data lakes) to achieve the 15.1× throughput improvement.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</w:t>
      </w:r>
      <w:r>
        <w:t xml:space="preserve">: Technical basis for deploying the serverless</w:t>
      </w:r>
      <w:r>
        <w:t xml:space="preserve"> </w:t>
      </w:r>
      <w:r>
        <w:t xml:space="preserve">PGx Risk Dashboard using the ephemeral AWS Lambda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Population-level genomic</w:t>
      </w:r>
      <w:r>
        <w:t xml:space="preserve"> </w:t>
      </w:r>
      <w:r>
        <w:t xml:space="preserve">variation informing CPIC Level A/B feature engineering.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infrastructure, with no proprietary EHR integration required.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2026-04-15T22:36:04Z</dcterms:created>
  <dcterms:modified xsi:type="dcterms:W3CDTF">2026-04-15T22:36:04Z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