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78"/>
        <w:ind w:left="0" w:right="0"/>
      </w:pPr>
    </w:p>
    <w:p>
      <w:pPr>
        <w:sectPr>
          <w:pgSz w:w="17280" w:h="12960"/>
          <w:pgMar w:top="498" w:right="1180" w:bottom="340" w:left="126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Best Practice: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Utilize a Behavioral Health Construction Com-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pliance Checklist maintained by the Owner’s Advisor to vali-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date readiness at each milestone.</w:t>
      </w:r>
    </w:p>
    <w:p>
      <w:pPr>
        <w:autoSpaceDN w:val="0"/>
        <w:autoSpaceDE w:val="0"/>
        <w:widowControl/>
        <w:spacing w:line="266" w:lineRule="auto" w:before="250" w:after="0"/>
        <w:ind w:left="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Case Example: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On a 54-bed inpatient project in Sacramento,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Owner’s Advisor identified early inconsistencies in lig-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ature-resistant products and halted procurement, preventing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$180,000 in costly retrofits.</w:t>
      </w:r>
    </w:p>
    <w:p>
      <w:pPr>
        <w:autoSpaceDN w:val="0"/>
        <w:autoSpaceDE w:val="0"/>
        <w:widowControl/>
        <w:spacing w:line="264" w:lineRule="auto" w:before="606" w:after="0"/>
        <w:ind w:left="0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2. Weekly Field Coordination and Look-Ahead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Scheduling</w:t>
      </w:r>
    </w:p>
    <w:p>
      <w:pPr>
        <w:autoSpaceDN w:val="0"/>
        <w:tabs>
          <w:tab w:pos="884" w:val="left"/>
        </w:tabs>
        <w:autoSpaceDE w:val="0"/>
        <w:widowControl/>
        <w:spacing w:line="269" w:lineRule="auto" w:before="390" w:after="0"/>
        <w:ind w:left="32" w:right="1728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“The key is not to prioritize what’s on your schedule, but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to schedule your priorities.” - Stephen Covey</w:t>
      </w:r>
    </w:p>
    <w:p>
      <w:pPr>
        <w:autoSpaceDN w:val="0"/>
        <w:autoSpaceDE w:val="0"/>
        <w:widowControl/>
        <w:spacing w:line="266" w:lineRule="auto" w:before="220" w:after="0"/>
        <w:ind w:left="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DBIA research (2022)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confirms that projects with weekly field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coordination meetings are 45% more likely to meet milestone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deadlines.</w:t>
      </w:r>
    </w:p>
    <w:p>
      <w:pPr>
        <w:autoSpaceDN w:val="0"/>
        <w:autoSpaceDE w:val="0"/>
        <w:widowControl/>
        <w:spacing w:line="278" w:lineRule="auto" w:before="25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3-Week Look-Ahead Planning Table:</w:t>
      </w:r>
    </w:p>
    <w:p>
      <w:pPr>
        <w:autoSpaceDN w:val="0"/>
        <w:autoSpaceDE w:val="0"/>
        <w:widowControl/>
        <w:spacing w:line="278" w:lineRule="auto" w:before="26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>Week       Lead Role                              Focus</w:t>
      </w:r>
    </w:p>
    <w:p>
      <w:pPr>
        <w:autoSpaceDN w:val="0"/>
        <w:autoSpaceDE w:val="0"/>
        <w:widowControl/>
        <w:spacing w:line="274" w:lineRule="auto" w:before="8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1           Superintendent         Site logistics, staging, major trades</w:t>
      </w:r>
    </w:p>
    <w:p>
      <w:pPr>
        <w:autoSpaceDN w:val="0"/>
        <w:autoSpaceDE w:val="0"/>
        <w:widowControl/>
        <w:spacing w:line="274" w:lineRule="auto" w:before="8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2           Project Manager       Punchlist prep, inspection alignment </w:t>
      </w:r>
    </w:p>
    <w:p>
      <w:pPr>
        <w:autoSpaceDN w:val="0"/>
        <w:autoSpaceDE w:val="0"/>
        <w:widowControl/>
        <w:spacing w:line="274" w:lineRule="auto" w:before="8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3           QA/QC Foreman      RFI clearance, long-lead item review</w:t>
      </w:r>
    </w:p>
    <w:p>
      <w:pPr>
        <w:autoSpaceDN w:val="0"/>
        <w:autoSpaceDE w:val="0"/>
        <w:widowControl/>
        <w:spacing w:line="278" w:lineRule="auto" w:before="44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Pull Planning Tips:</w:t>
      </w:r>
    </w:p>
    <w:p>
      <w:pPr>
        <w:autoSpaceDN w:val="0"/>
        <w:autoSpaceDE w:val="0"/>
        <w:widowControl/>
        <w:spacing w:line="276" w:lineRule="auto" w:before="158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Use sticky-note scheduling with color-coded constraints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Assign leads and dates to resolve blockers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Align trades on site access, inspections, and sequence</w:t>
      </w:r>
    </w:p>
    <w:p>
      <w:pPr>
        <w:sectPr>
          <w:type w:val="continuous"/>
          <w:pgSz w:w="17280" w:h="12960"/>
          <w:pgMar w:top="498" w:right="1180" w:bottom="340" w:left="1260" w:header="720" w:footer="720" w:gutter="0"/>
          <w:cols w:num="2" w:equalWidth="0">
            <w:col w:w="7392" w:space="0"/>
            <w:col w:w="7448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124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Owner’s Advisor Role:</w:t>
      </w:r>
    </w:p>
    <w:p>
      <w:pPr>
        <w:autoSpaceDN w:val="0"/>
        <w:tabs>
          <w:tab w:pos="1788" w:val="left"/>
        </w:tabs>
        <w:autoSpaceDE w:val="0"/>
        <w:widowControl/>
        <w:spacing w:line="293" w:lineRule="auto" w:before="158" w:after="0"/>
        <w:ind w:left="1608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Monitor schedule adherence and flag risks early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Provide recovery recommendations for critical path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delays</w:t>
      </w:r>
    </w:p>
    <w:p>
      <w:pPr>
        <w:autoSpaceDN w:val="0"/>
        <w:autoSpaceDE w:val="0"/>
        <w:widowControl/>
        <w:spacing w:line="264" w:lineRule="auto" w:before="424" w:after="0"/>
        <w:ind w:left="1248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3. RFI and Submittal Processes Optimized for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Rapid Delivery</w:t>
      </w:r>
    </w:p>
    <w:p>
      <w:pPr>
        <w:autoSpaceDN w:val="0"/>
        <w:autoSpaceDE w:val="0"/>
        <w:widowControl/>
        <w:spacing w:line="269" w:lineRule="auto" w:before="148" w:after="0"/>
        <w:ind w:left="1248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DBIA Benchmarking (2023)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shows that clear RFI/Submittal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processes reduce change orders by 50%.</w:t>
      </w:r>
    </w:p>
    <w:p>
      <w:pPr>
        <w:autoSpaceDN w:val="0"/>
        <w:autoSpaceDE w:val="0"/>
        <w:widowControl/>
        <w:spacing w:line="269" w:lineRule="auto" w:before="340" w:after="0"/>
        <w:ind w:left="124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Submittal Workflow: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Submittal → Design Review (3–5 Days)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→ Return to GC → Procurement → Installation</w:t>
      </w:r>
    </w:p>
    <w:p>
      <w:pPr>
        <w:autoSpaceDN w:val="0"/>
        <w:autoSpaceDE w:val="0"/>
        <w:widowControl/>
        <w:spacing w:line="278" w:lineRule="auto" w:before="514" w:after="0"/>
        <w:ind w:left="124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RFI Prioritization:</w:t>
      </w:r>
    </w:p>
    <w:p>
      <w:pPr>
        <w:autoSpaceDN w:val="0"/>
        <w:autoSpaceDE w:val="0"/>
        <w:widowControl/>
        <w:spacing w:line="317" w:lineRule="auto" w:before="152" w:after="0"/>
        <w:ind w:left="1608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Tier 1: Critical Path → 48-hour turnaround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Tier 2: Design Clarification → 3–5 days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Tier 3: Documentation Only → 7–10 days</w:t>
      </w:r>
    </w:p>
    <w:p>
      <w:pPr>
        <w:autoSpaceDN w:val="0"/>
        <w:autoSpaceDE w:val="0"/>
        <w:widowControl/>
        <w:spacing w:line="278" w:lineRule="auto" w:before="724" w:after="0"/>
        <w:ind w:left="124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Owner’s Advisor Tools:</w:t>
      </w:r>
    </w:p>
    <w:p>
      <w:pPr>
        <w:autoSpaceDN w:val="0"/>
        <w:autoSpaceDE w:val="0"/>
        <w:widowControl/>
        <w:spacing w:line="307" w:lineRule="auto" w:before="152" w:after="0"/>
        <w:ind w:left="1608" w:right="21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Submittal log with live status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RFI dashboard with escalation notes</w:t>
      </w:r>
    </w:p>
    <w:p>
      <w:pPr>
        <w:autoSpaceDN w:val="0"/>
        <w:autoSpaceDE w:val="0"/>
        <w:widowControl/>
        <w:spacing w:line="276" w:lineRule="auto" w:before="164" w:after="1998"/>
        <w:ind w:left="16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Milestone mapping of field dependencies</w:t>
      </w:r>
    </w:p>
    <w:p>
      <w:pPr>
        <w:sectPr>
          <w:type w:val="nextColumn"/>
          <w:pgSz w:w="17280" w:h="12960"/>
          <w:pgMar w:top="498" w:right="1180" w:bottom="340" w:left="1260" w:header="720" w:footer="720" w:gutter="0"/>
          <w:cols w:num="2" w:equalWidth="0">
            <w:col w:w="7392" w:space="0"/>
            <w:col w:w="744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10"/>
        <w:gridCol w:w="3710"/>
        <w:gridCol w:w="3710"/>
        <w:gridCol w:w="3710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262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16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Construction Management and Field Oversight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263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8" w:right="118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sectPr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4. Managing Quality, Safety, Inspections, and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Milestone Tracking</w:t>
      </w:r>
    </w:p>
    <w:p>
      <w:pPr>
        <w:autoSpaceDN w:val="0"/>
        <w:autoSpaceDE w:val="0"/>
        <w:widowControl/>
        <w:spacing w:line="278" w:lineRule="auto" w:before="14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Field Safety Protocol: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058" w:space="0"/>
            <w:col w:w="7722" w:space="0"/>
          </w:cols>
          <w:docGrid w:linePitch="360"/>
        </w:sectPr>
      </w:pPr>
    </w:p>
    <w:p>
      <w:pPr>
        <w:autoSpaceDN w:val="0"/>
        <w:tabs>
          <w:tab w:pos="1942" w:val="left"/>
          <w:tab w:pos="2122" w:val="left"/>
        </w:tabs>
        <w:autoSpaceDE w:val="0"/>
        <w:widowControl/>
        <w:spacing w:line="314" w:lineRule="auto" w:before="0" w:after="74"/>
        <w:ind w:left="1582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Best Practices: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Host a preconstruction kickoff with IOR, GC, and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Owner’s Advisor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058" w:space="0"/>
            <w:col w:w="772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0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22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Focus Area 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2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 Frequency     Lead Role </w:t>
            </w:r>
          </w:p>
        </w:tc>
        <w:tc>
          <w:tcPr>
            <w:tcW w:type="dxa" w:w="3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22" w:after="0"/>
              <w:ind w:left="25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 Reporting</w:t>
            </w:r>
          </w:p>
        </w:tc>
        <w:tc>
          <w:tcPr>
            <w:tcW w:type="dxa" w:w="7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17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• Maintain a live log of IOR observations and response </w:t>
            </w:r>
          </w:p>
        </w:tc>
      </w:tr>
      <w:tr>
        <w:trPr>
          <w:trHeight w:hRule="exact" w:val="294"/>
        </w:trPr>
        <w:tc>
          <w:tcPr>
            <w:tcW w:type="dxa" w:w="3695"/>
            <w:vMerge/>
            <w:tcBorders/>
          </w:tcPr>
          <w:p/>
        </w:tc>
        <w:tc>
          <w:tcPr>
            <w:tcW w:type="dxa" w:w="3695"/>
            <w:vMerge/>
            <w:tcBorders/>
          </w:tcPr>
          <w:p/>
        </w:tc>
        <w:tc>
          <w:tcPr>
            <w:tcW w:type="dxa" w:w="3695"/>
            <w:vMerge/>
            <w:tcBorders/>
          </w:tcPr>
          <w:p/>
        </w:tc>
        <w:tc>
          <w:tcPr>
            <w:tcW w:type="dxa" w:w="7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47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actions</w:t>
            </w:r>
          </w:p>
        </w:tc>
      </w:tr>
    </w:tbl>
    <w:p>
      <w:pPr>
        <w:autoSpaceDN w:val="0"/>
        <w:autoSpaceDE w:val="0"/>
        <w:widowControl/>
        <w:spacing w:line="14" w:lineRule="exact" w:before="0" w:after="180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auto" w:before="0" w:after="208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Toolbox Talks     Daily             GC Site Super    Field Safety Log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27"/>
        <w:gridCol w:w="4927"/>
        <w:gridCol w:w="4927"/>
      </w:tblGrid>
      <w:tr>
        <w:trPr>
          <w:trHeight w:hRule="exact" w:val="35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Safety Audit 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 Weekly 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54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GC +                 Checklist Form</w:t>
            </w:r>
          </w:p>
        </w:tc>
      </w:tr>
      <w:tr>
        <w:trPr>
          <w:trHeight w:hRule="exact" w:val="366"/>
        </w:trPr>
        <w:tc>
          <w:tcPr>
            <w:tcW w:type="dxa" w:w="4927"/>
            <w:vMerge/>
            <w:tcBorders/>
          </w:tcPr>
          <w:p/>
        </w:tc>
        <w:tc>
          <w:tcPr>
            <w:tcW w:type="dxa" w:w="4927"/>
            <w:vMerge/>
            <w:tcBorders/>
          </w:tcPr>
          <w:p/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4" w:after="0"/>
              <w:ind w:left="2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 Owner Rep</w:t>
            </w:r>
          </w:p>
        </w:tc>
      </w:tr>
    </w:tbl>
    <w:p>
      <w:pPr>
        <w:autoSpaceDN w:val="0"/>
        <w:autoSpaceDE w:val="0"/>
        <w:widowControl/>
        <w:spacing w:line="274" w:lineRule="auto" w:before="2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ICRA Protocols  Daily             ICRA Monitor      Entry Logs</w:t>
      </w:r>
    </w:p>
    <w:p>
      <w:pPr>
        <w:autoSpaceDN w:val="0"/>
        <w:autoSpaceDE w:val="0"/>
        <w:widowControl/>
        <w:spacing w:line="274" w:lineRule="auto" w:before="444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>QA/QC Workflow: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Substrate Inspection → Rough-In QA →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First-in-Place Review → Inspector Sign-Off → Punchlist Turn-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over</w:t>
      </w:r>
    </w:p>
    <w:p>
      <w:pPr>
        <w:autoSpaceDN w:val="0"/>
        <w:autoSpaceDE w:val="0"/>
        <w:widowControl/>
        <w:spacing w:line="278" w:lineRule="auto" w:before="25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Sample Inspection Calendar: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338" w:space="0"/>
            <w:col w:w="7442" w:space="0"/>
          </w:cols>
          <w:docGrid w:linePitch="360"/>
        </w:sectPr>
      </w:pPr>
    </w:p>
    <w:p>
      <w:pPr>
        <w:autoSpaceDN w:val="0"/>
        <w:tabs>
          <w:tab w:pos="1842" w:val="left"/>
        </w:tabs>
        <w:autoSpaceDE w:val="0"/>
        <w:widowControl/>
        <w:spacing w:line="269" w:lineRule="auto" w:before="0" w:after="0"/>
        <w:ind w:left="166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Invite IOR to all major mock-up reviews and milestone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inspections</w:t>
      </w:r>
    </w:p>
    <w:p>
      <w:pPr>
        <w:autoSpaceDN w:val="0"/>
        <w:autoSpaceDE w:val="0"/>
        <w:widowControl/>
        <w:spacing w:line="278" w:lineRule="auto" w:before="604" w:after="0"/>
        <w:ind w:left="130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Risk Mitigation Tips:</w:t>
      </w:r>
    </w:p>
    <w:p>
      <w:pPr>
        <w:autoSpaceDN w:val="0"/>
        <w:tabs>
          <w:tab w:pos="1842" w:val="left"/>
        </w:tabs>
        <w:autoSpaceDE w:val="0"/>
        <w:widowControl/>
        <w:spacing w:line="269" w:lineRule="auto" w:before="152" w:after="0"/>
        <w:ind w:left="1662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Avoid scope surprises; notify IOR of changes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immediately</w:t>
      </w:r>
    </w:p>
    <w:p>
      <w:pPr>
        <w:autoSpaceDN w:val="0"/>
        <w:autoSpaceDE w:val="0"/>
        <w:widowControl/>
        <w:spacing w:line="276" w:lineRule="auto" w:before="74" w:after="0"/>
        <w:ind w:left="16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Respect authority, but foster proactive partnership</w:t>
      </w:r>
    </w:p>
    <w:p>
      <w:pPr>
        <w:autoSpaceDN w:val="0"/>
        <w:tabs>
          <w:tab w:pos="1842" w:val="left"/>
        </w:tabs>
        <w:autoSpaceDE w:val="0"/>
        <w:widowControl/>
        <w:spacing w:line="269" w:lineRule="auto" w:before="74" w:after="424"/>
        <w:ind w:left="166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Keep submittals, RFIs, and updates transparent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accessible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338" w:space="0"/>
            <w:col w:w="744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63"/>
        <w:gridCol w:w="2463"/>
        <w:gridCol w:w="2463"/>
        <w:gridCol w:w="2463"/>
        <w:gridCol w:w="2463"/>
        <w:gridCol w:w="2463"/>
      </w:tblGrid>
      <w:tr>
        <w:trPr>
          <w:trHeight w:hRule="exact" w:val="466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6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Date </w:t>
            </w:r>
          </w:p>
        </w:tc>
        <w:tc>
          <w:tcPr>
            <w:tcW w:type="dxa" w:w="3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6" w:after="0"/>
              <w:ind w:left="1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 Type              Inspector    Area 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6" w:after="0"/>
              <w:ind w:left="41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 Status</w:t>
            </w:r>
          </w:p>
        </w:tc>
        <w:tc>
          <w:tcPr>
            <w:tcW w:type="dxa" w:w="7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3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>Owner’s Advisor Role:</w:t>
            </w:r>
          </w:p>
          <w:p>
            <w:pPr>
              <w:autoSpaceDN w:val="0"/>
              <w:tabs>
                <w:tab w:pos="1920" w:val="left"/>
              </w:tabs>
              <w:autoSpaceDE w:val="0"/>
              <w:widowControl/>
              <w:spacing w:line="302" w:lineRule="auto" w:before="152" w:after="0"/>
              <w:ind w:left="174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 Liaison between IOR and clinical leadership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• Translate regulatory expectations into field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implementation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• Track follow-ups and documentation through closure</w:t>
            </w:r>
          </w:p>
        </w:tc>
      </w:tr>
      <w:tr>
        <w:trPr>
          <w:trHeight w:hRule="exact" w:val="460"/>
        </w:trPr>
        <w:tc>
          <w:tcPr>
            <w:tcW w:type="dxa" w:w="1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May 2  Fire Rough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 FM 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64" w:after="0"/>
              <w:ind w:left="3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 East Wing           Scheduled</w:t>
            </w:r>
          </w:p>
        </w:tc>
        <w:tc>
          <w:tcPr>
            <w:tcW w:type="dxa" w:w="2463"/>
            <w:vMerge/>
            <w:tcBorders/>
          </w:tcPr>
          <w:p/>
        </w:tc>
      </w:tr>
      <w:tr>
        <w:trPr>
          <w:trHeight w:hRule="exact" w:val="740"/>
        </w:trPr>
        <w:tc>
          <w:tcPr>
            <w:tcW w:type="dxa" w:w="44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76" w:val="left"/>
              </w:tabs>
              <w:autoSpaceDE w:val="0"/>
              <w:widowControl/>
              <w:spacing w:line="245" w:lineRule="auto" w:before="94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May 4  Med Gas Cert  State         Central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 Core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94" w:after="0"/>
              <w:ind w:left="4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 In Review</w:t>
            </w:r>
          </w:p>
        </w:tc>
        <w:tc>
          <w:tcPr>
            <w:tcW w:type="dxa" w:w="2463"/>
            <w:vMerge/>
            <w:tcBorders/>
          </w:tcPr>
          <w:p/>
        </w:tc>
      </w:tr>
      <w:tr>
        <w:trPr>
          <w:trHeight w:hRule="exact" w:val="626"/>
        </w:trPr>
        <w:tc>
          <w:tcPr>
            <w:tcW w:type="dxa" w:w="1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May 7 ADA Ramp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 Final</w:t>
            </w:r>
          </w:p>
        </w:tc>
        <w:tc>
          <w:tcPr>
            <w:tcW w:type="dxa" w:w="5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04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 Local         Entry Vestibule   Complete</w:t>
            </w:r>
          </w:p>
        </w:tc>
        <w:tc>
          <w:tcPr>
            <w:tcW w:type="dxa" w:w="246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578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5. Coordinating with HCAI Inspector of Record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(IOR)</w:t>
      </w:r>
    </w:p>
    <w:p>
      <w:pPr>
        <w:autoSpaceDN w:val="0"/>
        <w:autoSpaceDE w:val="0"/>
        <w:widowControl/>
        <w:spacing w:line="266" w:lineRule="auto" w:before="152" w:after="0"/>
        <w:ind w:left="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IOR is the eyes and ears of HCAI on-site. Their role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critical for permit compliance, safety, and schedule progres-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sion.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218" w:space="0"/>
            <w:col w:w="7562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1422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6. Documenting Progress and Avoiding Litigation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Traps</w:t>
      </w:r>
    </w:p>
    <w:p>
      <w:pPr>
        <w:autoSpaceDN w:val="0"/>
        <w:autoSpaceDE w:val="0"/>
        <w:widowControl/>
        <w:spacing w:line="266" w:lineRule="auto" w:before="148" w:after="1068"/>
        <w:ind w:left="142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Documentation Hierarchy: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Daily Logs → Weekly Photos →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Field Reports → Inspection Checklists → Issue Logs → Close-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out Records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218" w:space="0"/>
            <w:col w:w="756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264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16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Construction Management and Field Oversight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265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7280" w:h="12960"/>
          <w:pgMar w:top="500" w:right="1240" w:bottom="340" w:left="1260" w:header="720" w:footer="720" w:gutter="0"/>
          <w:cols/>
          <w:docGrid w:linePitch="360"/>
        </w:sectPr>
      </w:pPr>
    </w:p>
    <w:p>
      <w:pPr>
        <w:autoSpaceDN w:val="0"/>
        <w:tabs>
          <w:tab w:pos="3226" w:val="left"/>
        </w:tabs>
        <w:autoSpaceDE w:val="0"/>
        <w:widowControl/>
        <w:spacing w:line="389" w:lineRule="auto" w:before="0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Litigation Readiness Tracker: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Type                      Frequency     Retained By           Platform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RFIs/Responses       Daily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CM + Architect      Procore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Change Directives    As Needed      Owner’s Advisor    Egnyte</w:t>
      </w:r>
    </w:p>
    <w:p>
      <w:pPr>
        <w:sectPr>
          <w:type w:val="continuous"/>
          <w:pgSz w:w="17280" w:h="12960"/>
          <w:pgMar w:top="500" w:right="1240" w:bottom="340" w:left="1260" w:header="720" w:footer="720" w:gutter="0"/>
          <w:cols w:num="2" w:equalWidth="0">
            <w:col w:w="7490" w:space="0"/>
            <w:col w:w="7290" w:space="0"/>
          </w:cols>
          <w:docGrid w:linePitch="360"/>
        </w:sectPr>
      </w:pPr>
    </w:p>
    <w:p>
      <w:pPr>
        <w:autoSpaceDN w:val="0"/>
        <w:tabs>
          <w:tab w:pos="1690" w:val="left"/>
        </w:tabs>
        <w:autoSpaceDE w:val="0"/>
        <w:widowControl/>
        <w:spacing w:line="295" w:lineRule="auto" w:before="0" w:after="206"/>
        <w:ind w:left="151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Maintain real-time inspection schedules and punchlists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Prioritize compliance with HCAI, ADA, and licensing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milestones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Use cloud platforms for documentation and progress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audits</w:t>
      </w:r>
    </w:p>
    <w:p>
      <w:pPr>
        <w:sectPr>
          <w:type w:val="nextColumn"/>
          <w:pgSz w:w="17280" w:h="12960"/>
          <w:pgMar w:top="500" w:right="1240" w:bottom="340" w:left="1260" w:header="720" w:footer="720" w:gutter="0"/>
          <w:cols w:num="2" w:equalWidth="0">
            <w:col w:w="7490" w:space="0"/>
            <w:col w:w="729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572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Inspector Reports     Weekly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2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 CM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6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 SharePoint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20" w:after="0"/>
              <w:ind w:left="13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>Risk Mitigation Essentials:</w:t>
            </w:r>
          </w:p>
        </w:tc>
      </w:tr>
    </w:tbl>
    <w:p>
      <w:pPr>
        <w:autoSpaceDN w:val="0"/>
        <w:autoSpaceDE w:val="0"/>
        <w:widowControl/>
        <w:spacing w:line="14" w:lineRule="exact" w:before="0" w:after="228"/>
        <w:ind w:left="0" w:right="0"/>
      </w:pPr>
    </w:p>
    <w:p>
      <w:pPr>
        <w:sectPr>
          <w:type w:val="continuous"/>
          <w:pgSz w:w="17280" w:h="12960"/>
          <w:pgMar w:top="500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Owner’s Advisor Best Practices:</w:t>
      </w:r>
    </w:p>
    <w:p>
      <w:pPr>
        <w:autoSpaceDN w:val="0"/>
        <w:tabs>
          <w:tab w:pos="540" w:val="left"/>
        </w:tabs>
        <w:autoSpaceDE w:val="0"/>
        <w:widowControl/>
        <w:spacing w:line="302" w:lineRule="auto" w:before="152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Require written confirmation for all field direction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Use cloud-based systems with real-time version control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Perform biweekly audits of documentation and inspection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logs</w:t>
      </w:r>
    </w:p>
    <w:p>
      <w:pPr>
        <w:sectPr>
          <w:type w:val="continuous"/>
          <w:pgSz w:w="17280" w:h="12960"/>
          <w:pgMar w:top="500" w:right="1240" w:bottom="340" w:left="1260" w:header="720" w:footer="720" w:gutter="0"/>
          <w:cols w:num="2" w:equalWidth="0">
            <w:col w:w="7580" w:space="0"/>
            <w:col w:w="7200" w:space="0"/>
          </w:cols>
          <w:docGrid w:linePitch="360"/>
        </w:sectPr>
      </w:pPr>
    </w:p>
    <w:p>
      <w:pPr>
        <w:autoSpaceDN w:val="0"/>
        <w:tabs>
          <w:tab w:pos="1600" w:val="left"/>
        </w:tabs>
        <w:autoSpaceDE w:val="0"/>
        <w:widowControl/>
        <w:spacing w:line="302" w:lineRule="auto" w:before="0" w:after="336"/>
        <w:ind w:left="14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Validate field mock-ups prior to material ordering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Track inspector notes and corrective actions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Elevate unresolved issues with supporting data and cross-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team buy-in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Document thoroughly: if it’s not written down, it didn’t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happen</w:t>
      </w:r>
    </w:p>
    <w:p>
      <w:pPr>
        <w:sectPr>
          <w:type w:val="nextColumn"/>
          <w:pgSz w:w="17280" w:h="12960"/>
          <w:pgMar w:top="500" w:right="1240" w:bottom="340" w:left="1260" w:header="720" w:footer="720" w:gutter="0"/>
          <w:cols w:num="2" w:equalWidth="0">
            <w:col w:w="7580" w:space="0"/>
            <w:col w:w="7200" w:space="0"/>
          </w:cols>
          <w:docGrid w:linePitch="360"/>
        </w:sectPr>
      </w:pPr>
    </w:p>
    <w:p>
      <w:pPr>
        <w:autoSpaceDN w:val="0"/>
        <w:tabs>
          <w:tab w:pos="8640" w:val="left"/>
        </w:tabs>
        <w:autoSpaceDE w:val="0"/>
        <w:widowControl/>
        <w:spacing w:line="343" w:lineRule="auto" w:before="0" w:after="62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Conclusion: Leadership in the Field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Final Thought:</w:t>
      </w:r>
    </w:p>
    <w:p>
      <w:pPr>
        <w:sectPr>
          <w:type w:val="continuous"/>
          <w:pgSz w:w="17280" w:h="12960"/>
          <w:pgMar w:top="500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 construction demands precision, empathy,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regulatory fluency. At its core, the construction phase is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just about delivering square footage—it’s about building trust,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safety, and long-term healing environments.</w:t>
      </w:r>
    </w:p>
    <w:p>
      <w:pPr>
        <w:autoSpaceDN w:val="0"/>
        <w:autoSpaceDE w:val="0"/>
        <w:widowControl/>
        <w:spacing w:line="278" w:lineRule="auto" w:before="2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According to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DBIA (2023)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Projects with early Owner’s Advisor involvement are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43% more likely to finish on time and budget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Integrated design-construction teams reduce change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orders by 50%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Strong inspection coordination accelerates licensure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readiness by 30%</w:t>
      </w:r>
    </w:p>
    <w:p>
      <w:pPr>
        <w:autoSpaceDN w:val="0"/>
        <w:autoSpaceDE w:val="0"/>
        <w:widowControl/>
        <w:spacing w:line="278" w:lineRule="auto" w:before="44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Summary Best Practices:</w:t>
      </w:r>
    </w:p>
    <w:p>
      <w:pPr>
        <w:autoSpaceDN w:val="0"/>
        <w:autoSpaceDE w:val="0"/>
        <w:widowControl/>
        <w:spacing w:line="276" w:lineRule="auto" w:before="158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Engage the IOR and regulatory agencies early</w:t>
      </w:r>
    </w:p>
    <w:p>
      <w:pPr>
        <w:sectPr>
          <w:type w:val="continuous"/>
          <w:pgSz w:w="17280" w:h="12960"/>
          <w:pgMar w:top="500" w:right="1240" w:bottom="340" w:left="1260" w:header="720" w:footer="720" w:gutter="0"/>
          <w:cols w:num="2" w:equalWidth="0">
            <w:col w:w="7402" w:space="0"/>
            <w:col w:w="7378" w:space="0"/>
          </w:cols>
          <w:docGrid w:linePitch="360"/>
        </w:sectPr>
      </w:pPr>
    </w:p>
    <w:p>
      <w:pPr>
        <w:autoSpaceDN w:val="0"/>
        <w:tabs>
          <w:tab w:pos="2718" w:val="left"/>
        </w:tabs>
        <w:autoSpaceDE w:val="0"/>
        <w:widowControl/>
        <w:spacing w:line="269" w:lineRule="auto" w:before="0" w:after="0"/>
        <w:ind w:left="1266" w:right="576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“The measure of a facility is not only how well it is built,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but how wisely it was overseen.”</w:t>
      </w:r>
    </w:p>
    <w:p>
      <w:pPr>
        <w:autoSpaceDN w:val="0"/>
        <w:autoSpaceDE w:val="0"/>
        <w:widowControl/>
        <w:spacing w:line="264" w:lineRule="auto" w:before="224" w:after="2664"/>
        <w:ind w:left="12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we transition into the final stages of commissioning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operational handoff, Chapter 11 underscores the indispensable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role of field leadership, documentation, and strategic collabo-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ration. What begins as drawings ends as a sanctuary for heal-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ing—if done right.</w:t>
      </w:r>
    </w:p>
    <w:p>
      <w:pPr>
        <w:sectPr>
          <w:type w:val="nextColumn"/>
          <w:pgSz w:w="17280" w:h="12960"/>
          <w:pgMar w:top="500" w:right="1240" w:bottom="340" w:left="1260" w:header="720" w:footer="720" w:gutter="0"/>
          <w:cols w:num="2" w:equalWidth="0">
            <w:col w:w="7402" w:space="0"/>
            <w:col w:w="737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266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16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Construction Management and Field Oversight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267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500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4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0" w:right="188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50"/>
        </w:rPr>
        <w:t>Chapter 17</w:t>
      </w:r>
    </w:p>
    <w:p>
      <w:pPr>
        <w:autoSpaceDN w:val="0"/>
        <w:autoSpaceDE w:val="0"/>
        <w:widowControl/>
        <w:spacing w:line="264" w:lineRule="auto" w:before="138" w:after="0"/>
        <w:ind w:left="9504" w:right="864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0"/>
        </w:rPr>
        <w:t xml:space="preserve">Construction Administration and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30"/>
        </w:rPr>
        <w:t>Owner Engagement</w:t>
      </w:r>
    </w:p>
    <w:p>
      <w:pPr>
        <w:autoSpaceDN w:val="0"/>
        <w:tabs>
          <w:tab w:pos="9780" w:val="left"/>
          <w:tab w:pos="9924" w:val="left"/>
          <w:tab w:pos="10046" w:val="left"/>
        </w:tabs>
        <w:autoSpaceDE w:val="0"/>
        <w:widowControl/>
        <w:spacing w:line="266" w:lineRule="auto" w:before="404" w:after="0"/>
        <w:ind w:left="9508" w:right="1152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“Success in project management lies in </w:t>
      </w:r>
      <w:r>
        <w:br/>
      </w:r>
      <w:r>
        <w:tab/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anticipating challenges, empowering </w:t>
      </w:r>
      <w:r>
        <w:br/>
      </w:r>
      <w:r>
        <w:tab/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decision-makers, and leading with </w:t>
      </w:r>
      <w:r>
        <w:br/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clarity and consistency.” — Anonymous</w:t>
      </w:r>
    </w:p>
    <w:p>
      <w:pPr>
        <w:autoSpaceDN w:val="0"/>
        <w:autoSpaceDE w:val="0"/>
        <w:widowControl/>
        <w:spacing w:line="278" w:lineRule="auto" w:before="394" w:after="0"/>
        <w:ind w:left="0" w:right="260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What you will learn in this chapter:</w:t>
      </w:r>
    </w:p>
    <w:p>
      <w:pPr>
        <w:autoSpaceDN w:val="0"/>
        <w:autoSpaceDE w:val="0"/>
        <w:widowControl/>
        <w:spacing w:line="278" w:lineRule="auto" w:before="102" w:after="0"/>
        <w:ind w:left="0" w:right="88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Keeping the Owner Informed: Reports, Tours, Decisions</w:t>
      </w:r>
    </w:p>
    <w:p>
      <w:pPr>
        <w:autoSpaceDN w:val="0"/>
        <w:autoSpaceDE w:val="0"/>
        <w:widowControl/>
        <w:spacing w:line="278" w:lineRule="auto" w:before="34" w:after="0"/>
        <w:ind w:left="0" w:right="53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Field Changes, Change Orders, and Scope Creep Prevention</w:t>
      </w:r>
    </w:p>
    <w:p>
      <w:pPr>
        <w:autoSpaceDN w:val="0"/>
        <w:autoSpaceDE w:val="0"/>
        <w:widowControl/>
        <w:spacing w:line="278" w:lineRule="auto" w:before="34" w:after="0"/>
        <w:ind w:left="0" w:right="92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Punch Lists, Inspections, and Regulatory Walkthroughs</w:t>
      </w:r>
    </w:p>
    <w:p>
      <w:pPr>
        <w:autoSpaceDN w:val="0"/>
        <w:autoSpaceDE w:val="0"/>
        <w:widowControl/>
        <w:spacing w:line="278" w:lineRule="auto" w:before="34" w:after="0"/>
        <w:ind w:left="0" w:right="152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Ensuring a Culture of Care During Construction</w:t>
      </w:r>
    </w:p>
    <w:p>
      <w:pPr>
        <w:autoSpaceDN w:val="0"/>
        <w:autoSpaceDE w:val="0"/>
        <w:widowControl/>
        <w:spacing w:line="278" w:lineRule="auto" w:before="34" w:after="0"/>
        <w:ind w:left="0" w:right="130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Managing Expectations for Substantial Completion</w:t>
      </w:r>
    </w:p>
    <w:p>
      <w:pPr>
        <w:autoSpaceDN w:val="0"/>
        <w:autoSpaceDE w:val="0"/>
        <w:widowControl/>
        <w:spacing w:line="278" w:lineRule="auto" w:before="854" w:after="0"/>
        <w:ind w:left="0" w:right="392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Chapter Overview</w:t>
      </w:r>
    </w:p>
    <w:p>
      <w:pPr>
        <w:autoSpaceDN w:val="0"/>
        <w:autoSpaceDE w:val="0"/>
        <w:widowControl/>
        <w:spacing w:line="262" w:lineRule="auto" w:before="154" w:after="0"/>
        <w:ind w:left="86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Construction administration (CA) represents the critical bridge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between field execution and operational activation. It is more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than a countdown to completion—it is the time when docu-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mentation, inspections, punchlists, and coordination culminate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the final product. For behavioral health facilities, where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regulatory scrutiny, clinical precision, and trauma-informed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 intersect, this phase must be executed with discipline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integrity.</w:t>
      </w:r>
    </w:p>
    <w:p>
      <w:pPr>
        <w:autoSpaceDN w:val="0"/>
        <w:tabs>
          <w:tab w:pos="14460" w:val="left"/>
        </w:tabs>
        <w:autoSpaceDE w:val="0"/>
        <w:widowControl/>
        <w:spacing w:line="274" w:lineRule="auto" w:before="8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268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269</w:t>
      </w:r>
    </w:p>
    <w:p>
      <w:pPr>
        <w:sectPr>
          <w:pgSz w:w="17280" w:h="12960"/>
          <w:pgMar w:top="964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6"/>
        <w:ind w:left="0" w:right="0"/>
      </w:pPr>
    </w:p>
    <w:p>
      <w:pPr>
        <w:sectPr>
          <w:pgSz w:w="17280" w:h="12960"/>
          <w:pgMar w:top="498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2" w:lineRule="auto" w:before="0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According to the Design-Build Institute of America (DBIA),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projects that engage Owner’s Advisors and implement struc-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tured CA practices experience 50% fewer change orders, a 36%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reduction in final inspection delays, and are 42% more likely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meet budget and schedule targets (DBIA, 2022). Similarly,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American Institute of Architects (AIA) reports that stakehold-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er-inclusive walkthroughs reduce post-occupancy disruptions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by 28% and licensing delays by up to 45% (AIA, 2021).</w:t>
      </w:r>
    </w:p>
    <w:p>
      <w:pPr>
        <w:autoSpaceDN w:val="0"/>
        <w:autoSpaceDE w:val="0"/>
        <w:widowControl/>
        <w:spacing w:line="264" w:lineRule="auto" w:before="25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chapter outlines best practices, statistics, and proven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strategies for successful construction administration and owner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engagement. It draws on data from DBIA, AIA, CA DHCS,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field-tested Owner’s Advisor experience to ensure smooth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turnover, stakeholder confidence, and facility readiness.</w:t>
      </w:r>
    </w:p>
    <w:p>
      <w:pPr>
        <w:sectPr>
          <w:type w:val="continuous"/>
          <w:pgSz w:w="17280" w:h="12960"/>
          <w:pgMar w:top="498" w:right="1240" w:bottom="340" w:left="1260" w:header="720" w:footer="720" w:gutter="0"/>
          <w:cols w:num="2" w:equalWidth="0">
            <w:col w:w="7408" w:space="0"/>
            <w:col w:w="7372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123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Common Challenges &amp; Solutions:</w:t>
      </w:r>
    </w:p>
    <w:p>
      <w:pPr>
        <w:autoSpaceDN w:val="0"/>
        <w:tabs>
          <w:tab w:pos="1772" w:val="left"/>
        </w:tabs>
        <w:autoSpaceDE w:val="0"/>
        <w:widowControl/>
        <w:spacing w:line="269" w:lineRule="auto" w:before="74" w:after="0"/>
        <w:ind w:left="1592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Overwhelmed Owners: Assign an Owner’s Advisor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interpret technical data and guide decision-making.</w:t>
      </w:r>
    </w:p>
    <w:p>
      <w:pPr>
        <w:autoSpaceDN w:val="0"/>
        <w:tabs>
          <w:tab w:pos="1772" w:val="left"/>
        </w:tabs>
        <w:autoSpaceDE w:val="0"/>
        <w:widowControl/>
        <w:spacing w:line="269" w:lineRule="auto" w:before="74" w:after="0"/>
        <w:ind w:left="159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Gaps in communication: Use structured engagement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sessions with documentation summaries.</w:t>
      </w:r>
    </w:p>
    <w:p>
      <w:pPr>
        <w:autoSpaceDN w:val="0"/>
        <w:tabs>
          <w:tab w:pos="1772" w:val="left"/>
        </w:tabs>
        <w:autoSpaceDE w:val="0"/>
        <w:widowControl/>
        <w:spacing w:line="269" w:lineRule="auto" w:before="74" w:after="0"/>
        <w:ind w:left="1592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Missed approvals: Set clear decision deadlines tied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procurement and inspection readiness.</w:t>
      </w:r>
    </w:p>
    <w:p>
      <w:pPr>
        <w:autoSpaceDN w:val="0"/>
        <w:autoSpaceDE w:val="0"/>
        <w:widowControl/>
        <w:spacing w:line="264" w:lineRule="auto" w:before="426" w:after="0"/>
        <w:ind w:left="1232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2. Field Changes, Change Orders, and Scope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Creep Prevention</w:t>
      </w:r>
    </w:p>
    <w:p>
      <w:pPr>
        <w:autoSpaceDN w:val="0"/>
        <w:autoSpaceDE w:val="0"/>
        <w:widowControl/>
        <w:spacing w:line="266" w:lineRule="auto" w:before="152" w:after="208"/>
        <w:ind w:left="123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Changes are inevitable—but must be tightly controlled. Ac-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cording to DBIA research, projects that use formal change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control processes reduce cost overruns by 37% (DBIA, 2021).</w:t>
      </w:r>
    </w:p>
    <w:p>
      <w:pPr>
        <w:sectPr>
          <w:type w:val="nextColumn"/>
          <w:pgSz w:w="17280" w:h="12960"/>
          <w:pgMar w:top="498" w:right="1240" w:bottom="340" w:left="1260" w:header="720" w:footer="720" w:gutter="0"/>
          <w:cols w:num="2" w:equalWidth="0">
            <w:col w:w="7408" w:space="0"/>
            <w:col w:w="7372" w:space="0"/>
          </w:cols>
          <w:docGrid w:linePitch="360"/>
        </w:sectPr>
      </w:pPr>
    </w:p>
    <w:p>
      <w:pPr>
        <w:autoSpaceDN w:val="0"/>
        <w:tabs>
          <w:tab w:pos="8640" w:val="left"/>
        </w:tabs>
        <w:autoSpaceDE w:val="0"/>
        <w:widowControl/>
        <w:spacing w:line="314" w:lineRule="auto" w:before="0" w:after="274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Key Areas of Focus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Best Practices Include:</w:t>
      </w:r>
    </w:p>
    <w:p>
      <w:pPr>
        <w:sectPr>
          <w:type w:val="continuous"/>
          <w:pgSz w:w="17280" w:h="12960"/>
          <w:pgMar w:top="498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1. Keeping the Owner Informed: Reports, Tours,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Decisions</w:t>
      </w:r>
    </w:p>
    <w:p>
      <w:pPr>
        <w:autoSpaceDN w:val="0"/>
        <w:autoSpaceDE w:val="0"/>
        <w:widowControl/>
        <w:spacing w:line="266" w:lineRule="auto" w:before="152" w:after="0"/>
        <w:ind w:left="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Transparency is essential. Owners must have a clear line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sight into daily progress, budget shifts, schedule risks,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inspection readiness.</w:t>
      </w:r>
    </w:p>
    <w:p>
      <w:pPr>
        <w:autoSpaceDN w:val="0"/>
        <w:autoSpaceDE w:val="0"/>
        <w:widowControl/>
        <w:spacing w:line="278" w:lineRule="auto" w:before="25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Best Practices Include: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Weekly summary reports with milestone tracking, budget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exposure updates, and licensing preparation.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Regular Owner walkthroughs to monitor field conditions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identify activation needs.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Live dashboards for RFIs, submittals, and open action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items.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Decision logs tracked by Owner’s Advisor to ensure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accountability.</w:t>
      </w:r>
    </w:p>
    <w:p>
      <w:pPr>
        <w:sectPr>
          <w:type w:val="continuous"/>
          <w:pgSz w:w="17280" w:h="12960"/>
          <w:pgMar w:top="498" w:right="1240" w:bottom="340" w:left="1260" w:header="720" w:footer="720" w:gutter="0"/>
          <w:cols w:num="2" w:equalWidth="0">
            <w:col w:w="7372" w:space="0"/>
            <w:col w:w="7408" w:space="0"/>
          </w:cols>
          <w:docGrid w:linePitch="360"/>
        </w:sectPr>
      </w:pPr>
    </w:p>
    <w:p>
      <w:pPr>
        <w:autoSpaceDN w:val="0"/>
        <w:tabs>
          <w:tab w:pos="1808" w:val="left"/>
        </w:tabs>
        <w:autoSpaceDE w:val="0"/>
        <w:widowControl/>
        <w:spacing w:line="269" w:lineRule="auto" w:before="0" w:after="0"/>
        <w:ind w:left="162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Structured change order workflow with justification,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impact review, and written approval.</w:t>
      </w:r>
    </w:p>
    <w:p>
      <w:pPr>
        <w:autoSpaceDN w:val="0"/>
        <w:tabs>
          <w:tab w:pos="1808" w:val="left"/>
        </w:tabs>
        <w:autoSpaceDE w:val="0"/>
        <w:widowControl/>
        <w:spacing w:line="269" w:lineRule="auto" w:before="74" w:after="0"/>
        <w:ind w:left="1628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Ongoing change tracking through a centralized cost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management tool.</w:t>
      </w:r>
    </w:p>
    <w:p>
      <w:pPr>
        <w:autoSpaceDN w:val="0"/>
        <w:autoSpaceDE w:val="0"/>
        <w:widowControl/>
        <w:spacing w:line="276" w:lineRule="auto" w:before="74" w:after="0"/>
        <w:ind w:left="16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Weekly scope review meetings led by Owner’s Advisor.</w:t>
      </w:r>
    </w:p>
    <w:p>
      <w:pPr>
        <w:autoSpaceDN w:val="0"/>
        <w:tabs>
          <w:tab w:pos="1628" w:val="left"/>
          <w:tab w:pos="1808" w:val="left"/>
        </w:tabs>
        <w:autoSpaceDE w:val="0"/>
        <w:widowControl/>
        <w:spacing w:line="293" w:lineRule="auto" w:before="310" w:after="0"/>
        <w:ind w:left="1268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Common Challenges &amp; Solutions: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Clinical team change requests late in construction: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Educate on financial and schedule impacts.</w:t>
      </w:r>
    </w:p>
    <w:p>
      <w:pPr>
        <w:autoSpaceDN w:val="0"/>
        <w:tabs>
          <w:tab w:pos="1808" w:val="left"/>
        </w:tabs>
        <w:autoSpaceDE w:val="0"/>
        <w:widowControl/>
        <w:spacing w:line="293" w:lineRule="auto" w:before="74" w:after="1558"/>
        <w:ind w:left="162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Scope drift: Implement strict scope freeze checkpoints.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Budget overruns: Require changes to include funding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source identification.</w:t>
      </w:r>
    </w:p>
    <w:p>
      <w:pPr>
        <w:sectPr>
          <w:type w:val="nextColumn"/>
          <w:pgSz w:w="17280" w:h="12960"/>
          <w:pgMar w:top="498" w:right="1240" w:bottom="340" w:left="1260" w:header="720" w:footer="720" w:gutter="0"/>
          <w:cols w:num="2" w:equalWidth="0">
            <w:col w:w="7372" w:space="0"/>
            <w:col w:w="740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270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17</w:t>
            </w:r>
          </w:p>
        </w:tc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Construction Administration and Owner Engagement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271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8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sectPr>
          <w:pgSz w:w="17280" w:h="12960"/>
          <w:pgMar w:top="492" w:right="120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201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3. Punch Lists, Inspections, and Regulatory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Walkthroughs</w:t>
      </w:r>
    </w:p>
    <w:p>
      <w:pPr>
        <w:autoSpaceDN w:val="0"/>
        <w:autoSpaceDE w:val="0"/>
        <w:widowControl/>
        <w:spacing w:line="264" w:lineRule="auto" w:before="152" w:after="0"/>
        <w:ind w:left="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is a make-or-break phase for occupancy. Research from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California Department of Health Care Services (DHCS)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shows that 62% of licensing delays are due to uncoordinated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inspection readiness.</w:t>
      </w:r>
    </w:p>
    <w:p>
      <w:pPr>
        <w:autoSpaceDN w:val="0"/>
        <w:autoSpaceDE w:val="0"/>
        <w:widowControl/>
        <w:spacing w:line="278" w:lineRule="auto" w:before="40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Best Practices Include: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Initiate punchlisting early—by building zone or floor.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Engage facilities, nursing, and licensing teams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readiness walks.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Conduct mock walkthroughs with HCAI, Fire Marshal,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DHCS reviewers.</w:t>
      </w:r>
    </w:p>
    <w:p>
      <w:pPr>
        <w:autoSpaceDN w:val="0"/>
        <w:autoSpaceDE w:val="0"/>
        <w:widowControl/>
        <w:spacing w:line="278" w:lineRule="auto" w:before="31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Common Challenges &amp; Solutions: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Missed items: Use a punchlist app with photo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documentation and responsibility tagging.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Incomplete inspection documents: Maintain a binder per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agency with required submittals.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Inspection scheduling delays: Maintain a forward-looking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inspection calendar.</w:t>
      </w:r>
    </w:p>
    <w:p>
      <w:pPr>
        <w:autoSpaceDN w:val="0"/>
        <w:autoSpaceDE w:val="0"/>
        <w:widowControl/>
        <w:spacing w:line="264" w:lineRule="auto" w:before="424" w:after="0"/>
        <w:ind w:left="0" w:right="273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4. Ensuring a Culture of Care During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Construction</w:t>
      </w:r>
    </w:p>
    <w:p>
      <w:pPr>
        <w:autoSpaceDN w:val="0"/>
        <w:autoSpaceDE w:val="0"/>
        <w:widowControl/>
        <w:spacing w:line="264" w:lineRule="auto" w:before="152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Respect for the facility’s purpose must remain front and center.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Facilities that train contractors on behavioral health sensitivity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report a 22% improvement in staff satisfaction and 17% reduc-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tion in post-occupancy facility complaints (AIA Healthcare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Design Study, 2022).</w:t>
      </w:r>
    </w:p>
    <w:p>
      <w:pPr>
        <w:sectPr>
          <w:type w:val="continuous"/>
          <w:pgSz w:w="17280" w:h="12960"/>
          <w:pgMar w:top="492" w:right="1200" w:bottom="340" w:left="1260" w:header="720" w:footer="720" w:gutter="0"/>
          <w:cols w:num="2" w:equalWidth="0">
            <w:col w:w="7402" w:space="0"/>
            <w:col w:w="7418" w:space="0"/>
          </w:cols>
          <w:docGrid w:linePitch="360"/>
        </w:sectPr>
      </w:pPr>
    </w:p>
    <w:p>
      <w:pPr>
        <w:autoSpaceDN w:val="0"/>
        <w:tabs>
          <w:tab w:pos="1598" w:val="left"/>
        </w:tabs>
        <w:autoSpaceDE w:val="0"/>
        <w:widowControl/>
        <w:spacing w:line="310" w:lineRule="auto" w:before="0" w:after="0"/>
        <w:ind w:left="1238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Best Practices Include: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All workers trained in behavioral health site sensitivity.</w:t>
      </w:r>
    </w:p>
    <w:p>
      <w:pPr>
        <w:autoSpaceDN w:val="0"/>
        <w:tabs>
          <w:tab w:pos="1778" w:val="left"/>
        </w:tabs>
        <w:autoSpaceDE w:val="0"/>
        <w:widowControl/>
        <w:spacing w:line="269" w:lineRule="auto" w:before="74" w:after="0"/>
        <w:ind w:left="1598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Mission statements posted on-site and included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subcontractor orientation.</w:t>
      </w:r>
    </w:p>
    <w:p>
      <w:pPr>
        <w:autoSpaceDN w:val="0"/>
        <w:tabs>
          <w:tab w:pos="1778" w:val="left"/>
        </w:tabs>
        <w:autoSpaceDE w:val="0"/>
        <w:widowControl/>
        <w:spacing w:line="269" w:lineRule="auto" w:before="74" w:after="0"/>
        <w:ind w:left="159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Regular check-ins with adjacent departments or early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move-in teams.</w:t>
      </w:r>
    </w:p>
    <w:p>
      <w:pPr>
        <w:autoSpaceDN w:val="0"/>
        <w:tabs>
          <w:tab w:pos="1598" w:val="left"/>
          <w:tab w:pos="1778" w:val="left"/>
        </w:tabs>
        <w:autoSpaceDE w:val="0"/>
        <w:widowControl/>
        <w:spacing w:line="293" w:lineRule="auto" w:before="310" w:after="0"/>
        <w:ind w:left="1238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Common Challenges &amp; Solutions: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Worker fatigue or disconnection: Share project purpose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celebrate progress.</w:t>
      </w:r>
    </w:p>
    <w:p>
      <w:pPr>
        <w:autoSpaceDN w:val="0"/>
        <w:tabs>
          <w:tab w:pos="1778" w:val="left"/>
        </w:tabs>
        <w:autoSpaceDE w:val="0"/>
        <w:widowControl/>
        <w:spacing w:line="269" w:lineRule="auto" w:before="74" w:after="0"/>
        <w:ind w:left="159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Disruption of live operations: Schedule high-noise work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during off-hours.</w:t>
      </w:r>
    </w:p>
    <w:p>
      <w:pPr>
        <w:autoSpaceDN w:val="0"/>
        <w:tabs>
          <w:tab w:pos="1778" w:val="left"/>
        </w:tabs>
        <w:autoSpaceDE w:val="0"/>
        <w:widowControl/>
        <w:spacing w:line="269" w:lineRule="auto" w:before="74" w:after="0"/>
        <w:ind w:left="159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Perception gaps: Invite frontline staff to final milestone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walk-throughs.</w:t>
      </w:r>
    </w:p>
    <w:p>
      <w:pPr>
        <w:autoSpaceDN w:val="0"/>
        <w:autoSpaceDE w:val="0"/>
        <w:widowControl/>
        <w:spacing w:line="264" w:lineRule="auto" w:before="426" w:after="0"/>
        <w:ind w:left="1238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5. Managing Expectations for Substantial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Completion</w:t>
      </w:r>
    </w:p>
    <w:p>
      <w:pPr>
        <w:autoSpaceDN w:val="0"/>
        <w:autoSpaceDE w:val="0"/>
        <w:widowControl/>
        <w:spacing w:line="269" w:lineRule="auto" w:before="152" w:after="0"/>
        <w:ind w:left="12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Substantial completion is more than a date—it is an operational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milestone.</w:t>
      </w:r>
    </w:p>
    <w:p>
      <w:pPr>
        <w:autoSpaceDN w:val="0"/>
        <w:tabs>
          <w:tab w:pos="1598" w:val="left"/>
          <w:tab w:pos="1778" w:val="left"/>
        </w:tabs>
        <w:autoSpaceDE w:val="0"/>
        <w:widowControl/>
        <w:spacing w:line="293" w:lineRule="auto" w:before="310" w:after="0"/>
        <w:ind w:left="1238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Best Practices Include: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Define substantial completion criteria clearly in the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contract.</w:t>
      </w:r>
    </w:p>
    <w:p>
      <w:pPr>
        <w:autoSpaceDN w:val="0"/>
        <w:tabs>
          <w:tab w:pos="1778" w:val="left"/>
        </w:tabs>
        <w:autoSpaceDE w:val="0"/>
        <w:widowControl/>
        <w:spacing w:line="269" w:lineRule="auto" w:before="74" w:after="0"/>
        <w:ind w:left="159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Require life safety, access control, systems testing,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furniture delivery.</w:t>
      </w:r>
    </w:p>
    <w:p>
      <w:pPr>
        <w:autoSpaceDN w:val="0"/>
        <w:tabs>
          <w:tab w:pos="1778" w:val="left"/>
        </w:tabs>
        <w:autoSpaceDE w:val="0"/>
        <w:widowControl/>
        <w:spacing w:line="269" w:lineRule="auto" w:before="74" w:after="0"/>
        <w:ind w:left="159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Use a commissioning and activation matrix aligned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licensing steps.</w:t>
      </w:r>
    </w:p>
    <w:p>
      <w:pPr>
        <w:autoSpaceDN w:val="0"/>
        <w:tabs>
          <w:tab w:pos="1598" w:val="left"/>
          <w:tab w:pos="1778" w:val="left"/>
        </w:tabs>
        <w:autoSpaceDE w:val="0"/>
        <w:widowControl/>
        <w:spacing w:line="293" w:lineRule="auto" w:before="310" w:after="238"/>
        <w:ind w:left="1238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Common Challenges &amp; Solutions: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Misaligned expectations: Create shared definitions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between legal, GC, and operations.</w:t>
      </w:r>
    </w:p>
    <w:p>
      <w:pPr>
        <w:sectPr>
          <w:type w:val="nextColumn"/>
          <w:pgSz w:w="17280" w:h="12960"/>
          <w:pgMar w:top="492" w:right="1200" w:bottom="340" w:left="1260" w:header="720" w:footer="720" w:gutter="0"/>
          <w:cols w:num="2" w:equalWidth="0">
            <w:col w:w="7402" w:space="0"/>
            <w:col w:w="741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05"/>
        <w:gridCol w:w="3705"/>
        <w:gridCol w:w="3705"/>
        <w:gridCol w:w="370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272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17</w:t>
            </w:r>
          </w:p>
        </w:tc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Construction Administration and Owner Engagement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273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0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autoSpaceDN w:val="0"/>
        <w:tabs>
          <w:tab w:pos="540" w:val="left"/>
        </w:tabs>
        <w:autoSpaceDE w:val="0"/>
        <w:widowControl/>
        <w:spacing w:line="269" w:lineRule="auto" w:before="0" w:after="74"/>
        <w:ind w:left="360" w:right="87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Uncoordinated move-in: Engage a third-party move-in/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activation consultant.</w:t>
      </w:r>
    </w:p>
    <w:p>
      <w:pPr>
        <w:sectPr>
          <w:pgSz w:w="17280" w:h="12960"/>
          <w:pgMar w:top="502" w:right="1240" w:bottom="340" w:left="1260" w:header="720" w:footer="720" w:gutter="0"/>
          <w:cols/>
          <w:docGrid w:linePitch="360"/>
        </w:sectPr>
      </w:pPr>
    </w:p>
    <w:p>
      <w:pPr>
        <w:autoSpaceDN w:val="0"/>
        <w:tabs>
          <w:tab w:pos="540" w:val="left"/>
        </w:tabs>
        <w:autoSpaceDE w:val="0"/>
        <w:widowControl/>
        <w:spacing w:line="269" w:lineRule="auto" w:before="0" w:after="0"/>
        <w:ind w:left="360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Final cleaning or document delays: Track readiness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through Owner’s Advisor-led checklist.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Final Thought: Finishing Strong</w:t>
      </w:r>
    </w:p>
    <w:p>
      <w:pPr>
        <w:autoSpaceDN w:val="0"/>
        <w:autoSpaceDE w:val="0"/>
        <w:widowControl/>
        <w:spacing w:line="264" w:lineRule="auto" w:before="152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Construction administration is where vision becomes reali-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ty—or falls short. It is the stage where small oversights have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large consequences, and where leadership, documentation,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follow-through matter most.</w:t>
      </w:r>
    </w:p>
    <w:p>
      <w:pPr>
        <w:autoSpaceDN w:val="0"/>
        <w:autoSpaceDE w:val="0"/>
        <w:widowControl/>
        <w:spacing w:line="276" w:lineRule="auto" w:before="2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According to DBIA and AIA: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Owner’s Advisor-led CA protocols reduce final inspection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delays by 36%.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Engaged CA teams experience 50% fewer change orders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achieve faster licensure (DBIA, 2022).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Clinical stakeholder involvement in punchlists correlates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with 28% fewer post-occupancy disruptions.</w:t>
      </w:r>
    </w:p>
    <w:p>
      <w:pPr>
        <w:autoSpaceDN w:val="0"/>
        <w:autoSpaceDE w:val="0"/>
        <w:widowControl/>
        <w:spacing w:line="266" w:lineRule="auto" w:before="16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Owner’s Advisor is not just a liaison—they are the last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mile leader. They track details, translate data, coordinate agen-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cies, and keep the team focused on the mission.</w:t>
      </w:r>
    </w:p>
    <w:p>
      <w:pPr>
        <w:autoSpaceDN w:val="0"/>
        <w:autoSpaceDE w:val="0"/>
        <w:widowControl/>
        <w:spacing w:line="269" w:lineRule="auto" w:before="25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 the next chapter, we turn to commissioning and activation—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ensuring the facility not only opens, but thrives.</w:t>
      </w:r>
    </w:p>
    <w:p>
      <w:pPr>
        <w:sectPr>
          <w:type w:val="continuous"/>
          <w:pgSz w:w="17280" w:h="12960"/>
          <w:pgMar w:top="502" w:right="1240" w:bottom="340" w:left="1260" w:header="720" w:footer="720" w:gutter="0"/>
          <w:cols w:num="2" w:equalWidth="0">
            <w:col w:w="7408" w:space="0"/>
            <w:col w:w="7372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188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50"/>
        </w:rPr>
        <w:t>Chapter 18</w:t>
      </w:r>
    </w:p>
    <w:p>
      <w:pPr>
        <w:autoSpaceDN w:val="0"/>
        <w:autoSpaceDE w:val="0"/>
        <w:widowControl/>
        <w:spacing w:line="264" w:lineRule="auto" w:before="138" w:after="0"/>
        <w:ind w:left="2304" w:right="1008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0"/>
        </w:rPr>
        <w:t xml:space="preserve">Commissioning, Closeout, and </w:t>
      </w:r>
      <w:r>
        <w:rPr>
          <w:rFonts w:ascii="TimesNewRomanPS" w:hAnsi="TimesNewRomanPS" w:eastAsia="TimesNewRomanPS"/>
          <w:b/>
          <w:i w:val="0"/>
          <w:color w:val="000000"/>
          <w:sz w:val="30"/>
        </w:rPr>
        <w:t>Activation</w:t>
      </w:r>
    </w:p>
    <w:p>
      <w:pPr>
        <w:autoSpaceDN w:val="0"/>
        <w:tabs>
          <w:tab w:pos="3992" w:val="left"/>
        </w:tabs>
        <w:autoSpaceDE w:val="0"/>
        <w:widowControl/>
        <w:spacing w:line="269" w:lineRule="auto" w:before="530" w:after="0"/>
        <w:ind w:left="1858" w:right="1152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“Begin with the end in mind.” — Stephen R.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Covey</w:t>
      </w:r>
    </w:p>
    <w:p>
      <w:pPr>
        <w:autoSpaceDN w:val="0"/>
        <w:autoSpaceDE w:val="0"/>
        <w:widowControl/>
        <w:spacing w:line="278" w:lineRule="auto" w:before="668" w:after="0"/>
        <w:ind w:left="14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What you will learn in this chapter:</w:t>
      </w:r>
    </w:p>
    <w:p>
      <w:pPr>
        <w:autoSpaceDN w:val="0"/>
        <w:tabs>
          <w:tab w:pos="1682" w:val="left"/>
        </w:tabs>
        <w:autoSpaceDE w:val="0"/>
        <w:widowControl/>
        <w:spacing w:line="307" w:lineRule="auto" w:before="222" w:after="0"/>
        <w:ind w:left="1412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• Facility Commissioning for Life-Safety and Behavioral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Health-Specific Systems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• Transition-to-Operations Planning and Staff Readiness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• O&amp;M Manuals, Training, and Facility Performance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• Managing Warranties, FM Handoff, and 90-Day Tuning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• Lessons Learned and Post-Occupancy Evaluation Strategies</w:t>
      </w:r>
    </w:p>
    <w:p>
      <w:pPr>
        <w:autoSpaceDN w:val="0"/>
        <w:autoSpaceDE w:val="0"/>
        <w:widowControl/>
        <w:spacing w:line="278" w:lineRule="auto" w:before="634" w:after="0"/>
        <w:ind w:left="123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Chapter Overview</w:t>
      </w:r>
    </w:p>
    <w:p>
      <w:pPr>
        <w:autoSpaceDN w:val="0"/>
        <w:autoSpaceDE w:val="0"/>
        <w:widowControl/>
        <w:spacing w:line="264" w:lineRule="auto" w:before="154" w:after="1452"/>
        <w:ind w:left="12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Commissioning, closeout, and activation represent the culmi-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nation of a behavioral health facility’s development journey.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is the phase where construction transitions into care,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where systems, operations, and people must align in readiness.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goal is not simply occupancy—it is operational excellence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from day one</w:t>
      </w:r>
    </w:p>
    <w:p>
      <w:pPr>
        <w:sectPr>
          <w:type w:val="nextColumn"/>
          <w:pgSz w:w="17280" w:h="12960"/>
          <w:pgMar w:top="502" w:right="1240" w:bottom="340" w:left="1260" w:header="720" w:footer="720" w:gutter="0"/>
          <w:cols w:num="2" w:equalWidth="0">
            <w:col w:w="7408" w:space="0"/>
            <w:col w:w="7372" w:space="0"/>
          </w:cols>
          <w:docGrid w:linePitch="360"/>
        </w:sectPr>
      </w:pPr>
    </w:p>
    <w:p>
      <w:pPr>
        <w:autoSpaceDN w:val="0"/>
        <w:tabs>
          <w:tab w:pos="14460" w:val="left"/>
        </w:tabs>
        <w:autoSpaceDE w:val="0"/>
        <w:widowControl/>
        <w:spacing w:line="274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274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275</w:t>
      </w:r>
    </w:p>
    <w:p>
      <w:pPr>
        <w:sectPr>
          <w:type w:val="continuous"/>
          <w:pgSz w:w="17280" w:h="12960"/>
          <w:pgMar w:top="50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sectPr>
          <w:pgSz w:w="17280" w:h="12960"/>
          <w:pgMar w:top="50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chapter outlines the critical steps, best practices,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field-tested strategies to commission systems, prepare staff,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optimize facility performance. These activities are essential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ensure the building not only opens, but thrives in service to its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mission.</w:t>
      </w:r>
    </w:p>
    <w:p>
      <w:pPr>
        <w:sectPr>
          <w:type w:val="continuous"/>
          <w:pgSz w:w="17280" w:h="12960"/>
          <w:pgMar w:top="502" w:right="1240" w:bottom="340" w:left="1260" w:header="720" w:footer="720" w:gutter="0"/>
          <w:cols w:num="2" w:equalWidth="0">
            <w:col w:w="7404" w:space="0"/>
            <w:col w:w="737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123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Once the building is occupied, active management of war-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ranties, service calls, and early performance tuning becomes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essential to long-term success.</w:t>
      </w:r>
    </w:p>
    <w:p>
      <w:pPr>
        <w:autoSpaceDN w:val="0"/>
        <w:autoSpaceDE w:val="0"/>
        <w:widowControl/>
        <w:spacing w:line="269" w:lineRule="auto" w:before="254" w:after="156"/>
        <w:ind w:left="123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chapter outlines best practices across five critical domains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 project closeout:</w:t>
      </w:r>
    </w:p>
    <w:p>
      <w:pPr>
        <w:sectPr>
          <w:type w:val="nextColumn"/>
          <w:pgSz w:w="17280" w:h="12960"/>
          <w:pgMar w:top="502" w:right="1240" w:bottom="340" w:left="1260" w:header="720" w:footer="720" w:gutter="0"/>
          <w:cols w:num="2" w:equalWidth="0">
            <w:col w:w="7404" w:space="0"/>
            <w:col w:w="737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390"/>
        <w:gridCol w:w="7390"/>
      </w:tblGrid>
      <w:tr>
        <w:trPr>
          <w:trHeight w:hRule="exact" w:val="688"/>
        </w:trPr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158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 xml:space="preserve">Facility Commissioning for Life-Safety and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>Behavioral Health-Specific Systems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70" w:after="0"/>
              <w:ind w:left="0" w:right="186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 xml:space="preserve">Key Areas of Focus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388"/>
        <w:ind w:left="0" w:right="0"/>
      </w:pPr>
    </w:p>
    <w:p>
      <w:pPr>
        <w:sectPr>
          <w:type w:val="continuous"/>
          <w:pgSz w:w="17280" w:h="12960"/>
          <w:pgMar w:top="502" w:right="1240" w:bottom="340" w:left="1260" w:header="720" w:footer="720" w:gutter="0"/>
          <w:cols/>
          <w:docGrid w:linePitch="360"/>
        </w:sectPr>
      </w:pPr>
    </w:p>
    <w:p>
      <w:pPr>
        <w:autoSpaceDN w:val="0"/>
        <w:tabs>
          <w:tab w:pos="2358" w:val="left"/>
        </w:tabs>
        <w:autoSpaceDE w:val="0"/>
        <w:widowControl/>
        <w:spacing w:line="269" w:lineRule="auto" w:before="0" w:after="0"/>
        <w:ind w:left="100" w:right="1872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“Quality means doing it right when no one is looking.”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— Henry Ford</w:t>
      </w:r>
    </w:p>
    <w:p>
      <w:pPr>
        <w:autoSpaceDN w:val="0"/>
        <w:tabs>
          <w:tab w:pos="664" w:val="left"/>
        </w:tabs>
        <w:autoSpaceDE w:val="0"/>
        <w:widowControl/>
        <w:spacing w:line="269" w:lineRule="auto" w:before="460" w:after="0"/>
        <w:ind w:left="482" w:right="1872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“A building is not complete until it performs its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purpose—for healing, safety, and enduring care.”</w:t>
      </w:r>
    </w:p>
    <w:p>
      <w:pPr>
        <w:autoSpaceDN w:val="0"/>
        <w:autoSpaceDE w:val="0"/>
        <w:widowControl/>
        <w:spacing w:line="264" w:lineRule="auto" w:before="22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Commissioning and activation are not the end of the project—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they are the beginning of its life. For behavioral health facili-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ties, this phase ensures that buildings not only open but operate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seamlessly, safely, and in alignment with the clinical mission. </w:t>
      </w:r>
    </w:p>
    <w:p>
      <w:pPr>
        <w:autoSpaceDN w:val="0"/>
        <w:autoSpaceDE w:val="0"/>
        <w:widowControl/>
        <w:spacing w:line="269" w:lineRule="auto" w:before="0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 is a time of testing, training, fine-tuning, and transferring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knowledge. Done well, this phase turns handover into healing.</w:t>
      </w:r>
    </w:p>
    <w:p>
      <w:pPr>
        <w:autoSpaceDN w:val="0"/>
        <w:autoSpaceDE w:val="0"/>
        <w:widowControl/>
        <w:spacing w:line="264" w:lineRule="auto" w:before="25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Research from the AIA and DBIA (2022) shows that behavioral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 projects with structured commissioning protocols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stakeholder-informed activation plans are 38% more likely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meet operational performance goals within the first 90 days.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Furthermore, facilities that conduct post-occupancy evaluations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report 25% fewer maintenance issues in year one and a 20%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increase in patient and staff satisfaction.</w:t>
      </w:r>
    </w:p>
    <w:p>
      <w:pPr>
        <w:autoSpaceDN w:val="0"/>
        <w:tabs>
          <w:tab w:pos="906" w:val="left"/>
        </w:tabs>
        <w:autoSpaceDE w:val="0"/>
        <w:widowControl/>
        <w:spacing w:line="269" w:lineRule="auto" w:before="400" w:after="0"/>
        <w:ind w:left="586" w:right="216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“You don’t close the project— you launch the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operation.” — Project Management Proverb</w:t>
      </w:r>
    </w:p>
    <w:p>
      <w:pPr>
        <w:sectPr>
          <w:type w:val="continuous"/>
          <w:pgSz w:w="17280" w:h="12960"/>
          <w:pgMar w:top="502" w:right="1240" w:bottom="340" w:left="1260" w:header="720" w:footer="720" w:gutter="0"/>
          <w:cols w:num="2" w:equalWidth="0">
            <w:col w:w="7406" w:space="0"/>
            <w:col w:w="7374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1234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1. Facility Commissioning for Life Safety and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Behavioral Health-Specific Systems</w:t>
      </w:r>
    </w:p>
    <w:p>
      <w:pPr>
        <w:autoSpaceDN w:val="0"/>
        <w:autoSpaceDE w:val="0"/>
        <w:widowControl/>
        <w:spacing w:line="264" w:lineRule="auto" w:before="152" w:after="0"/>
        <w:ind w:left="12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Facility commissioning (Cx) ensures that all critical systems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perform as designed—especially in environments where life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safety and behavioral health-specific needs intersect.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includes ligature-resistant fixtures, negative-pressure rooms,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security systems, HVAC zoning, and emergency backup power.</w:t>
      </w:r>
    </w:p>
    <w:p>
      <w:pPr>
        <w:autoSpaceDN w:val="0"/>
        <w:autoSpaceDE w:val="0"/>
        <w:widowControl/>
        <w:spacing w:line="278" w:lineRule="auto" w:before="250" w:after="0"/>
        <w:ind w:left="123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Best Practices Include:</w:t>
      </w:r>
    </w:p>
    <w:p>
      <w:pPr>
        <w:autoSpaceDN w:val="0"/>
        <w:tabs>
          <w:tab w:pos="1774" w:val="left"/>
        </w:tabs>
        <w:autoSpaceDE w:val="0"/>
        <w:widowControl/>
        <w:spacing w:line="269" w:lineRule="auto" w:before="74" w:after="0"/>
        <w:ind w:left="1594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Engage a certified, third-party commissioning agent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(CxA) during the design development phase.</w:t>
      </w:r>
    </w:p>
    <w:p>
      <w:pPr>
        <w:autoSpaceDN w:val="0"/>
        <w:autoSpaceDE w:val="0"/>
        <w:widowControl/>
        <w:spacing w:line="266" w:lineRule="auto" w:before="74" w:after="0"/>
        <w:ind w:left="1774" w:right="144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Develop a Behavioral Health-Specific Commissioning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Plan covering ligature resistance, airflow control, visual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monitoring systems, egress safety, and access control.</w:t>
      </w:r>
    </w:p>
    <w:p>
      <w:pPr>
        <w:autoSpaceDN w:val="0"/>
        <w:autoSpaceDE w:val="0"/>
        <w:widowControl/>
        <w:spacing w:line="264" w:lineRule="auto" w:before="74" w:after="0"/>
        <w:ind w:left="1774" w:right="144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Coordinate system validations and testing with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Authorities Having Jurisdiction (AHJs), including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Fire Marshal, local Building Inspector, HCAI (formerly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OSHPD), and DHCS surveyors.</w:t>
      </w:r>
    </w:p>
    <w:p>
      <w:pPr>
        <w:autoSpaceDN w:val="0"/>
        <w:autoSpaceDE w:val="0"/>
        <w:widowControl/>
        <w:spacing w:line="266" w:lineRule="auto" w:before="74" w:after="1128"/>
        <w:ind w:left="1774" w:right="0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Include startup and performance testing for essential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systems like smoke evacuation, access-controlled doors,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backup generators, and nurse call stations.</w:t>
      </w:r>
    </w:p>
    <w:p>
      <w:pPr>
        <w:sectPr>
          <w:type w:val="nextColumn"/>
          <w:pgSz w:w="17280" w:h="12960"/>
          <w:pgMar w:top="502" w:right="1240" w:bottom="340" w:left="1260" w:header="720" w:footer="720" w:gutter="0"/>
          <w:cols w:num="2" w:equalWidth="0">
            <w:col w:w="7406" w:space="0"/>
            <w:col w:w="737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276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18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Commissioning, Closeout, and Activation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277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50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8"/>
        <w:ind w:left="0" w:right="0"/>
      </w:pPr>
    </w:p>
    <w:p>
      <w:pPr>
        <w:sectPr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Construction Manager Role: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Align commissioning scope with state and federal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licensing requirements.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Integrate commissioning milestones into the master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project schedule.</w:t>
      </w:r>
    </w:p>
    <w:p>
      <w:pPr>
        <w:autoSpaceDN w:val="0"/>
        <w:autoSpaceDE w:val="0"/>
        <w:widowControl/>
        <w:spacing w:line="266" w:lineRule="auto" w:before="74" w:after="0"/>
        <w:ind w:left="540" w:right="1728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Facilitate interdisciplinary commissioning meetings,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ensure proper documentation, and lead resolution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deficiencies identified during functional testing.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Maintain a commissioning log with issue tracking,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assignment of responsibilities, and resolution verification.</w:t>
      </w:r>
    </w:p>
    <w:p>
      <w:pPr>
        <w:autoSpaceDN w:val="0"/>
        <w:autoSpaceDE w:val="0"/>
        <w:widowControl/>
        <w:spacing w:line="278" w:lineRule="auto" w:before="46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Results and Research:</w:t>
      </w:r>
    </w:p>
    <w:p>
      <w:pPr>
        <w:autoSpaceDN w:val="0"/>
        <w:autoSpaceDE w:val="0"/>
        <w:widowControl/>
        <w:spacing w:line="264" w:lineRule="auto" w:before="164" w:after="0"/>
        <w:ind w:left="540" w:right="1296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Projects that implement commissioning planning during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schematic design are 47% more likely to pass their first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life safety inspection without correction notices (DBIA,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2022).</w:t>
      </w:r>
    </w:p>
    <w:p>
      <w:pPr>
        <w:autoSpaceDN w:val="0"/>
        <w:autoSpaceDE w:val="0"/>
        <w:widowControl/>
        <w:spacing w:line="266" w:lineRule="auto" w:before="74" w:after="0"/>
        <w:ind w:left="540" w:right="1152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Commissioned behavioral health facilities see 22% fewer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equipment failures in the first year of operation (National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Institute of Building Sciences, 2021).</w:t>
      </w:r>
    </w:p>
    <w:p>
      <w:pPr>
        <w:autoSpaceDN w:val="0"/>
        <w:autoSpaceDE w:val="0"/>
        <w:widowControl/>
        <w:spacing w:line="266" w:lineRule="auto" w:before="74" w:after="0"/>
        <w:ind w:left="540" w:right="1296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Facilities with behavioral health-specific commissioning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protocols report a 15–20% reduction in patient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complaints related to comfort and safety (CHD, 2021).</w:t>
      </w:r>
    </w:p>
    <w:p>
      <w:pPr>
        <w:autoSpaceDN w:val="0"/>
        <w:autoSpaceDE w:val="0"/>
        <w:widowControl/>
        <w:spacing w:line="264" w:lineRule="auto" w:before="16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Commissioning is not just a technical exercise—it’s a strategic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process that ensures clinical performance, safety compliance,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patient-centered operational integrity. Through early plan-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ning, team coordination, and rigorous testing, commissioning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helps facilities fulfill their promise to those they serve.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380" w:space="0"/>
            <w:col w:w="7400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126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2. Transition-to-Operations Planning and Staff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Readiness</w:t>
      </w:r>
    </w:p>
    <w:p>
      <w:pPr>
        <w:autoSpaceDN w:val="0"/>
        <w:autoSpaceDE w:val="0"/>
        <w:widowControl/>
        <w:spacing w:line="264" w:lineRule="auto" w:before="152" w:after="0"/>
        <w:ind w:left="126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Operational readiness is as critical as physical completion. It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bridges the gap between a completed building and a function-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ing care environment. This includes orienting staff, testing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systems under real-life conditions, and validating workflows.</w:t>
      </w:r>
    </w:p>
    <w:p>
      <w:pPr>
        <w:autoSpaceDN w:val="0"/>
        <w:autoSpaceDE w:val="0"/>
        <w:widowControl/>
        <w:spacing w:line="278" w:lineRule="auto" w:before="286" w:after="0"/>
        <w:ind w:left="1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Best Practices Include:</w:t>
      </w:r>
    </w:p>
    <w:p>
      <w:pPr>
        <w:autoSpaceDN w:val="0"/>
        <w:autoSpaceDE w:val="0"/>
        <w:widowControl/>
        <w:spacing w:line="266" w:lineRule="auto" w:before="164" w:after="0"/>
        <w:ind w:left="1800" w:right="0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Create a Transition-to-Operations (T2O) Plan that aligns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the commissioning schedule, move-in date,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staffing plans.</w:t>
      </w:r>
    </w:p>
    <w:p>
      <w:pPr>
        <w:autoSpaceDN w:val="0"/>
        <w:autoSpaceDE w:val="0"/>
        <w:widowControl/>
        <w:spacing w:line="266" w:lineRule="auto" w:before="74" w:after="0"/>
        <w:ind w:left="1800" w:right="288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Conduct “Day-in-the-Life” simulation training to test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clinical workflows, response protocols, and space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utilization.</w:t>
      </w:r>
    </w:p>
    <w:p>
      <w:pPr>
        <w:autoSpaceDN w:val="0"/>
        <w:autoSpaceDE w:val="0"/>
        <w:widowControl/>
        <w:spacing w:line="266" w:lineRule="auto" w:before="74" w:after="0"/>
        <w:ind w:left="1800" w:right="432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Develop a Readiness Matrix tying operational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responsibilities to specific milestones for IT, clinical,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custodial, and administrative teams.</w:t>
      </w:r>
    </w:p>
    <w:p>
      <w:pPr>
        <w:autoSpaceDN w:val="0"/>
        <w:tabs>
          <w:tab w:pos="1800" w:val="left"/>
        </w:tabs>
        <w:autoSpaceDE w:val="0"/>
        <w:widowControl/>
        <w:spacing w:line="269" w:lineRule="auto" w:before="74" w:after="0"/>
        <w:ind w:left="16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Incorporate role-based checklists for each department,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ensuring nothing is overlooked during the handoff phase.</w:t>
      </w:r>
    </w:p>
    <w:p>
      <w:pPr>
        <w:autoSpaceDN w:val="0"/>
        <w:autoSpaceDE w:val="0"/>
        <w:widowControl/>
        <w:spacing w:line="278" w:lineRule="auto" w:before="466" w:after="0"/>
        <w:ind w:left="1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Common Challenges &amp; Solutions:</w:t>
      </w:r>
    </w:p>
    <w:p>
      <w:pPr>
        <w:autoSpaceDN w:val="0"/>
        <w:autoSpaceDE w:val="0"/>
        <w:widowControl/>
        <w:spacing w:line="266" w:lineRule="auto" w:before="160" w:after="0"/>
        <w:ind w:left="1800" w:right="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Incomplete clinical training: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Schedule hands-on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orientation and simulation sessions 4–6 weeks before go-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live.</w:t>
      </w:r>
    </w:p>
    <w:p>
      <w:pPr>
        <w:autoSpaceDN w:val="0"/>
        <w:autoSpaceDE w:val="0"/>
        <w:widowControl/>
        <w:spacing w:line="266" w:lineRule="auto" w:before="70" w:after="0"/>
        <w:ind w:left="1800" w:right="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Departmental miscommunication: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Hold weekly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transition syncs, bringing together leads from operations,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facilities, IT, and leadership.</w:t>
      </w:r>
    </w:p>
    <w:p>
      <w:pPr>
        <w:autoSpaceDN w:val="0"/>
        <w:autoSpaceDE w:val="0"/>
        <w:widowControl/>
        <w:spacing w:line="266" w:lineRule="auto" w:before="70" w:after="684"/>
        <w:ind w:left="1800" w:right="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Missed system dependencies: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Build crosswalk trackers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that link construction closeout, FF&amp;E delivery, IT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activation, and staff onboarding.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380" w:space="0"/>
            <w:col w:w="740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278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18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Commissioning, Closeout, and Activation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279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2"/>
        <w:ind w:left="0" w:right="0"/>
      </w:pPr>
    </w:p>
    <w:p>
      <w:pPr>
        <w:autoSpaceDN w:val="0"/>
        <w:tabs>
          <w:tab w:pos="8640" w:val="left"/>
        </w:tabs>
        <w:autoSpaceDE w:val="0"/>
        <w:widowControl/>
        <w:spacing w:line="278" w:lineRule="auto" w:before="0" w:after="164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Results and Research: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Construction Manager Role:</w:t>
      </w:r>
    </w:p>
    <w:p>
      <w:pPr>
        <w:sectPr>
          <w:pgSz w:w="17280" w:h="12960"/>
          <w:pgMar w:top="51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540" w:right="1296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Facilities with structured T2O protocols report a 32%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improvement in staff onboarding satisfaction and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22% reduction in startup-related errors (AIA Healthcare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Design Insights, 2021).</w:t>
      </w:r>
    </w:p>
    <w:p>
      <w:pPr>
        <w:autoSpaceDN w:val="0"/>
        <w:autoSpaceDE w:val="0"/>
        <w:widowControl/>
        <w:spacing w:line="266" w:lineRule="auto" w:before="74" w:after="0"/>
        <w:ind w:left="540" w:right="1152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Transition planning that includes simulation-based testing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leads to 18% fewer patient safety events during the first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90 days (Joint Commission, 2022).</w:t>
      </w:r>
    </w:p>
    <w:p>
      <w:pPr>
        <w:autoSpaceDN w:val="0"/>
        <w:autoSpaceDE w:val="0"/>
        <w:widowControl/>
        <w:spacing w:line="264" w:lineRule="auto" w:before="74" w:after="0"/>
        <w:ind w:left="540" w:right="1296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Organizations that embed cross-functional T2O planning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into the project schedule report a 28% faster ramp-up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full operational capacity (Health Facilities Management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Journal, 2022).</w:t>
      </w:r>
    </w:p>
    <w:p>
      <w:pPr>
        <w:autoSpaceDN w:val="0"/>
        <w:autoSpaceDE w:val="0"/>
        <w:widowControl/>
        <w:spacing w:line="264" w:lineRule="auto" w:before="424" w:after="0"/>
        <w:ind w:left="0" w:right="244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3. O&amp;M Manuals, Training, and Facility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Performance</w:t>
      </w:r>
    </w:p>
    <w:p>
      <w:pPr>
        <w:autoSpaceDN w:val="0"/>
        <w:autoSpaceDE w:val="0"/>
        <w:widowControl/>
        <w:spacing w:line="264" w:lineRule="auto" w:before="152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Operations and Maintenance (O&amp;M) documentation is the bed-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rock of long-term facility health. Comprehensive manuals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staff training ensure smooth, safe operation and reduce reliance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on third-party vendors for maintenance.</w:t>
      </w:r>
    </w:p>
    <w:p>
      <w:pPr>
        <w:autoSpaceDN w:val="0"/>
        <w:autoSpaceDE w:val="0"/>
        <w:widowControl/>
        <w:spacing w:line="278" w:lineRule="auto" w:before="3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Best Practices Include: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164" w:after="0"/>
        <w:ind w:left="36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Require all O&amp;M materials to be provided in both print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searchable digital formats.</w:t>
      </w:r>
    </w:p>
    <w:p>
      <w:pPr>
        <w:autoSpaceDN w:val="0"/>
        <w:autoSpaceDE w:val="0"/>
        <w:widowControl/>
        <w:spacing w:line="266" w:lineRule="auto" w:before="74" w:after="0"/>
        <w:ind w:left="540" w:right="1424" w:hanging="1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Host system-specific training sessions led by equipment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vendors or subcontractors for HVAC, electrical, fire/life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safety, and building management systems.</w:t>
      </w:r>
    </w:p>
    <w:p>
      <w:pPr>
        <w:autoSpaceDN w:val="0"/>
        <w:autoSpaceDE w:val="0"/>
        <w:widowControl/>
        <w:spacing w:line="266" w:lineRule="auto" w:before="74" w:after="0"/>
        <w:ind w:left="540" w:right="1728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Develop a full asset inventory and preventive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maintenance schedule that aligns with manufacturer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specifications and warranty requirements.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Incorporate building analytics and digital dashboards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monitor system performance.</w:t>
      </w:r>
    </w:p>
    <w:p>
      <w:pPr>
        <w:sectPr>
          <w:type w:val="continuous"/>
          <w:pgSz w:w="17280" w:h="12960"/>
          <w:pgMar w:top="512" w:right="1240" w:bottom="340" w:left="1260" w:header="720" w:footer="720" w:gutter="0"/>
          <w:cols w:num="2" w:equalWidth="0">
            <w:col w:w="7398" w:space="0"/>
            <w:col w:w="7382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auto" w:before="0" w:after="0"/>
        <w:ind w:left="16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Verify completeness and format of all documentation.</w:t>
      </w:r>
    </w:p>
    <w:p>
      <w:pPr>
        <w:autoSpaceDN w:val="0"/>
        <w:tabs>
          <w:tab w:pos="1782" w:val="left"/>
        </w:tabs>
        <w:autoSpaceDE w:val="0"/>
        <w:widowControl/>
        <w:spacing w:line="269" w:lineRule="auto" w:before="74" w:after="0"/>
        <w:ind w:left="160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Coordinate and record all training sessions for future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reference.</w:t>
      </w:r>
    </w:p>
    <w:p>
      <w:pPr>
        <w:autoSpaceDN w:val="0"/>
        <w:autoSpaceDE w:val="0"/>
        <w:widowControl/>
        <w:spacing w:line="266" w:lineRule="auto" w:before="74" w:after="0"/>
        <w:ind w:left="1782" w:right="576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Facilitate structured handoff meetings between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general contractor, system vendors, and the facility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maintenance (FM) team.</w:t>
      </w:r>
    </w:p>
    <w:p>
      <w:pPr>
        <w:autoSpaceDN w:val="0"/>
        <w:autoSpaceDE w:val="0"/>
        <w:widowControl/>
        <w:spacing w:line="278" w:lineRule="auto" w:before="376" w:after="0"/>
        <w:ind w:left="124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Results and Research:</w:t>
      </w:r>
    </w:p>
    <w:p>
      <w:pPr>
        <w:autoSpaceDN w:val="0"/>
        <w:autoSpaceDE w:val="0"/>
        <w:widowControl/>
        <w:spacing w:line="266" w:lineRule="auto" w:before="164" w:after="0"/>
        <w:ind w:left="1782" w:right="432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Properly trained FM teams reduce unplanned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maintenance costs by 27% in the first year (National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Institute of Building Sciences, 2022).</w:t>
      </w:r>
    </w:p>
    <w:p>
      <w:pPr>
        <w:autoSpaceDN w:val="0"/>
        <w:autoSpaceDE w:val="0"/>
        <w:widowControl/>
        <w:spacing w:line="266" w:lineRule="auto" w:before="74" w:after="0"/>
        <w:ind w:left="1782" w:right="0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Hospitals and behavioral health facilities that invest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digital O&amp;M systems report 30% faster response times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facility issues (Health Care Facilities Today, 2021).</w:t>
      </w:r>
    </w:p>
    <w:p>
      <w:pPr>
        <w:autoSpaceDN w:val="0"/>
        <w:autoSpaceDE w:val="0"/>
        <w:widowControl/>
        <w:spacing w:line="266" w:lineRule="auto" w:before="74" w:after="0"/>
        <w:ind w:left="1782" w:right="0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Well-executed O&amp;M handoffs lead to a 22% increase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staff confidence during the first year of operation (Center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Health Design, 2022).</w:t>
      </w:r>
    </w:p>
    <w:p>
      <w:pPr>
        <w:autoSpaceDN w:val="0"/>
        <w:autoSpaceDE w:val="0"/>
        <w:widowControl/>
        <w:spacing w:line="264" w:lineRule="auto" w:before="424" w:after="0"/>
        <w:ind w:left="1242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4. Managing Warranties, Facilities Handoff, and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90-Day Tuning</w:t>
      </w:r>
    </w:p>
    <w:p>
      <w:pPr>
        <w:autoSpaceDN w:val="0"/>
        <w:autoSpaceDE w:val="0"/>
        <w:widowControl/>
        <w:spacing w:line="266" w:lineRule="auto" w:before="152" w:after="0"/>
        <w:ind w:left="12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Warranties are only valuable if actively managed. The first 90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days are the most critical for resolving latent issues, correcting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installations, and optimizing performance.</w:t>
      </w:r>
    </w:p>
    <w:p>
      <w:pPr>
        <w:autoSpaceDN w:val="0"/>
        <w:autoSpaceDE w:val="0"/>
        <w:widowControl/>
        <w:spacing w:line="278" w:lineRule="auto" w:before="286" w:after="0"/>
        <w:ind w:left="124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Best Practices Include:</w:t>
      </w:r>
    </w:p>
    <w:p>
      <w:pPr>
        <w:autoSpaceDN w:val="0"/>
        <w:tabs>
          <w:tab w:pos="1782" w:val="left"/>
        </w:tabs>
        <w:autoSpaceDE w:val="0"/>
        <w:widowControl/>
        <w:spacing w:line="269" w:lineRule="auto" w:before="164" w:after="0"/>
        <w:ind w:left="160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Use a 90-Day Tuning Plan for HVAC, lighting,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access control systems.</w:t>
      </w:r>
    </w:p>
    <w:p>
      <w:pPr>
        <w:autoSpaceDN w:val="0"/>
        <w:tabs>
          <w:tab w:pos="1782" w:val="left"/>
        </w:tabs>
        <w:autoSpaceDE w:val="0"/>
        <w:widowControl/>
        <w:spacing w:line="269" w:lineRule="auto" w:before="74" w:after="408"/>
        <w:ind w:left="1602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Establish a Warranty Log with action owners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resolution timelines.</w:t>
      </w:r>
    </w:p>
    <w:p>
      <w:pPr>
        <w:sectPr>
          <w:type w:val="nextColumn"/>
          <w:pgSz w:w="17280" w:h="12960"/>
          <w:pgMar w:top="512" w:right="1240" w:bottom="340" w:left="1260" w:header="720" w:footer="720" w:gutter="0"/>
          <w:cols w:num="2" w:equalWidth="0">
            <w:col w:w="7398" w:space="0"/>
            <w:col w:w="738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280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18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Commissioning, Closeout, and Activation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281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51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sectPr>
          <w:pgSz w:w="17280" w:h="12960"/>
          <w:pgMar w:top="502" w:right="1188" w:bottom="340" w:left="1260" w:header="720" w:footer="720" w:gutter="0"/>
          <w:cols/>
          <w:docGrid w:linePitch="360"/>
        </w:sectPr>
      </w:pPr>
    </w:p>
    <w:p>
      <w:pPr>
        <w:autoSpaceDN w:val="0"/>
        <w:tabs>
          <w:tab w:pos="540" w:val="left"/>
        </w:tabs>
        <w:autoSpaceDE w:val="0"/>
        <w:widowControl/>
        <w:spacing w:line="269" w:lineRule="auto" w:before="0" w:after="0"/>
        <w:ind w:left="36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Conduct joint Owner-GC-FM walkthroughs at 30, 60,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90 days.</w:t>
      </w:r>
    </w:p>
    <w:p>
      <w:pPr>
        <w:autoSpaceDN w:val="0"/>
        <w:autoSpaceDE w:val="0"/>
        <w:widowControl/>
        <w:spacing w:line="278" w:lineRule="auto" w:before="3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Construction Manager Role:</w:t>
      </w:r>
    </w:p>
    <w:p>
      <w:pPr>
        <w:autoSpaceDN w:val="0"/>
        <w:autoSpaceDE w:val="0"/>
        <w:widowControl/>
        <w:spacing w:line="276" w:lineRule="auto" w:before="16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Track unresolved punchlist items impacting warranty.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Ensure GC remains accountable for incomplete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defective work.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Support communication with vendors during post-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occupancy fine-tuning.</w:t>
      </w:r>
    </w:p>
    <w:p>
      <w:pPr>
        <w:autoSpaceDN w:val="0"/>
        <w:autoSpaceDE w:val="0"/>
        <w:widowControl/>
        <w:spacing w:line="266" w:lineRule="auto" w:before="160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Statistic: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Behavioral health facilities with structured tuning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protocols experience a 35% reduction in service calls within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first 6 months (DBIA, 2022). </w:t>
      </w:r>
    </w:p>
    <w:p>
      <w:pPr>
        <w:autoSpaceDN w:val="0"/>
        <w:autoSpaceDE w:val="0"/>
        <w:widowControl/>
        <w:spacing w:line="264" w:lineRule="auto" w:before="336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5. Lessons Learned and Post-Occupancy Evalua-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tion (POE)</w:t>
      </w:r>
    </w:p>
    <w:p>
      <w:pPr>
        <w:autoSpaceDN w:val="0"/>
        <w:autoSpaceDE w:val="0"/>
        <w:widowControl/>
        <w:spacing w:line="266" w:lineRule="auto" w:before="242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Post-occupancy evaluations transform experience into wisdom.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Capturing lessons learned builds institutional knowledge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improves future project outcomes.</w:t>
      </w:r>
    </w:p>
    <w:p>
      <w:pPr>
        <w:autoSpaceDN w:val="0"/>
        <w:autoSpaceDE w:val="0"/>
        <w:widowControl/>
        <w:spacing w:line="278" w:lineRule="auto" w:before="28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Best Practices Include:</w:t>
      </w:r>
    </w:p>
    <w:p>
      <w:pPr>
        <w:autoSpaceDN w:val="0"/>
        <w:autoSpaceDE w:val="0"/>
        <w:widowControl/>
        <w:spacing w:line="276" w:lineRule="auto" w:before="16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Schedule a POE at 6 and 12 months post-opening.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Use surveys and interviews with clinical, administrative,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maintenance staff.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Evaluate safety incidents, workflow bottlenecks, energy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use, and patient feedback.</w:t>
      </w:r>
    </w:p>
    <w:p>
      <w:pPr>
        <w:autoSpaceDN w:val="0"/>
        <w:autoSpaceDE w:val="0"/>
        <w:widowControl/>
        <w:spacing w:line="278" w:lineRule="auto" w:before="28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Implementation:</w:t>
      </w:r>
    </w:p>
    <w:p>
      <w:pPr>
        <w:autoSpaceDN w:val="0"/>
        <w:autoSpaceDE w:val="0"/>
        <w:widowControl/>
        <w:spacing w:line="276" w:lineRule="auto" w:before="16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Compile findings into a closeout report.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Share results with future project teams.</w:t>
      </w:r>
    </w:p>
    <w:p>
      <w:pPr>
        <w:sectPr>
          <w:type w:val="continuous"/>
          <w:pgSz w:w="17280" w:h="12960"/>
          <w:pgMar w:top="502" w:right="1188" w:bottom="340" w:left="1260" w:header="720" w:footer="720" w:gutter="0"/>
          <w:cols w:num="2" w:equalWidth="0">
            <w:col w:w="7388" w:space="0"/>
            <w:col w:w="7444" w:space="0"/>
          </w:cols>
          <w:docGrid w:linePitch="360"/>
        </w:sectPr>
      </w:pPr>
    </w:p>
    <w:p>
      <w:pPr>
        <w:autoSpaceDN w:val="0"/>
        <w:tabs>
          <w:tab w:pos="1792" w:val="left"/>
        </w:tabs>
        <w:autoSpaceDE w:val="0"/>
        <w:widowControl/>
        <w:spacing w:line="269" w:lineRule="auto" w:before="0" w:after="0"/>
        <w:ind w:left="1612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Incorporate POE insights into design and planning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standards.</w:t>
      </w:r>
    </w:p>
    <w:p>
      <w:pPr>
        <w:autoSpaceDN w:val="0"/>
        <w:autoSpaceDE w:val="0"/>
        <w:widowControl/>
        <w:spacing w:line="266" w:lineRule="auto" w:before="160" w:after="0"/>
        <w:ind w:left="1252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Result: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Projects that conduct structured POEs are 31% more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likely to make effective updates to operations and reduce un-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planned capital repairs in years 2–5 (CHD, 2021).</w:t>
      </w:r>
    </w:p>
    <w:p>
      <w:pPr>
        <w:autoSpaceDN w:val="0"/>
        <w:autoSpaceDE w:val="0"/>
        <w:widowControl/>
        <w:spacing w:line="278" w:lineRule="auto" w:before="606" w:after="0"/>
        <w:ind w:left="125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Final Thought: Commissioning With Purpose</w:t>
      </w:r>
    </w:p>
    <w:p>
      <w:pPr>
        <w:autoSpaceDN w:val="0"/>
        <w:autoSpaceDE w:val="0"/>
        <w:widowControl/>
        <w:spacing w:line="264" w:lineRule="auto" w:before="152" w:after="0"/>
        <w:ind w:left="12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Commissioning and activation are not just technical mile-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stones—they are moments of mission realization. They define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how a facility will serve, protect, and support those who need it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most.</w:t>
      </w:r>
    </w:p>
    <w:p>
      <w:pPr>
        <w:autoSpaceDN w:val="0"/>
        <w:autoSpaceDE w:val="0"/>
        <w:widowControl/>
        <w:spacing w:line="264" w:lineRule="auto" w:before="254" w:after="0"/>
        <w:ind w:left="12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 behavioral health care, the bar is higher. Systems must func-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tion flawlessly, environments must promote recovery, and oper-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ations must launch with confidence. The Construction Manager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is a pivotal leader in this transition—overseeing closeout activ-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ities, enabling the FM team, and ensuring seamless handoff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operations.</w:t>
      </w:r>
    </w:p>
    <w:p>
      <w:pPr>
        <w:autoSpaceDN w:val="0"/>
        <w:autoSpaceDE w:val="0"/>
        <w:widowControl/>
        <w:spacing w:line="264" w:lineRule="auto" w:before="254" w:after="0"/>
        <w:ind w:left="12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Projects that follow best practices—like early stakeholder en-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gagement, simulation training, integrated tuning, and structured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POEs—experience measurable improvements in safety, satis-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faction, and cost efficiency.</w:t>
      </w:r>
    </w:p>
    <w:p>
      <w:pPr>
        <w:autoSpaceDN w:val="0"/>
        <w:autoSpaceDE w:val="0"/>
        <w:widowControl/>
        <w:spacing w:line="264" w:lineRule="auto" w:before="254" w:after="1890"/>
        <w:ind w:left="12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the best projects, activation isn’t the end. It’s the first day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fulfilling the mission. Through rigorous commissioning, clear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expectations, and a culture of respect, these facilities don’t just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open—they begin to heal.</w:t>
      </w:r>
    </w:p>
    <w:p>
      <w:pPr>
        <w:sectPr>
          <w:type w:val="nextColumn"/>
          <w:pgSz w:w="17280" w:h="12960"/>
          <w:pgMar w:top="502" w:right="1188" w:bottom="340" w:left="1260" w:header="720" w:footer="720" w:gutter="0"/>
          <w:cols w:num="2" w:equalWidth="0">
            <w:col w:w="7388" w:space="0"/>
            <w:col w:w="744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08"/>
        <w:gridCol w:w="3708"/>
        <w:gridCol w:w="3708"/>
        <w:gridCol w:w="3708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282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18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Commissioning, Closeout, and Activation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283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502" w:right="1188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4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0" w:right="188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50"/>
        </w:rPr>
        <w:t>Chapter 19</w:t>
      </w:r>
    </w:p>
    <w:p>
      <w:pPr>
        <w:autoSpaceDN w:val="0"/>
        <w:autoSpaceDE w:val="0"/>
        <w:widowControl/>
        <w:spacing w:line="264" w:lineRule="auto" w:before="138" w:after="0"/>
        <w:ind w:left="9360" w:right="576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0"/>
        </w:rPr>
        <w:t xml:space="preserve">Call to Action for Behavioral Health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30"/>
        </w:rPr>
        <w:t>Infrastructure</w:t>
      </w:r>
    </w:p>
    <w:p>
      <w:pPr>
        <w:autoSpaceDN w:val="0"/>
        <w:tabs>
          <w:tab w:pos="10064" w:val="left"/>
          <w:tab w:pos="10714" w:val="left"/>
        </w:tabs>
        <w:autoSpaceDE w:val="0"/>
        <w:widowControl/>
        <w:spacing w:line="266" w:lineRule="auto" w:before="530" w:after="0"/>
        <w:ind w:left="9184" w:right="1008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“The ultimate measure of a society is found in </w:t>
      </w:r>
      <w:r>
        <w:br/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how it treats its most vulnerable.” </w:t>
      </w:r>
      <w:r>
        <w:br/>
      </w:r>
      <w:r>
        <w:tab/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— Mahatma Gandhi</w:t>
      </w:r>
    </w:p>
    <w:p>
      <w:pPr>
        <w:autoSpaceDN w:val="0"/>
        <w:autoSpaceDE w:val="0"/>
        <w:widowControl/>
        <w:spacing w:line="278" w:lineRule="auto" w:before="1022" w:after="0"/>
        <w:ind w:left="0" w:right="299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A Moment of Opportunity</w:t>
      </w:r>
    </w:p>
    <w:p>
      <w:pPr>
        <w:autoSpaceDN w:val="0"/>
        <w:autoSpaceDE w:val="0"/>
        <w:widowControl/>
        <w:spacing w:line="264" w:lineRule="auto" w:before="152" w:after="0"/>
        <w:ind w:left="864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We are in a time of great change for behavioral health. Aware-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ness about mental health is rising, but many communities still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don’t have the facilities to meet the need. That gap is grow-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ing—and so is the urgency to act.</w:t>
      </w:r>
    </w:p>
    <w:p>
      <w:pPr>
        <w:autoSpaceDN w:val="0"/>
        <w:autoSpaceDE w:val="0"/>
        <w:widowControl/>
        <w:spacing w:line="266" w:lineRule="auto" w:before="254" w:after="0"/>
        <w:ind w:left="86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Every year, millions of people across the country struggle with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mental illness and substance use. Families are impacted. Hospi-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tals are overcrowded. People are waiting too long to get help.</w:t>
      </w:r>
    </w:p>
    <w:p>
      <w:pPr>
        <w:autoSpaceDN w:val="0"/>
        <w:autoSpaceDE w:val="0"/>
        <w:widowControl/>
        <w:spacing w:line="276" w:lineRule="auto" w:before="254" w:after="0"/>
        <w:ind w:left="0" w:right="327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It doesn’t have to be this way.</w:t>
      </w:r>
    </w:p>
    <w:p>
      <w:pPr>
        <w:autoSpaceDN w:val="0"/>
        <w:autoSpaceDE w:val="0"/>
        <w:widowControl/>
        <w:spacing w:line="266" w:lineRule="auto" w:before="254" w:after="0"/>
        <w:ind w:left="8640" w:right="6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Behavioral health facilities aren’t just buildings. They are plac-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 of hope and healing. They shape how care is delivered, how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people feel, and how recovery begins.</w:t>
      </w:r>
    </w:p>
    <w:p>
      <w:pPr>
        <w:autoSpaceDN w:val="0"/>
        <w:tabs>
          <w:tab w:pos="14460" w:val="left"/>
        </w:tabs>
        <w:autoSpaceDE w:val="0"/>
        <w:widowControl/>
        <w:spacing w:line="274" w:lineRule="auto" w:before="14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284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285</w:t>
      </w:r>
    </w:p>
    <w:p>
      <w:pPr>
        <w:sectPr>
          <w:pgSz w:w="17280" w:h="12960"/>
          <w:pgMar w:top="964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8640" w:val="left"/>
        </w:tabs>
        <w:autoSpaceDE w:val="0"/>
        <w:widowControl/>
        <w:spacing w:line="278" w:lineRule="auto" w:before="0" w:after="152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Why Expertise Matters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6"/>
        </w:rPr>
        <w:t>1. Plan Across Disciplines</w:t>
      </w:r>
    </w:p>
    <w:p>
      <w:pPr>
        <w:sectPr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Building a behavioral health facility takes more than good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intentions. It takes experience and knowledge across many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areas—healthcare, design, funding, policy, and local relation-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ships.</w:t>
      </w:r>
    </w:p>
    <w:p>
      <w:pPr>
        <w:autoSpaceDN w:val="0"/>
        <w:autoSpaceDE w:val="0"/>
        <w:widowControl/>
        <w:spacing w:line="276" w:lineRule="auto" w:before="2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most successful projects are led by teams who understand: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How to design safe, calming spaces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How to work through city and state approvals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How to find and manage complex funding sources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How to partner with the community</w:t>
      </w:r>
    </w:p>
    <w:p>
      <w:pPr>
        <w:autoSpaceDN w:val="0"/>
        <w:autoSpaceDE w:val="0"/>
        <w:widowControl/>
        <w:spacing w:line="278" w:lineRule="auto" w:before="42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A Real-World Example</w:t>
      </w:r>
    </w:p>
    <w:p>
      <w:pPr>
        <w:autoSpaceDN w:val="0"/>
        <w:autoSpaceDE w:val="0"/>
        <w:widowControl/>
        <w:spacing w:line="266" w:lineRule="auto" w:before="152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 South Los Angeles, one project faced major roadblocks: lo-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cal resistance, complicated zoning, and funding issues. But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experienced team stepped in and turned things around: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They held open conversations with neighbors and gained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support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They used smart strategies to navigate zoning approvals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They created a funding plan that combined federal, state,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private dollars</w:t>
      </w:r>
    </w:p>
    <w:p>
      <w:pPr>
        <w:autoSpaceDN w:val="0"/>
        <w:autoSpaceDE w:val="0"/>
        <w:widowControl/>
        <w:spacing w:line="266" w:lineRule="auto" w:before="16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Now, that facility helps thousands of people each year. It shows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what’s possible when a skilled team is aligned with a clear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purpose.</w:t>
      </w:r>
    </w:p>
    <w:p>
      <w:pPr>
        <w:autoSpaceDN w:val="0"/>
        <w:autoSpaceDE w:val="0"/>
        <w:widowControl/>
        <w:spacing w:line="278" w:lineRule="auto" w:before="60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What Makes a Project Work</w:t>
      </w:r>
    </w:p>
    <w:p>
      <w:pPr>
        <w:autoSpaceDN w:val="0"/>
        <w:autoSpaceDE w:val="0"/>
        <w:widowControl/>
        <w:spacing w:line="269" w:lineRule="auto" w:before="152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Every successful behavioral health facility is built on a few key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principles: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402" w:space="0"/>
            <w:col w:w="7378" w:space="0"/>
          </w:cols>
          <w:docGrid w:linePitch="360"/>
        </w:sectPr>
      </w:pPr>
    </w:p>
    <w:p>
      <w:pPr>
        <w:autoSpaceDN w:val="0"/>
        <w:tabs>
          <w:tab w:pos="1778" w:val="left"/>
        </w:tabs>
        <w:autoSpaceDE w:val="0"/>
        <w:widowControl/>
        <w:spacing w:line="302" w:lineRule="auto" w:before="0" w:after="0"/>
        <w:ind w:left="159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Use real data to understand needs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Build a long-term budget—not just for construction, but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operations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Prepare early for licensing and compliance steps</w:t>
      </w:r>
    </w:p>
    <w:p>
      <w:pPr>
        <w:autoSpaceDN w:val="0"/>
        <w:autoSpaceDE w:val="0"/>
        <w:widowControl/>
        <w:spacing w:line="278" w:lineRule="auto" w:before="354" w:after="0"/>
        <w:ind w:left="123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2. Involve the Community</w:t>
      </w:r>
    </w:p>
    <w:p>
      <w:pPr>
        <w:autoSpaceDN w:val="0"/>
        <w:tabs>
          <w:tab w:pos="1778" w:val="left"/>
        </w:tabs>
        <w:autoSpaceDE w:val="0"/>
        <w:widowControl/>
        <w:spacing w:line="302" w:lineRule="auto" w:before="158" w:after="0"/>
        <w:ind w:left="15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Listen first—communities are not just stakeholders, they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are partners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Be open and transparent from the beginning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Work with local leaders who already have trust</w:t>
      </w:r>
    </w:p>
    <w:p>
      <w:pPr>
        <w:autoSpaceDN w:val="0"/>
        <w:autoSpaceDE w:val="0"/>
        <w:widowControl/>
        <w:spacing w:line="278" w:lineRule="auto" w:before="354" w:after="0"/>
        <w:ind w:left="123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3. Design for Healing and Flexibility</w:t>
      </w:r>
    </w:p>
    <w:p>
      <w:pPr>
        <w:autoSpaceDN w:val="0"/>
        <w:tabs>
          <w:tab w:pos="1778" w:val="left"/>
        </w:tabs>
        <w:autoSpaceDE w:val="0"/>
        <w:widowControl/>
        <w:spacing w:line="302" w:lineRule="auto" w:before="158" w:after="0"/>
        <w:ind w:left="159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Create environments that feel safe, open, and calming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Use designs that can adapt as care models evolve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Consider sustainability and energy-efficiency from day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one</w:t>
      </w:r>
    </w:p>
    <w:p>
      <w:pPr>
        <w:autoSpaceDN w:val="0"/>
        <w:autoSpaceDE w:val="0"/>
        <w:widowControl/>
        <w:spacing w:line="278" w:lineRule="auto" w:before="424" w:after="0"/>
        <w:ind w:left="123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Moving Forward Together</w:t>
      </w:r>
    </w:p>
    <w:p>
      <w:pPr>
        <w:autoSpaceDN w:val="0"/>
        <w:autoSpaceDE w:val="0"/>
        <w:widowControl/>
        <w:spacing w:line="266" w:lineRule="auto" w:before="152" w:after="0"/>
        <w:ind w:left="123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 single group can solve the behavioral health crisis. It will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take a team effort—governments, healthcare leaders, develop-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ers, and community members—working together.</w:t>
      </w:r>
    </w:p>
    <w:p>
      <w:pPr>
        <w:autoSpaceDN w:val="0"/>
        <w:autoSpaceDE w:val="0"/>
        <w:widowControl/>
        <w:spacing w:line="276" w:lineRule="auto" w:before="254" w:after="0"/>
        <w:ind w:left="12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Here’s what we can do:</w:t>
      </w:r>
    </w:p>
    <w:p>
      <w:pPr>
        <w:autoSpaceDN w:val="0"/>
        <w:autoSpaceDE w:val="0"/>
        <w:widowControl/>
        <w:spacing w:line="278" w:lineRule="auto" w:before="160" w:after="0"/>
        <w:ind w:left="123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A. Align Funding and Policy</w:t>
      </w:r>
    </w:p>
    <w:p>
      <w:pPr>
        <w:autoSpaceDN w:val="0"/>
        <w:autoSpaceDE w:val="0"/>
        <w:widowControl/>
        <w:spacing w:line="307" w:lineRule="auto" w:before="254" w:after="654"/>
        <w:ind w:left="1598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Support programs like Medicaid and CalAIM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Simplify the approval process for facilities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402" w:space="0"/>
            <w:col w:w="737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286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19</w:t>
            </w:r>
          </w:p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Call to Action for Behavioral Health Infrastructure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287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sectPr>
          <w:pgSz w:w="17280" w:h="12960"/>
          <w:pgMar w:top="502" w:right="1214" w:bottom="340" w:left="1260" w:header="720" w:footer="720" w:gutter="0"/>
          <w:cols/>
          <w:docGrid w:linePitch="360"/>
        </w:sectPr>
      </w:pPr>
    </w:p>
    <w:p>
      <w:pPr>
        <w:autoSpaceDN w:val="0"/>
        <w:tabs>
          <w:tab w:pos="540" w:val="left"/>
        </w:tabs>
        <w:autoSpaceDE w:val="0"/>
        <w:widowControl/>
        <w:spacing w:line="269" w:lineRule="auto" w:before="0" w:after="0"/>
        <w:ind w:left="36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Provide incentives for developers who build healing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spaces</w:t>
      </w:r>
    </w:p>
    <w:p>
      <w:pPr>
        <w:autoSpaceDN w:val="0"/>
        <w:autoSpaceDE w:val="0"/>
        <w:widowControl/>
        <w:spacing w:line="278" w:lineRule="auto" w:before="28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B. Stay Open to Innovation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164" w:after="0"/>
        <w:ind w:left="36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Build with the future in mind: telehealth, mobile crisis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teams, digital tools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Use data and technology to improve care and operations </w:t>
      </w:r>
    </w:p>
    <w:p>
      <w:pPr>
        <w:autoSpaceDN w:val="0"/>
        <w:autoSpaceDE w:val="0"/>
        <w:widowControl/>
        <w:spacing w:line="278" w:lineRule="auto" w:before="45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A Final Thought</w:t>
      </w:r>
    </w:p>
    <w:p>
      <w:pPr>
        <w:autoSpaceDN w:val="0"/>
        <w:autoSpaceDE w:val="0"/>
        <w:widowControl/>
        <w:spacing w:line="276" w:lineRule="auto" w:before="1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This book is a guide—but it’s also an invitation.</w:t>
      </w:r>
    </w:p>
    <w:p>
      <w:pPr>
        <w:autoSpaceDN w:val="0"/>
        <w:autoSpaceDE w:val="0"/>
        <w:widowControl/>
        <w:spacing w:line="266" w:lineRule="auto" w:before="25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work of creating behavioral health infrastructure is more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than technical. It’s meaningful. It’s a chance to improve lives,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families, and communities.</w:t>
      </w:r>
    </w:p>
    <w:p>
      <w:pPr>
        <w:autoSpaceDN w:val="0"/>
        <w:autoSpaceDE w:val="0"/>
        <w:widowControl/>
        <w:spacing w:line="269" w:lineRule="auto" w:before="25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Every project you build is a statement of belief—that healing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possible and that every person deserves access to care.</w:t>
      </w:r>
    </w:p>
    <w:p>
      <w:pPr>
        <w:autoSpaceDN w:val="0"/>
        <w:autoSpaceDE w:val="0"/>
        <w:widowControl/>
        <w:spacing w:line="266" w:lineRule="auto" w:before="25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If you’re reading this, then you have a role to play. Whether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you’re a builder, policymaker, provider, or advocate—what you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do next matters.</w:t>
      </w:r>
    </w:p>
    <w:p>
      <w:pPr>
        <w:autoSpaceDN w:val="0"/>
        <w:autoSpaceDE w:val="0"/>
        <w:widowControl/>
        <w:spacing w:line="269" w:lineRule="auto" w:before="25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Let’s move forward with care, with courage, and with collabo-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ration.</w:t>
      </w:r>
    </w:p>
    <w:p>
      <w:pPr>
        <w:autoSpaceDN w:val="0"/>
        <w:autoSpaceDE w:val="0"/>
        <w:widowControl/>
        <w:spacing w:line="276" w:lineRule="auto" w:before="2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Let’s build places that heal.</w:t>
      </w:r>
    </w:p>
    <w:p>
      <w:pPr>
        <w:autoSpaceDN w:val="0"/>
        <w:autoSpaceDE w:val="0"/>
        <w:widowControl/>
        <w:spacing w:line="276" w:lineRule="auto" w:before="2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Let’s build what the future needs.</w:t>
      </w:r>
    </w:p>
    <w:p>
      <w:pPr>
        <w:sectPr>
          <w:type w:val="continuous"/>
          <w:pgSz w:w="17280" w:h="12960"/>
          <w:pgMar w:top="502" w:right="1214" w:bottom="340" w:left="1260" w:header="720" w:footer="720" w:gutter="0"/>
          <w:cols w:num="2" w:equalWidth="0">
            <w:col w:w="7408" w:space="0"/>
            <w:col w:w="7398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123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About the Author Brian Burnham Jones</w:t>
      </w:r>
    </w:p>
    <w:p>
      <w:pPr>
        <w:autoSpaceDN w:val="0"/>
        <w:tabs>
          <w:tab w:pos="3456" w:val="left"/>
          <w:tab w:pos="3928" w:val="left"/>
        </w:tabs>
        <w:autoSpaceDE w:val="0"/>
        <w:widowControl/>
        <w:spacing w:line="266" w:lineRule="auto" w:before="388" w:after="0"/>
        <w:ind w:left="1530" w:right="864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“Health is a state of the body. Wellness is a state of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being.”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— Jane Stanford</w:t>
      </w:r>
    </w:p>
    <w:p>
      <w:pPr>
        <w:autoSpaceDN w:val="0"/>
        <w:autoSpaceDE w:val="0"/>
        <w:widowControl/>
        <w:spacing w:line="264" w:lineRule="auto" w:before="224" w:after="0"/>
        <w:ind w:left="1232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book is not the story of one person—it’s a reflection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many. It was written in the spirit of collaboration,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belief that real change in behavioral health care comes from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communities coming together with purpose, vision, and care.</w:t>
      </w:r>
    </w:p>
    <w:p>
      <w:pPr>
        <w:autoSpaceDN w:val="0"/>
        <w:autoSpaceDE w:val="0"/>
        <w:widowControl/>
        <w:spacing w:line="266" w:lineRule="auto" w:before="250" w:after="0"/>
        <w:ind w:left="123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 the heart of this work is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Brian Jones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a dedicated member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a growing circle of professionals, advocates, and healers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who believe in building spaces that foster recovery and hope. </w:t>
      </w:r>
    </w:p>
    <w:p>
      <w:pPr>
        <w:autoSpaceDN w:val="0"/>
        <w:autoSpaceDE w:val="0"/>
        <w:widowControl/>
        <w:spacing w:line="264" w:lineRule="auto" w:before="0" w:after="0"/>
        <w:ind w:left="123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With over two decades of experience in real estate develop-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ment, behavioral health consulting, and systems planning, Bri-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an’s journey has always been grounded in service—to people,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 purpose, and to possibility.</w:t>
      </w:r>
    </w:p>
    <w:p>
      <w:pPr>
        <w:autoSpaceDN w:val="0"/>
        <w:autoSpaceDE w:val="0"/>
        <w:widowControl/>
        <w:spacing w:line="264" w:lineRule="auto" w:before="254" w:after="0"/>
        <w:ind w:left="12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But the work featured in these pages is not his alone. It has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been shaped by the wisdom of clinicians, the courage of com-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munity leaders, the insight of architects and planners,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quiet determination of individuals who know that better is pos-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sible. It is the shared effort of a few committed people working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toward something larger than themselves.</w:t>
      </w:r>
    </w:p>
    <w:p>
      <w:pPr>
        <w:autoSpaceDN w:val="0"/>
        <w:autoSpaceDE w:val="0"/>
        <w:widowControl/>
        <w:spacing w:line="278" w:lineRule="auto" w:before="604" w:after="0"/>
        <w:ind w:left="123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A Life in Collaboration</w:t>
      </w:r>
    </w:p>
    <w:p>
      <w:pPr>
        <w:autoSpaceDN w:val="0"/>
        <w:autoSpaceDE w:val="0"/>
        <w:widowControl/>
        <w:spacing w:line="264" w:lineRule="auto" w:before="152" w:after="442"/>
        <w:ind w:left="12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Brian’s professional path has taken him through many sec-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tors—from housing and healthcare to policy and construction.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the founder of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BHSME, LLC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he has supported the devel-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opment of behavioral health facilities across California and be-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yond, helping turn visions into reality. His work spans concept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planning, project management, strategic funding, stakeholder </w:t>
      </w:r>
    </w:p>
    <w:p>
      <w:pPr>
        <w:sectPr>
          <w:type w:val="nextColumn"/>
          <w:pgSz w:w="17280" w:h="12960"/>
          <w:pgMar w:top="502" w:right="1214" w:bottom="340" w:left="1260" w:header="720" w:footer="720" w:gutter="0"/>
          <w:cols w:num="2" w:equalWidth="0">
            <w:col w:w="7408" w:space="0"/>
            <w:col w:w="7398" w:space="0"/>
          </w:cols>
          <w:docGrid w:linePitch="360"/>
        </w:sectPr>
      </w:pPr>
    </w:p>
    <w:p>
      <w:pPr>
        <w:autoSpaceDN w:val="0"/>
        <w:tabs>
          <w:tab w:pos="14486" w:val="left"/>
        </w:tabs>
        <w:autoSpaceDE w:val="0"/>
        <w:widowControl/>
        <w:spacing w:line="274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288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289</w:t>
      </w:r>
    </w:p>
    <w:p>
      <w:pPr>
        <w:sectPr>
          <w:type w:val="continuous"/>
          <w:pgSz w:w="17280" w:h="12960"/>
          <w:pgMar w:top="502" w:right="1214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sectPr>
          <w:pgSz w:w="17280" w:h="12960"/>
          <w:pgMar w:top="502" w:right="1214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engagement, and real estate development, always with the goal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 creating environments that support healing and belonging.</w:t>
      </w:r>
    </w:p>
    <w:p>
      <w:pPr>
        <w:autoSpaceDN w:val="0"/>
        <w:autoSpaceDE w:val="0"/>
        <w:widowControl/>
        <w:spacing w:line="264" w:lineRule="auto" w:before="25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 lives on a small organic farm in San Diego with his fiancé,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their dog, cat, bees, fruit trees, and gardens—a life that mirrors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values he brings to his work: sustainability, connection,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care.</w:t>
      </w:r>
    </w:p>
    <w:p>
      <w:pPr>
        <w:autoSpaceDN w:val="0"/>
        <w:autoSpaceDE w:val="0"/>
        <w:widowControl/>
        <w:spacing w:line="264" w:lineRule="auto" w:before="25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His background includes studies in psychology, religion, per-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sonality theory, and sustainable real estate. He holds degrees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from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Stanford University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advanced training in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psycholo-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gy and real estate development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blending the academic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practical in his approach to healing-centered infrastructure.</w:t>
      </w:r>
    </w:p>
    <w:p>
      <w:pPr>
        <w:autoSpaceDN w:val="0"/>
        <w:autoSpaceDE w:val="0"/>
        <w:widowControl/>
        <w:spacing w:line="278" w:lineRule="auto" w:before="51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A Practice of Shared Vision</w:t>
      </w:r>
    </w:p>
    <w:p>
      <w:pPr>
        <w:autoSpaceDN w:val="0"/>
        <w:autoSpaceDE w:val="0"/>
        <w:widowControl/>
        <w:spacing w:line="264" w:lineRule="auto" w:before="152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While Brian has led large-scale development projects and ad-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vised state agencies and nonprofit leaders, what matters most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him is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teamwork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The best outcomes, he believes, are always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result of many people working together—listening, adapt-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ing, and building in response to real community needs.</w:t>
      </w:r>
    </w:p>
    <w:p>
      <w:pPr>
        <w:autoSpaceDN w:val="0"/>
        <w:autoSpaceDE w:val="0"/>
        <w:widowControl/>
        <w:spacing w:line="264" w:lineRule="auto" w:before="254" w:after="0"/>
        <w:ind w:left="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 BHSME, that belief is embedded in everything they do.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From early-stage planning to final construction, projects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guided by the wisdom of teams who value equity, sustainabil-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ity, trauma-informed design, and deep respect for the lived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experience of those they serve.</w:t>
      </w:r>
    </w:p>
    <w:p>
      <w:pPr>
        <w:autoSpaceDN w:val="0"/>
        <w:autoSpaceDE w:val="0"/>
        <w:widowControl/>
        <w:spacing w:line="278" w:lineRule="auto" w:before="51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A Broader Mission</w:t>
      </w:r>
    </w:p>
    <w:p>
      <w:pPr>
        <w:autoSpaceDN w:val="0"/>
        <w:autoSpaceDE w:val="0"/>
        <w:widowControl/>
        <w:spacing w:line="264" w:lineRule="auto" w:before="152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 care is not just a sector—it’s a movement.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movement toward more inclusive, accessible, and compas-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sionate systems of care. Brian’s work supports this mission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helping communities design spaces that feel safe, welcoming,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empowering.</w:t>
      </w:r>
    </w:p>
    <w:p>
      <w:pPr>
        <w:sectPr>
          <w:type w:val="continuous"/>
          <w:pgSz w:w="17280" w:h="12960"/>
          <w:pgMar w:top="502" w:right="1214" w:bottom="340" w:left="1260" w:header="720" w:footer="720" w:gutter="0"/>
          <w:cols w:num="2" w:equalWidth="0">
            <w:col w:w="7402" w:space="0"/>
            <w:col w:w="7403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auto" w:before="0" w:after="0"/>
        <w:ind w:left="12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He believes in:</w:t>
      </w:r>
    </w:p>
    <w:p>
      <w:pPr>
        <w:autoSpaceDN w:val="0"/>
        <w:autoSpaceDE w:val="0"/>
        <w:widowControl/>
        <w:spacing w:line="278" w:lineRule="auto" w:before="70" w:after="0"/>
        <w:ind w:left="159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Co-creation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with community voices</w:t>
      </w:r>
    </w:p>
    <w:p>
      <w:pPr>
        <w:autoSpaceDN w:val="0"/>
        <w:tabs>
          <w:tab w:pos="1778" w:val="left"/>
        </w:tabs>
        <w:autoSpaceDE w:val="0"/>
        <w:widowControl/>
        <w:spacing w:line="269" w:lineRule="auto" w:before="70" w:after="0"/>
        <w:ind w:left="1598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Healing-centered design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that meets people where they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are</w:t>
      </w:r>
    </w:p>
    <w:p>
      <w:pPr>
        <w:autoSpaceDN w:val="0"/>
        <w:tabs>
          <w:tab w:pos="1778" w:val="left"/>
        </w:tabs>
        <w:autoSpaceDE w:val="0"/>
        <w:widowControl/>
        <w:spacing w:line="269" w:lineRule="auto" w:before="70" w:after="0"/>
        <w:ind w:left="159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Innovative infrastructure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that can adapt to the changing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needs of care</w:t>
      </w:r>
    </w:p>
    <w:p>
      <w:pPr>
        <w:autoSpaceDN w:val="0"/>
        <w:autoSpaceDE w:val="0"/>
        <w:widowControl/>
        <w:spacing w:line="269" w:lineRule="auto" w:before="160" w:after="0"/>
        <w:ind w:left="12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His vision is simple: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build places that help people get better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support the teams that make that healing possible.</w:t>
      </w:r>
    </w:p>
    <w:p>
      <w:pPr>
        <w:autoSpaceDN w:val="0"/>
        <w:autoSpaceDE w:val="0"/>
        <w:widowControl/>
        <w:spacing w:line="278" w:lineRule="auto" w:before="606" w:after="0"/>
        <w:ind w:left="123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Final Thoughts</w:t>
      </w:r>
    </w:p>
    <w:p>
      <w:pPr>
        <w:autoSpaceDN w:val="0"/>
        <w:autoSpaceDE w:val="0"/>
        <w:widowControl/>
        <w:spacing w:line="264" w:lineRule="auto" w:before="152" w:after="0"/>
        <w:ind w:left="12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book is a reflection of what’s possible when people come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together to solve hard problems with heart, knowledge, and hu-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mility. It is not a blueprint from above—it’s a shared resource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from the field. A tool for those who believe that the future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behavioral health must be built, not just hoped for.</w:t>
      </w:r>
    </w:p>
    <w:p>
      <w:pPr>
        <w:autoSpaceDN w:val="0"/>
        <w:autoSpaceDE w:val="0"/>
        <w:widowControl/>
        <w:spacing w:line="264" w:lineRule="auto" w:before="254" w:after="0"/>
        <w:ind w:left="123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Brian offers this work in gratitude—to everyone working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quietly and persistently to bring healing into the world.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frontline caregivers, the project managers, the advocates,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public servants. To the communities that open their doors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their minds to new possibilities.</w:t>
      </w:r>
    </w:p>
    <w:p>
      <w:pPr>
        <w:autoSpaceDN w:val="0"/>
        <w:autoSpaceDE w:val="0"/>
        <w:widowControl/>
        <w:spacing w:line="266" w:lineRule="auto" w:before="254" w:after="0"/>
        <w:ind w:left="12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If you find hope, ideas, or practical guidance in these pages,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know that you are already part of this movement. Together, we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are building something that matters.</w:t>
      </w:r>
    </w:p>
    <w:p>
      <w:pPr>
        <w:autoSpaceDN w:val="0"/>
        <w:tabs>
          <w:tab w:pos="1298" w:val="left"/>
        </w:tabs>
        <w:autoSpaceDE w:val="0"/>
        <w:widowControl/>
        <w:spacing w:line="264" w:lineRule="auto" w:before="254" w:after="792"/>
        <w:ind w:left="1238" w:right="288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appreciation and solidarity,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Brian Jones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Founder, BHSME, LLC </w:t>
      </w:r>
      <w:r>
        <w:br/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>www.bhsme.org</w:t>
      </w:r>
      <w:r>
        <w:rPr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brian@bhsme.org</w:t>
      </w:r>
    </w:p>
    <w:p>
      <w:pPr>
        <w:sectPr>
          <w:type w:val="nextColumn"/>
          <w:pgSz w:w="17280" w:h="12960"/>
          <w:pgMar w:top="502" w:right="1214" w:bottom="340" w:left="1260" w:header="720" w:footer="720" w:gutter="0"/>
          <w:cols w:num="2" w:equalWidth="0">
            <w:col w:w="7402" w:space="0"/>
            <w:col w:w="7403" w:space="0"/>
          </w:cols>
          <w:docGrid w:linePitch="360"/>
        </w:sectPr>
      </w:pPr>
    </w:p>
    <w:p>
      <w:pPr>
        <w:autoSpaceDN w:val="0"/>
        <w:tabs>
          <w:tab w:pos="14486" w:val="left"/>
        </w:tabs>
        <w:autoSpaceDE w:val="0"/>
        <w:widowControl/>
        <w:spacing w:line="274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290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291</w:t>
      </w:r>
    </w:p>
    <w:p>
      <w:pPr>
        <w:sectPr>
          <w:type w:val="continuous"/>
          <w:pgSz w:w="17280" w:h="12960"/>
          <w:pgMar w:top="502" w:right="1214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0" w:right="91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Glossary of Real Estate Development Terms</w:t>
      </w:r>
    </w:p>
    <w:p>
      <w:pPr>
        <w:autoSpaceDN w:val="0"/>
        <w:autoSpaceDE w:val="0"/>
        <w:widowControl/>
        <w:spacing w:line="278" w:lineRule="auto" w:before="148" w:after="0"/>
        <w:ind w:left="0" w:right="599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A</w:t>
      </w:r>
    </w:p>
    <w:p>
      <w:pPr>
        <w:autoSpaceDN w:val="0"/>
        <w:autoSpaceDE w:val="0"/>
        <w:widowControl/>
        <w:spacing w:line="266" w:lineRule="auto" w:before="250" w:after="0"/>
        <w:ind w:left="864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Accessory Dwelling Unit (ADU)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secondary housing unit on a single-family lot, which can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provide additional housing options for supportive living envi-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ronments.</w:t>
      </w:r>
    </w:p>
    <w:p>
      <w:pPr>
        <w:autoSpaceDN w:val="0"/>
        <w:autoSpaceDE w:val="0"/>
        <w:widowControl/>
        <w:spacing w:line="266" w:lineRule="auto" w:before="250" w:after="0"/>
        <w:ind w:left="864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Adaptive Reuse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process of repurposing existing buildings for new uses,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particularly important in accommodating behavioral health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facilities within existing structures.</w:t>
      </w:r>
    </w:p>
    <w:p>
      <w:pPr>
        <w:autoSpaceDN w:val="0"/>
        <w:autoSpaceDE w:val="0"/>
        <w:widowControl/>
        <w:spacing w:line="266" w:lineRule="auto" w:before="250" w:after="0"/>
        <w:ind w:left="864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Affordable Housing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Housing that is affordable to low- and moderate-income indi-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viduals and families, integral to supporting residents in behav-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ioral health rehabilitation.</w:t>
      </w:r>
    </w:p>
    <w:p>
      <w:pPr>
        <w:autoSpaceDN w:val="0"/>
        <w:autoSpaceDE w:val="0"/>
        <w:widowControl/>
        <w:spacing w:line="266" w:lineRule="auto" w:before="250" w:after="0"/>
        <w:ind w:left="86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Appraisal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 assessment of a property’s value, conducted by a qualified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appraiser, crucial for financing and investment decisions.</w:t>
      </w:r>
    </w:p>
    <w:p>
      <w:pPr>
        <w:autoSpaceDN w:val="0"/>
        <w:autoSpaceDE w:val="0"/>
        <w:widowControl/>
        <w:spacing w:line="266" w:lineRule="auto" w:before="250" w:after="0"/>
        <w:ind w:left="86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As-Built Drawings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Detailed drawings that represent the building as it was con-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structed, including modifications made during the construction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process.</w:t>
      </w:r>
    </w:p>
    <w:p>
      <w:pPr>
        <w:autoSpaceDN w:val="0"/>
        <w:autoSpaceDE w:val="0"/>
        <w:widowControl/>
        <w:spacing w:line="278" w:lineRule="auto" w:before="250" w:after="0"/>
        <w:ind w:left="0" w:right="600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B</w:t>
      </w:r>
    </w:p>
    <w:p>
      <w:pPr>
        <w:autoSpaceDN w:val="0"/>
        <w:autoSpaceDE w:val="0"/>
        <w:widowControl/>
        <w:spacing w:line="266" w:lineRule="auto" w:before="250" w:after="0"/>
        <w:ind w:left="864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Building Code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set of regulations that govern the design, construction,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occupancy of buildings to ensure safety, health, and welfare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standards.</w:t>
      </w:r>
    </w:p>
    <w:p>
      <w:pPr>
        <w:autoSpaceDN w:val="0"/>
        <w:tabs>
          <w:tab w:pos="14486" w:val="left"/>
        </w:tabs>
        <w:autoSpaceDE w:val="0"/>
        <w:widowControl/>
        <w:spacing w:line="274" w:lineRule="auto" w:before="110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292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293</w:t>
      </w:r>
    </w:p>
    <w:p>
      <w:pPr>
        <w:sectPr>
          <w:pgSz w:w="17280" w:h="12960"/>
          <w:pgMar w:top="492" w:right="1214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8"/>
        <w:ind w:left="0" w:right="0"/>
      </w:pPr>
    </w:p>
    <w:p>
      <w:pPr>
        <w:sectPr>
          <w:pgSz w:w="17280" w:h="12960"/>
          <w:pgMar w:top="498" w:right="1214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Building Envelope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physical separator between the interior and exterior of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building, including walls, roofs, and foundations.</w:t>
      </w:r>
    </w:p>
    <w:p>
      <w:pPr>
        <w:autoSpaceDN w:val="0"/>
        <w:autoSpaceDE w:val="0"/>
        <w:widowControl/>
        <w:spacing w:line="278" w:lineRule="auto" w:before="25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C</w:t>
      </w:r>
    </w:p>
    <w:p>
      <w:pPr>
        <w:autoSpaceDN w:val="0"/>
        <w:autoSpaceDE w:val="0"/>
        <w:widowControl/>
        <w:spacing w:line="266" w:lineRule="auto" w:before="250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Capital Improvement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Significant upgrades or modifications made to a property,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enhancing its value and functionality, often required for reha-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bilitation facilities.</w:t>
      </w:r>
    </w:p>
    <w:p>
      <w:pPr>
        <w:autoSpaceDN w:val="0"/>
        <w:autoSpaceDE w:val="0"/>
        <w:widowControl/>
        <w:spacing w:line="266" w:lineRule="auto" w:before="250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Capital Stack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combination of debt and equity used to finance a real es-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tate project, important for understanding funding sources.</w:t>
      </w:r>
    </w:p>
    <w:p>
      <w:pPr>
        <w:autoSpaceDN w:val="0"/>
        <w:autoSpaceDE w:val="0"/>
        <w:widowControl/>
        <w:spacing w:line="266" w:lineRule="auto" w:before="250" w:after="0"/>
        <w:ind w:left="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Community Development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planning and implementation of projects aimed at improv-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ing community quality of life, including mental health services.</w:t>
      </w:r>
    </w:p>
    <w:p>
      <w:pPr>
        <w:autoSpaceDN w:val="0"/>
        <w:autoSpaceDE w:val="0"/>
        <w:widowControl/>
        <w:spacing w:line="266" w:lineRule="auto" w:before="250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Community Land Trust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nonprofit organization that acquires and holds land to pro-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vide affordable housing options for low-income residents.</w:t>
      </w:r>
    </w:p>
    <w:p>
      <w:pPr>
        <w:autoSpaceDN w:val="0"/>
        <w:autoSpaceDE w:val="0"/>
        <w:widowControl/>
        <w:spacing w:line="266" w:lineRule="auto" w:before="250" w:after="0"/>
        <w:ind w:left="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Community Needs Assessment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 evaluation of the specific needs of a community regarding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health services, housing, and other support, guiding develop-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ment decisions.</w:t>
      </w:r>
    </w:p>
    <w:p>
      <w:pPr>
        <w:autoSpaceDN w:val="0"/>
        <w:autoSpaceDE w:val="0"/>
        <w:widowControl/>
        <w:spacing w:line="266" w:lineRule="auto" w:before="250" w:after="0"/>
        <w:ind w:left="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Conditional Use Permit (CUP)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permit allowing a property to be used in a manner not typi-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cally permitted by zoning laws, often necessary for behavioral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health facilities.</w:t>
      </w:r>
    </w:p>
    <w:p>
      <w:pPr>
        <w:autoSpaceDN w:val="0"/>
        <w:autoSpaceDE w:val="0"/>
        <w:widowControl/>
        <w:spacing w:line="269" w:lineRule="auto" w:before="250" w:after="0"/>
        <w:ind w:left="0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Construction Management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process of planning, coordinating, and overseeing con-</w:t>
      </w:r>
    </w:p>
    <w:p>
      <w:pPr>
        <w:sectPr>
          <w:type w:val="continuous"/>
          <w:pgSz w:w="17280" w:h="12960"/>
          <w:pgMar w:top="498" w:right="1214" w:bottom="340" w:left="1260" w:header="720" w:footer="720" w:gutter="0"/>
          <w:cols w:num="2" w:equalWidth="0">
            <w:col w:w="7372" w:space="0"/>
            <w:col w:w="7433" w:space="0"/>
          </w:cols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126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struction projects to ensure they are completed on time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within budget.</w:t>
      </w:r>
    </w:p>
    <w:p>
      <w:pPr>
        <w:autoSpaceDN w:val="0"/>
        <w:autoSpaceDE w:val="0"/>
        <w:widowControl/>
        <w:spacing w:line="266" w:lineRule="auto" w:before="250" w:after="0"/>
        <w:ind w:left="126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Contingency Plan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strategy developed to address potential risks and unforeseen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issues that may arise during the development process.</w:t>
      </w:r>
    </w:p>
    <w:p>
      <w:pPr>
        <w:autoSpaceDN w:val="0"/>
        <w:autoSpaceDE w:val="0"/>
        <w:widowControl/>
        <w:spacing w:line="266" w:lineRule="auto" w:before="250" w:after="0"/>
        <w:ind w:left="126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Conversion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process of changing a building’s use, such as converting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commercial space into a behavioral health facility.</w:t>
      </w:r>
    </w:p>
    <w:p>
      <w:pPr>
        <w:autoSpaceDN w:val="0"/>
        <w:autoSpaceDE w:val="0"/>
        <w:widowControl/>
        <w:spacing w:line="266" w:lineRule="auto" w:before="250" w:after="0"/>
        <w:ind w:left="126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Cost-Benefit Analysis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financial assessment that compares the costs of a project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against its expected benefits to determine feasibility.</w:t>
      </w:r>
    </w:p>
    <w:p>
      <w:pPr>
        <w:autoSpaceDN w:val="0"/>
        <w:autoSpaceDE w:val="0"/>
        <w:widowControl/>
        <w:spacing w:line="266" w:lineRule="auto" w:before="250" w:after="0"/>
        <w:ind w:left="126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Curb Appeal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attractiveness of a property as seen from the street, which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can influence public perception of a behavioral health facility.</w:t>
      </w:r>
    </w:p>
    <w:p>
      <w:pPr>
        <w:autoSpaceDN w:val="0"/>
        <w:autoSpaceDE w:val="0"/>
        <w:widowControl/>
        <w:spacing w:line="278" w:lineRule="auto" w:before="250" w:after="0"/>
        <w:ind w:left="126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</w:t>
      </w:r>
    </w:p>
    <w:p>
      <w:pPr>
        <w:autoSpaceDN w:val="0"/>
        <w:autoSpaceDE w:val="0"/>
        <w:widowControl/>
        <w:spacing w:line="266" w:lineRule="auto" w:before="250" w:after="0"/>
        <w:ind w:left="126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Density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number of housing units or people per unit of land area;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important for understanding the scale of development in urban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areas.</w:t>
      </w:r>
    </w:p>
    <w:p>
      <w:pPr>
        <w:autoSpaceDN w:val="0"/>
        <w:autoSpaceDE w:val="0"/>
        <w:widowControl/>
        <w:spacing w:line="266" w:lineRule="auto" w:before="250" w:after="0"/>
        <w:ind w:left="1268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Development Agreement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legally binding contract between a developer and a munici-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pality outlining the terms of a development project.</w:t>
      </w:r>
    </w:p>
    <w:p>
      <w:pPr>
        <w:autoSpaceDN w:val="0"/>
        <w:autoSpaceDE w:val="0"/>
        <w:widowControl/>
        <w:spacing w:line="266" w:lineRule="auto" w:before="250" w:after="1038"/>
        <w:ind w:left="126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Development Impact Fees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Fees imposed on developers to offset the costs of providing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public services related to new development, such as infrastruc-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ture.</w:t>
      </w:r>
    </w:p>
    <w:p>
      <w:pPr>
        <w:sectPr>
          <w:type w:val="nextColumn"/>
          <w:pgSz w:w="17280" w:h="12960"/>
          <w:pgMar w:top="498" w:right="1214" w:bottom="340" w:left="1260" w:header="720" w:footer="720" w:gutter="0"/>
          <w:cols w:num="2" w:equalWidth="0">
            <w:col w:w="7372" w:space="0"/>
            <w:col w:w="7433" w:space="0"/>
          </w:cols>
          <w:docGrid w:linePitch="360"/>
        </w:sectPr>
      </w:pPr>
    </w:p>
    <w:p>
      <w:pPr>
        <w:autoSpaceDN w:val="0"/>
        <w:tabs>
          <w:tab w:pos="14486" w:val="left"/>
        </w:tabs>
        <w:autoSpaceDE w:val="0"/>
        <w:widowControl/>
        <w:spacing w:line="274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294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295</w:t>
      </w:r>
    </w:p>
    <w:p>
      <w:pPr>
        <w:sectPr>
          <w:type w:val="continuous"/>
          <w:pgSz w:w="17280" w:h="12960"/>
          <w:pgMar w:top="498" w:right="1214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8"/>
        <w:ind w:left="0" w:right="0"/>
      </w:pPr>
    </w:p>
    <w:p>
      <w:pPr>
        <w:sectPr>
          <w:pgSz w:w="17280" w:h="12960"/>
          <w:pgMar w:top="498" w:right="1182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0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Due Diligence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process of investigating a property before purchase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development to identify potential issues or liabilities.</w:t>
      </w:r>
    </w:p>
    <w:p>
      <w:pPr>
        <w:autoSpaceDN w:val="0"/>
        <w:autoSpaceDE w:val="0"/>
        <w:widowControl/>
        <w:spacing w:line="278" w:lineRule="auto" w:before="25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E</w:t>
      </w:r>
    </w:p>
    <w:p>
      <w:pPr>
        <w:autoSpaceDN w:val="0"/>
        <w:autoSpaceDE w:val="0"/>
        <w:widowControl/>
        <w:spacing w:line="266" w:lineRule="auto" w:before="250" w:after="0"/>
        <w:ind w:left="0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Easement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legal right to use another person’s land for a specific pur-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pose, such as access to utilities or pathways.</w:t>
      </w:r>
    </w:p>
    <w:p>
      <w:pPr>
        <w:autoSpaceDN w:val="0"/>
        <w:autoSpaceDE w:val="0"/>
        <w:widowControl/>
        <w:spacing w:line="266" w:lineRule="auto" w:before="250" w:after="0"/>
        <w:ind w:left="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Emergency Housing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Temporary housing options for individuals in crisis, which can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 essential for those seeking behavioral health treatment.</w:t>
      </w:r>
    </w:p>
    <w:p>
      <w:pPr>
        <w:autoSpaceDN w:val="0"/>
        <w:autoSpaceDE w:val="0"/>
        <w:widowControl/>
        <w:spacing w:line="266" w:lineRule="auto" w:before="250" w:after="0"/>
        <w:ind w:left="0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Entitlement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legal process of obtaining necessary approvals and per-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mits for a development project, often involving zoning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land use approvals.</w:t>
      </w:r>
    </w:p>
    <w:p>
      <w:pPr>
        <w:autoSpaceDN w:val="0"/>
        <w:autoSpaceDE w:val="0"/>
        <w:widowControl/>
        <w:spacing w:line="266" w:lineRule="auto" w:before="250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Environmental Impact Report (EIR)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document assessing the potential environmental effects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proposed project, required for many large developments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California.</w:t>
      </w:r>
    </w:p>
    <w:p>
      <w:pPr>
        <w:autoSpaceDN w:val="0"/>
        <w:autoSpaceDE w:val="0"/>
        <w:widowControl/>
        <w:spacing w:line="276" w:lineRule="auto" w:before="2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</w:t>
      </w:r>
    </w:p>
    <w:p>
      <w:pPr>
        <w:autoSpaceDN w:val="0"/>
        <w:autoSpaceDE w:val="0"/>
        <w:widowControl/>
        <w:spacing w:line="266" w:lineRule="auto" w:before="250" w:after="0"/>
        <w:ind w:left="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Facility Management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management of services and processes to ensure the func-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tionality, comfort, safety, and efficiency of a built environment.</w:t>
      </w:r>
    </w:p>
    <w:p>
      <w:pPr>
        <w:autoSpaceDN w:val="0"/>
        <w:autoSpaceDE w:val="0"/>
        <w:widowControl/>
        <w:spacing w:line="266" w:lineRule="auto" w:before="250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Fair Housing Act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federal law that prohibits discrimination in housing, ensur-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ing equal access to housing for all individuals.</w:t>
      </w:r>
    </w:p>
    <w:p>
      <w:pPr>
        <w:sectPr>
          <w:type w:val="continuous"/>
          <w:pgSz w:w="17280" w:h="12960"/>
          <w:pgMar w:top="498" w:right="1182" w:bottom="340" w:left="1260" w:header="720" w:footer="720" w:gutter="0"/>
          <w:cols w:num="2" w:equalWidth="0">
            <w:col w:w="7386" w:space="0"/>
            <w:col w:w="745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1254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Financial Feasibility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 assessment of a project’s potential to generate sufficient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income to cover costs, ensuring viability.</w:t>
      </w:r>
    </w:p>
    <w:p>
      <w:pPr>
        <w:autoSpaceDN w:val="0"/>
        <w:autoSpaceDE w:val="0"/>
        <w:widowControl/>
        <w:spacing w:line="266" w:lineRule="auto" w:before="250" w:after="0"/>
        <w:ind w:left="125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Financial Modeling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process of creating a representation of a project’s financial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performance to aid in decision-making.</w:t>
      </w:r>
    </w:p>
    <w:p>
      <w:pPr>
        <w:autoSpaceDN w:val="0"/>
        <w:autoSpaceDE w:val="0"/>
        <w:widowControl/>
        <w:spacing w:line="266" w:lineRule="auto" w:before="250" w:after="0"/>
        <w:ind w:left="125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Form-Based Code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zoning code that emphasizes the physical form of buildings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rather than their specific uses, promoting desired urban aesthet-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ics.</w:t>
      </w:r>
    </w:p>
    <w:p>
      <w:pPr>
        <w:autoSpaceDN w:val="0"/>
        <w:autoSpaceDE w:val="0"/>
        <w:widowControl/>
        <w:spacing w:line="278" w:lineRule="auto" w:before="250" w:after="0"/>
        <w:ind w:left="125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G</w:t>
      </w:r>
    </w:p>
    <w:p>
      <w:pPr>
        <w:autoSpaceDN w:val="0"/>
        <w:autoSpaceDE w:val="0"/>
        <w:widowControl/>
        <w:spacing w:line="266" w:lineRule="auto" w:before="250" w:after="0"/>
        <w:ind w:left="125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Green Building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Construction practices that minimize the environmental impact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 buildings, promoting sustainability in design and materials.</w:t>
      </w:r>
    </w:p>
    <w:p>
      <w:pPr>
        <w:autoSpaceDN w:val="0"/>
        <w:autoSpaceDE w:val="0"/>
        <w:widowControl/>
        <w:spacing w:line="266" w:lineRule="auto" w:before="250" w:after="0"/>
        <w:ind w:left="1254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Green Infrastructure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network providing the “ingredients” for solving urban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climate challenges by building with nature.</w:t>
      </w:r>
    </w:p>
    <w:p>
      <w:pPr>
        <w:autoSpaceDN w:val="0"/>
        <w:autoSpaceDE w:val="0"/>
        <w:widowControl/>
        <w:spacing w:line="266" w:lineRule="auto" w:before="250" w:after="0"/>
        <w:ind w:left="1254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Green Roof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roof partially or completely covered with vegetation, which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can improve building efficiency and provide therapeutic bene-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fits.</w:t>
      </w:r>
    </w:p>
    <w:p>
      <w:pPr>
        <w:autoSpaceDN w:val="0"/>
        <w:autoSpaceDE w:val="0"/>
        <w:widowControl/>
        <w:spacing w:line="278" w:lineRule="auto" w:before="250" w:after="0"/>
        <w:ind w:left="125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H</w:t>
      </w:r>
    </w:p>
    <w:p>
      <w:pPr>
        <w:autoSpaceDN w:val="0"/>
        <w:autoSpaceDE w:val="0"/>
        <w:widowControl/>
        <w:spacing w:line="266" w:lineRule="auto" w:before="250" w:after="1042"/>
        <w:ind w:left="125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Health Impact Assessment (HIA)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tool used to evaluate the potential health effects of a pro-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posed project, ensuring that health considerations are integrated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into planning.</w:t>
      </w:r>
    </w:p>
    <w:p>
      <w:pPr>
        <w:sectPr>
          <w:type w:val="nextColumn"/>
          <w:pgSz w:w="17280" w:h="12960"/>
          <w:pgMar w:top="498" w:right="1182" w:bottom="340" w:left="1260" w:header="720" w:footer="720" w:gutter="0"/>
          <w:cols w:num="2" w:equalWidth="0">
            <w:col w:w="7386" w:space="0"/>
            <w:col w:w="7451" w:space="0"/>
          </w:cols>
          <w:docGrid w:linePitch="360"/>
        </w:sectPr>
      </w:pPr>
    </w:p>
    <w:p>
      <w:pPr>
        <w:autoSpaceDN w:val="0"/>
        <w:tabs>
          <w:tab w:pos="14486" w:val="left"/>
        </w:tabs>
        <w:autoSpaceDE w:val="0"/>
        <w:widowControl/>
        <w:spacing w:line="274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296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297</w:t>
      </w:r>
    </w:p>
    <w:p>
      <w:pPr>
        <w:sectPr>
          <w:type w:val="continuous"/>
          <w:pgSz w:w="17280" w:h="12960"/>
          <w:pgMar w:top="498" w:right="1182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8"/>
        <w:ind w:left="0" w:right="0"/>
      </w:pPr>
    </w:p>
    <w:p>
      <w:pPr>
        <w:sectPr>
          <w:pgSz w:w="17280" w:h="12960"/>
          <w:pgMar w:top="498" w:right="1182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Historic Preservation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act of conserving and protecting buildings of historical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significance, which can be relevant for adaptive reuse projects.</w:t>
      </w:r>
    </w:p>
    <w:p>
      <w:pPr>
        <w:autoSpaceDN w:val="0"/>
        <w:autoSpaceDE w:val="0"/>
        <w:widowControl/>
        <w:spacing w:line="266" w:lineRule="auto" w:before="250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Housing First Model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 approach to addressing homelessness that prioritizes pro-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viding permanent housing without preconditions, supporting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individuals with behavioral health needs.</w:t>
      </w:r>
    </w:p>
    <w:p>
      <w:pPr>
        <w:autoSpaceDN w:val="0"/>
        <w:autoSpaceDE w:val="0"/>
        <w:widowControl/>
        <w:spacing w:line="278" w:lineRule="auto" w:before="25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I</w:t>
      </w:r>
    </w:p>
    <w:p>
      <w:pPr>
        <w:autoSpaceDN w:val="0"/>
        <w:autoSpaceDE w:val="0"/>
        <w:widowControl/>
        <w:spacing w:line="266" w:lineRule="auto" w:before="250" w:after="0"/>
        <w:ind w:left="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Inclusionary Zoning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Policies that require a certain percentage of new construction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 be affordable for low- and moderate-income residents.</w:t>
      </w:r>
    </w:p>
    <w:p>
      <w:pPr>
        <w:autoSpaceDN w:val="0"/>
        <w:autoSpaceDE w:val="0"/>
        <w:widowControl/>
        <w:spacing w:line="266" w:lineRule="auto" w:before="250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Infrastructure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basic physical structures and facilities needed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operation of a society, including transportation, utilities,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services.</w:t>
      </w:r>
    </w:p>
    <w:p>
      <w:pPr>
        <w:autoSpaceDN w:val="0"/>
        <w:autoSpaceDE w:val="0"/>
        <w:widowControl/>
        <w:spacing w:line="266" w:lineRule="auto" w:before="250" w:after="0"/>
        <w:ind w:left="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Intergenerational Housing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Housing that accommodates multiple generations living to-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gether, fostering community and support networks, particularly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mental health.</w:t>
      </w:r>
    </w:p>
    <w:p>
      <w:pPr>
        <w:autoSpaceDN w:val="0"/>
        <w:autoSpaceDE w:val="0"/>
        <w:widowControl/>
        <w:spacing w:line="266" w:lineRule="auto" w:before="250" w:after="0"/>
        <w:ind w:left="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Joint Development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collaborative real estate development project involving mul-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tiple parties, such as private developers and public agencies,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maximize land use efficiency.</w:t>
      </w:r>
    </w:p>
    <w:p>
      <w:pPr>
        <w:autoSpaceDN w:val="0"/>
        <w:autoSpaceDE w:val="0"/>
        <w:widowControl/>
        <w:spacing w:line="266" w:lineRule="auto" w:before="250" w:after="0"/>
        <w:ind w:left="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Joint Venture (JV)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business arrangement where two or more parties agree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pool resources for a specific real estate project, sharing profits,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risks, and responsibilities.</w:t>
      </w:r>
    </w:p>
    <w:p>
      <w:pPr>
        <w:sectPr>
          <w:type w:val="continuous"/>
          <w:pgSz w:w="17280" w:h="12960"/>
          <w:pgMar w:top="498" w:right="1182" w:bottom="340" w:left="1260" w:header="720" w:footer="720" w:gutter="0"/>
          <w:cols w:num="2" w:equalWidth="0">
            <w:col w:w="7384" w:space="0"/>
            <w:col w:w="745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1256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Judgment Lien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court-ordered lien placed on a property as a result of a legal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judgment against the owner, typically due to unpaid debts.</w:t>
      </w:r>
    </w:p>
    <w:p>
      <w:pPr>
        <w:autoSpaceDN w:val="0"/>
        <w:autoSpaceDE w:val="0"/>
        <w:widowControl/>
        <w:spacing w:line="266" w:lineRule="auto" w:before="250" w:after="0"/>
        <w:ind w:left="1256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Junk Fees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Additional charges imposed by lenders or service providers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a real estate transaction, often seen in closing costs, such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administrative or processing fees.</w:t>
      </w:r>
    </w:p>
    <w:p>
      <w:pPr>
        <w:autoSpaceDN w:val="0"/>
        <w:tabs>
          <w:tab w:pos="1316" w:val="left"/>
        </w:tabs>
        <w:autoSpaceDE w:val="0"/>
        <w:widowControl/>
        <w:spacing w:line="266" w:lineRule="auto" w:before="250" w:after="0"/>
        <w:ind w:left="125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Just-in-Time Construction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project management strategy that reduces waste and costs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delivering building materials and labor exactly when needed,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improving efficiency.</w:t>
      </w:r>
    </w:p>
    <w:p>
      <w:pPr>
        <w:autoSpaceDN w:val="0"/>
        <w:autoSpaceDE w:val="0"/>
        <w:widowControl/>
        <w:spacing w:line="278" w:lineRule="auto" w:before="250" w:after="0"/>
        <w:ind w:left="125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K</w:t>
      </w:r>
    </w:p>
    <w:p>
      <w:pPr>
        <w:autoSpaceDN w:val="0"/>
        <w:autoSpaceDE w:val="0"/>
        <w:widowControl/>
        <w:spacing w:line="266" w:lineRule="auto" w:before="250" w:after="0"/>
        <w:ind w:left="125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Keystone Property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highly valuable or strategically located property that plays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crucial role in the success of a larger real estate development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investment portfolio.</w:t>
      </w:r>
    </w:p>
    <w:p>
      <w:pPr>
        <w:autoSpaceDN w:val="0"/>
        <w:tabs>
          <w:tab w:pos="1316" w:val="left"/>
        </w:tabs>
        <w:autoSpaceDE w:val="0"/>
        <w:widowControl/>
        <w:spacing w:line="266" w:lineRule="auto" w:before="250" w:after="0"/>
        <w:ind w:left="1256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Key Tenant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major or anchor tenant in a commercial property, such as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well-known retail brand, whose presence attracts other tenants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customers.</w:t>
      </w:r>
    </w:p>
    <w:p>
      <w:pPr>
        <w:autoSpaceDN w:val="0"/>
        <w:autoSpaceDE w:val="0"/>
        <w:widowControl/>
        <w:spacing w:line="264" w:lineRule="auto" w:before="250" w:after="0"/>
        <w:ind w:left="1256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Kicker Clause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provision in a loan or lease agreement that grants the lend-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er or landlord additional compensation based on a property’s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performance, such as a percentage of rental income or sales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revenue.</w:t>
      </w:r>
    </w:p>
    <w:p>
      <w:pPr>
        <w:autoSpaceDN w:val="0"/>
        <w:autoSpaceDE w:val="0"/>
        <w:widowControl/>
        <w:spacing w:line="266" w:lineRule="auto" w:before="250" w:after="412"/>
        <w:ind w:left="1256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Knockdown Rebuild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process of demolishing an existing structure and rebuild-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ing a new one on the same site, often to modernize or maxi-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mize land value.</w:t>
      </w:r>
    </w:p>
    <w:p>
      <w:pPr>
        <w:sectPr>
          <w:type w:val="nextColumn"/>
          <w:pgSz w:w="17280" w:h="12960"/>
          <w:pgMar w:top="498" w:right="1182" w:bottom="340" w:left="1260" w:header="720" w:footer="720" w:gutter="0"/>
          <w:cols w:num="2" w:equalWidth="0">
            <w:col w:w="7384" w:space="0"/>
            <w:col w:w="7454" w:space="0"/>
          </w:cols>
          <w:docGrid w:linePitch="360"/>
        </w:sectPr>
      </w:pPr>
    </w:p>
    <w:p>
      <w:pPr>
        <w:autoSpaceDN w:val="0"/>
        <w:tabs>
          <w:tab w:pos="14486" w:val="left"/>
        </w:tabs>
        <w:autoSpaceDE w:val="0"/>
        <w:widowControl/>
        <w:spacing w:line="274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298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299</w:t>
      </w:r>
    </w:p>
    <w:p>
      <w:pPr>
        <w:sectPr>
          <w:type w:val="continuous"/>
          <w:pgSz w:w="17280" w:h="12960"/>
          <w:pgMar w:top="498" w:right="1182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8"/>
        <w:ind w:left="0" w:right="0"/>
      </w:pPr>
    </w:p>
    <w:p>
      <w:pPr>
        <w:sectPr>
          <w:pgSz w:w="17280" w:h="12960"/>
          <w:pgMar w:top="498" w:right="120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Knowledge Corridor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 area or district known for its concentration of educational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institutions, research centers, and technology companies, often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influencing local real estate demand.</w:t>
      </w:r>
    </w:p>
    <w:p>
      <w:pPr>
        <w:autoSpaceDN w:val="0"/>
        <w:autoSpaceDE w:val="0"/>
        <w:widowControl/>
        <w:spacing w:line="278" w:lineRule="auto" w:before="25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L</w:t>
      </w:r>
    </w:p>
    <w:p>
      <w:pPr>
        <w:autoSpaceDN w:val="0"/>
        <w:autoSpaceDE w:val="0"/>
        <w:widowControl/>
        <w:spacing w:line="266" w:lineRule="auto" w:before="250" w:after="0"/>
        <w:ind w:left="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Land Use Planning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process of managing land resources to meet development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goals, balancing economic, environmental, and social consider-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ations.</w:t>
      </w:r>
    </w:p>
    <w:p>
      <w:pPr>
        <w:autoSpaceDN w:val="0"/>
        <w:autoSpaceDE w:val="0"/>
        <w:widowControl/>
        <w:spacing w:line="266" w:lineRule="auto" w:before="250" w:after="0"/>
        <w:ind w:left="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Leasehold Interest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rights of a tenant to use and occupy a leased property for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specified period.</w:t>
      </w:r>
    </w:p>
    <w:p>
      <w:pPr>
        <w:autoSpaceDN w:val="0"/>
        <w:autoSpaceDE w:val="0"/>
        <w:widowControl/>
        <w:spacing w:line="266" w:lineRule="auto" w:before="250" w:after="0"/>
        <w:ind w:left="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Livability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measure of how suitable an area is for living, considering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factors like accessibility, amenities, safety, and environmental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quality.</w:t>
      </w:r>
    </w:p>
    <w:p>
      <w:pPr>
        <w:autoSpaceDN w:val="0"/>
        <w:autoSpaceDE w:val="0"/>
        <w:widowControl/>
        <w:spacing w:line="266" w:lineRule="auto" w:before="250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Low-Income Housing Tax Credit (LIHTC)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federal program providing tax incentives for developers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create affordable housing.</w:t>
      </w:r>
    </w:p>
    <w:p>
      <w:pPr>
        <w:autoSpaceDN w:val="0"/>
        <w:autoSpaceDE w:val="0"/>
        <w:widowControl/>
        <w:spacing w:line="278" w:lineRule="auto" w:before="25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M</w:t>
      </w:r>
    </w:p>
    <w:p>
      <w:pPr>
        <w:autoSpaceDN w:val="0"/>
        <w:autoSpaceDE w:val="0"/>
        <w:widowControl/>
        <w:spacing w:line="266" w:lineRule="auto" w:before="250" w:after="0"/>
        <w:ind w:left="0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Master Plan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long-term planning document that provides a vision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future growth and development in a community.</w:t>
      </w:r>
    </w:p>
    <w:p>
      <w:pPr>
        <w:autoSpaceDN w:val="0"/>
        <w:autoSpaceDE w:val="0"/>
        <w:widowControl/>
        <w:spacing w:line="266" w:lineRule="auto" w:before="250" w:after="0"/>
        <w:ind w:left="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Mixed-Use Development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type of urban development that blends residential, commer-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cial, and recreational spaces in a single area.</w:t>
      </w:r>
    </w:p>
    <w:p>
      <w:pPr>
        <w:sectPr>
          <w:type w:val="continuous"/>
          <w:pgSz w:w="17280" w:h="12960"/>
          <w:pgMar w:top="498" w:right="1200" w:bottom="340" w:left="1260" w:header="720" w:footer="720" w:gutter="0"/>
          <w:cols w:num="2" w:equalWidth="0">
            <w:col w:w="7400" w:space="0"/>
            <w:col w:w="74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12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Mitigation Measures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Actions taken to reduce the negative impact of a development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project on the environment or surrounding community.</w:t>
      </w:r>
    </w:p>
    <w:p>
      <w:pPr>
        <w:autoSpaceDN w:val="0"/>
        <w:autoSpaceDE w:val="0"/>
        <w:widowControl/>
        <w:spacing w:line="266" w:lineRule="auto" w:before="250" w:after="0"/>
        <w:ind w:left="12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Modular Construction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construction method in which buildings are prefabricated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sections off-site and then assembled on location, reducing costs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timelines.</w:t>
      </w:r>
    </w:p>
    <w:p>
      <w:pPr>
        <w:autoSpaceDN w:val="0"/>
        <w:autoSpaceDE w:val="0"/>
        <w:widowControl/>
        <w:spacing w:line="278" w:lineRule="auto" w:before="250" w:after="0"/>
        <w:ind w:left="12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N</w:t>
      </w:r>
    </w:p>
    <w:p>
      <w:pPr>
        <w:autoSpaceDN w:val="0"/>
        <w:autoSpaceDE w:val="0"/>
        <w:widowControl/>
        <w:spacing w:line="266" w:lineRule="auto" w:before="250" w:after="0"/>
        <w:ind w:left="124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Neighborhood Revitalization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Efforts to improve declining neighborhoods through invest-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ment, redevelopment, and infrastructure improvements.</w:t>
      </w:r>
    </w:p>
    <w:p>
      <w:pPr>
        <w:autoSpaceDN w:val="0"/>
        <w:autoSpaceDE w:val="0"/>
        <w:widowControl/>
        <w:spacing w:line="266" w:lineRule="auto" w:before="250" w:after="0"/>
        <w:ind w:left="12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Net Operating Income (NOI)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key financial metric used to evaluate a property’s profitabili-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ty, calculated as total revenue minus operating expenses.</w:t>
      </w:r>
    </w:p>
    <w:p>
      <w:pPr>
        <w:autoSpaceDN w:val="0"/>
        <w:autoSpaceDE w:val="0"/>
        <w:widowControl/>
        <w:spacing w:line="266" w:lineRule="auto" w:before="250" w:after="0"/>
        <w:ind w:left="12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New Urbanism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planning and development approach that promotes walk-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able, mixed-use communities with a focus on sustainability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accessibility.</w:t>
      </w:r>
    </w:p>
    <w:p>
      <w:pPr>
        <w:autoSpaceDN w:val="0"/>
        <w:autoSpaceDE w:val="0"/>
        <w:widowControl/>
        <w:spacing w:line="266" w:lineRule="auto" w:before="250" w:after="0"/>
        <w:ind w:left="124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Noise Ordinance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Local regulations that limit noise levels to ensure a healthy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livable environment for residents.</w:t>
      </w:r>
    </w:p>
    <w:p>
      <w:pPr>
        <w:autoSpaceDN w:val="0"/>
        <w:autoSpaceDE w:val="0"/>
        <w:widowControl/>
        <w:spacing w:line="278" w:lineRule="auto" w:before="250" w:after="0"/>
        <w:ind w:left="12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O</w:t>
      </w:r>
    </w:p>
    <w:p>
      <w:pPr>
        <w:autoSpaceDN w:val="0"/>
        <w:autoSpaceDE w:val="0"/>
        <w:widowControl/>
        <w:spacing w:line="266" w:lineRule="auto" w:before="250" w:after="1342"/>
        <w:ind w:left="1240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Occupancy Permit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government-issued document certifying that a building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meets code requirements and is safe for occupancy.</w:t>
      </w:r>
    </w:p>
    <w:p>
      <w:pPr>
        <w:sectPr>
          <w:type w:val="nextColumn"/>
          <w:pgSz w:w="17280" w:h="12960"/>
          <w:pgMar w:top="498" w:right="1200" w:bottom="340" w:left="1260" w:header="720" w:footer="720" w:gutter="0"/>
          <w:cols w:num="2" w:equalWidth="0">
            <w:col w:w="7400" w:space="0"/>
            <w:col w:w="7420" w:space="0"/>
          </w:cols>
          <w:docGrid w:linePitch="360"/>
        </w:sectPr>
      </w:pPr>
    </w:p>
    <w:p>
      <w:pPr>
        <w:autoSpaceDN w:val="0"/>
        <w:tabs>
          <w:tab w:pos="14486" w:val="left"/>
        </w:tabs>
        <w:autoSpaceDE w:val="0"/>
        <w:widowControl/>
        <w:spacing w:line="274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301</w:t>
      </w:r>
    </w:p>
    <w:p>
      <w:pPr>
        <w:sectPr>
          <w:type w:val="continuous"/>
          <w:pgSz w:w="17280" w:h="12960"/>
          <w:pgMar w:top="498" w:right="120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8"/>
        <w:ind w:left="0" w:right="0"/>
      </w:pPr>
    </w:p>
    <w:p>
      <w:pPr>
        <w:sectPr>
          <w:pgSz w:w="17280" w:h="12960"/>
          <w:pgMar w:top="498" w:right="1198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Opportunity Zone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designated economically distressed area where investors can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receive tax incentives for development projects.</w:t>
      </w:r>
    </w:p>
    <w:p>
      <w:pPr>
        <w:autoSpaceDN w:val="0"/>
        <w:autoSpaceDE w:val="0"/>
        <w:widowControl/>
        <w:spacing w:line="266" w:lineRule="auto" w:before="250" w:after="0"/>
        <w:ind w:left="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Owner’s Advisor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subject matter expert who assists owners in navigating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complexities of real estate development, ensuring projects stay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on scope, schedule, and budget.</w:t>
      </w:r>
    </w:p>
    <w:p>
      <w:pPr>
        <w:autoSpaceDN w:val="0"/>
        <w:autoSpaceDE w:val="0"/>
        <w:widowControl/>
        <w:spacing w:line="278" w:lineRule="auto" w:before="25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P</w:t>
      </w:r>
    </w:p>
    <w:p>
      <w:pPr>
        <w:autoSpaceDN w:val="0"/>
        <w:autoSpaceDE w:val="0"/>
        <w:widowControl/>
        <w:spacing w:line="269" w:lineRule="auto" w:before="250" w:after="0"/>
        <w:ind w:left="0" w:right="201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Parcel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defined piece of land with a specific legal boundary.</w:t>
      </w:r>
    </w:p>
    <w:p>
      <w:pPr>
        <w:autoSpaceDN w:val="0"/>
        <w:autoSpaceDE w:val="0"/>
        <w:widowControl/>
        <w:spacing w:line="266" w:lineRule="auto" w:before="250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Parking Ratio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number of parking spaces provided relative to the build-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ing’s square footage or number of units.</w:t>
      </w:r>
    </w:p>
    <w:p>
      <w:pPr>
        <w:autoSpaceDN w:val="0"/>
        <w:autoSpaceDE w:val="0"/>
        <w:widowControl/>
        <w:spacing w:line="266" w:lineRule="auto" w:before="250" w:after="0"/>
        <w:ind w:left="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Passive House Design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rigorous building standard focused on high energy efficiency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minimal environmental impact.</w:t>
      </w:r>
    </w:p>
    <w:p>
      <w:pPr>
        <w:autoSpaceDN w:val="0"/>
        <w:autoSpaceDE w:val="0"/>
        <w:widowControl/>
        <w:spacing w:line="266" w:lineRule="auto" w:before="250" w:after="0"/>
        <w:ind w:left="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Placemaking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people-centered approach to urban planning that focuses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designing vibrant, engaging spaces.</w:t>
      </w:r>
    </w:p>
    <w:p>
      <w:pPr>
        <w:autoSpaceDN w:val="0"/>
        <w:autoSpaceDE w:val="0"/>
        <w:widowControl/>
        <w:spacing w:line="266" w:lineRule="auto" w:before="250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Predevelopment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early phase of a project that includes feasibility studies,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financing strategies, and regulatory approvals.</w:t>
      </w:r>
    </w:p>
    <w:p>
      <w:pPr>
        <w:autoSpaceDN w:val="0"/>
        <w:autoSpaceDE w:val="0"/>
        <w:widowControl/>
        <w:spacing w:line="266" w:lineRule="auto" w:before="250" w:after="0"/>
        <w:ind w:left="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Public-Private Partnership (PPP)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collaboration between government entities and private sector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companies to fund and develop infrastructure or services.</w:t>
      </w:r>
    </w:p>
    <w:p>
      <w:pPr>
        <w:autoSpaceDN w:val="0"/>
        <w:autoSpaceDE w:val="0"/>
        <w:widowControl/>
        <w:spacing w:line="278" w:lineRule="auto" w:before="25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Q</w:t>
      </w:r>
    </w:p>
    <w:p>
      <w:pPr>
        <w:sectPr>
          <w:type w:val="continuous"/>
          <w:pgSz w:w="17280" w:h="12960"/>
          <w:pgMar w:top="498" w:right="1198" w:bottom="340" w:left="1260" w:header="720" w:footer="720" w:gutter="0"/>
          <w:cols w:num="2" w:equalWidth="0">
            <w:col w:w="7408" w:space="0"/>
            <w:col w:w="741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1232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Qualitative Analysis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non-numerical evaluation of project feasibility based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factors like community impact and design aesthetics.</w:t>
      </w:r>
    </w:p>
    <w:p>
      <w:pPr>
        <w:autoSpaceDN w:val="0"/>
        <w:autoSpaceDE w:val="0"/>
        <w:widowControl/>
        <w:spacing w:line="266" w:lineRule="auto" w:before="250" w:after="0"/>
        <w:ind w:left="1232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Quantitative Analysis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numerical evaluation of project feasibility using financial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projections, market trends, and economic data.</w:t>
      </w:r>
    </w:p>
    <w:p>
      <w:pPr>
        <w:autoSpaceDN w:val="0"/>
        <w:autoSpaceDE w:val="0"/>
        <w:widowControl/>
        <w:spacing w:line="278" w:lineRule="auto" w:before="250" w:after="0"/>
        <w:ind w:left="123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</w:t>
      </w:r>
    </w:p>
    <w:p>
      <w:pPr>
        <w:autoSpaceDN w:val="0"/>
        <w:autoSpaceDE w:val="0"/>
        <w:widowControl/>
        <w:spacing w:line="266" w:lineRule="auto" w:before="250" w:after="0"/>
        <w:ind w:left="1232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Real Estate Investment Trust (REIT)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company that owns, operates, or finances real estate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generates income.</w:t>
      </w:r>
    </w:p>
    <w:p>
      <w:pPr>
        <w:autoSpaceDN w:val="0"/>
        <w:autoSpaceDE w:val="0"/>
        <w:widowControl/>
        <w:spacing w:line="266" w:lineRule="auto" w:before="250" w:after="0"/>
        <w:ind w:left="1232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Rehabilitation Tax Credit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federal incentive for developers to restore and preserve his-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toric buildings.</w:t>
      </w:r>
    </w:p>
    <w:p>
      <w:pPr>
        <w:autoSpaceDN w:val="0"/>
        <w:autoSpaceDE w:val="0"/>
        <w:widowControl/>
        <w:spacing w:line="266" w:lineRule="auto" w:before="250" w:after="0"/>
        <w:ind w:left="1232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Resilience Planning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process of designing communities and buildings to with-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stand environmental and economic disruptions.</w:t>
      </w:r>
    </w:p>
    <w:p>
      <w:pPr>
        <w:autoSpaceDN w:val="0"/>
        <w:autoSpaceDE w:val="0"/>
        <w:widowControl/>
        <w:spacing w:line="266" w:lineRule="auto" w:before="250" w:after="0"/>
        <w:ind w:left="123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Rezoning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process of changing the land-use designation of a property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 allow for different types of development.</w:t>
      </w:r>
    </w:p>
    <w:p>
      <w:pPr>
        <w:autoSpaceDN w:val="0"/>
        <w:autoSpaceDE w:val="0"/>
        <w:widowControl/>
        <w:spacing w:line="266" w:lineRule="auto" w:before="250" w:after="0"/>
        <w:ind w:left="123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Right of Way (ROW)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legal right to pass through a specific property, often granted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roads, utilities, or public access.</w:t>
      </w:r>
    </w:p>
    <w:p>
      <w:pPr>
        <w:autoSpaceDN w:val="0"/>
        <w:autoSpaceDE w:val="0"/>
        <w:widowControl/>
        <w:spacing w:line="278" w:lineRule="auto" w:before="250" w:after="0"/>
        <w:ind w:left="123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</w:t>
      </w:r>
    </w:p>
    <w:p>
      <w:pPr>
        <w:autoSpaceDN w:val="0"/>
        <w:autoSpaceDE w:val="0"/>
        <w:widowControl/>
        <w:spacing w:line="266" w:lineRule="auto" w:before="250" w:after="772"/>
        <w:ind w:left="1232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Setback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minimum required distance between a building and prop-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erty lines, roads, or other structures.</w:t>
      </w:r>
    </w:p>
    <w:p>
      <w:pPr>
        <w:sectPr>
          <w:type w:val="nextColumn"/>
          <w:pgSz w:w="17280" w:h="12960"/>
          <w:pgMar w:top="498" w:right="1198" w:bottom="340" w:left="1260" w:header="720" w:footer="720" w:gutter="0"/>
          <w:cols w:num="2" w:equalWidth="0">
            <w:col w:w="7408" w:space="0"/>
            <w:col w:w="7414" w:space="0"/>
          </w:cols>
          <w:docGrid w:linePitch="360"/>
        </w:sectPr>
      </w:pPr>
    </w:p>
    <w:p>
      <w:pPr>
        <w:autoSpaceDN w:val="0"/>
        <w:tabs>
          <w:tab w:pos="14486" w:val="left"/>
        </w:tabs>
        <w:autoSpaceDE w:val="0"/>
        <w:widowControl/>
        <w:spacing w:line="274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303</w:t>
      </w:r>
    </w:p>
    <w:p>
      <w:pPr>
        <w:sectPr>
          <w:type w:val="continuous"/>
          <w:pgSz w:w="17280" w:h="12960"/>
          <w:pgMar w:top="498" w:right="1198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8"/>
        <w:ind w:left="0" w:right="0"/>
      </w:pPr>
    </w:p>
    <w:p>
      <w:pPr>
        <w:sectPr>
          <w:pgSz w:w="17280" w:h="12960"/>
          <w:pgMar w:top="498" w:right="1214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Site Plan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detailed map illustrating the layout of a proposed develop-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ment, including buildings, roads, and utilities.</w:t>
      </w:r>
    </w:p>
    <w:p>
      <w:pPr>
        <w:autoSpaceDN w:val="0"/>
        <w:autoSpaceDE w:val="0"/>
        <w:widowControl/>
        <w:spacing w:line="266" w:lineRule="auto" w:before="250" w:after="0"/>
        <w:ind w:left="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Smart Growth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 approach to urban planning that focuses on sustainability,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compact development, and reduced environmental impact.</w:t>
      </w:r>
    </w:p>
    <w:p>
      <w:pPr>
        <w:autoSpaceDN w:val="0"/>
        <w:autoSpaceDE w:val="0"/>
        <w:widowControl/>
        <w:spacing w:line="266" w:lineRule="auto" w:before="250" w:after="0"/>
        <w:ind w:left="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Special Use Permit (SUP)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permit that allows land to be used for a purpose outside typi-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cal zoning regulations.</w:t>
      </w:r>
    </w:p>
    <w:p>
      <w:pPr>
        <w:autoSpaceDN w:val="0"/>
        <w:autoSpaceDE w:val="0"/>
        <w:widowControl/>
        <w:spacing w:line="266" w:lineRule="auto" w:before="250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Subsidized Housing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Government-funded housing assistance for low-income indi-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viduals and families.</w:t>
      </w:r>
    </w:p>
    <w:p>
      <w:pPr>
        <w:autoSpaceDN w:val="0"/>
        <w:autoSpaceDE w:val="0"/>
        <w:widowControl/>
        <w:spacing w:line="266" w:lineRule="auto" w:before="250" w:after="0"/>
        <w:ind w:left="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Sustainability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practice of designing and constructing buildings that mini-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mize environmental impact and promote long-term efficiency.</w:t>
      </w:r>
    </w:p>
    <w:p>
      <w:pPr>
        <w:autoSpaceDN w:val="0"/>
        <w:autoSpaceDE w:val="0"/>
        <w:widowControl/>
        <w:spacing w:line="278" w:lineRule="auto" w:before="25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T</w:t>
      </w:r>
    </w:p>
    <w:p>
      <w:pPr>
        <w:autoSpaceDN w:val="0"/>
        <w:autoSpaceDE w:val="0"/>
        <w:widowControl/>
        <w:spacing w:line="266" w:lineRule="auto" w:before="250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Tax Increment Financing (TIF)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public financing method used to subsidize redevelopment,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infrastructure, and community improvement projects.</w:t>
      </w:r>
    </w:p>
    <w:p>
      <w:pPr>
        <w:autoSpaceDN w:val="0"/>
        <w:autoSpaceDE w:val="0"/>
        <w:widowControl/>
        <w:spacing w:line="266" w:lineRule="auto" w:before="250" w:after="0"/>
        <w:ind w:left="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Tenant Improvement (TI)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Modifications made to a rental property to meet the needs of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tenant.</w:t>
      </w:r>
    </w:p>
    <w:p>
      <w:pPr>
        <w:autoSpaceDN w:val="0"/>
        <w:autoSpaceDE w:val="0"/>
        <w:widowControl/>
        <w:spacing w:line="266" w:lineRule="auto" w:before="250" w:after="0"/>
        <w:ind w:left="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Transit-Oriented Development (TOD)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planning strategy that encourages development around pub-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lic transit hubs to reduce reliance on cars.</w:t>
      </w:r>
    </w:p>
    <w:p>
      <w:pPr>
        <w:sectPr>
          <w:type w:val="continuous"/>
          <w:pgSz w:w="17280" w:h="12960"/>
          <w:pgMar w:top="498" w:right="1214" w:bottom="340" w:left="1260" w:header="720" w:footer="720" w:gutter="0"/>
          <w:cols w:num="2" w:equalWidth="0">
            <w:col w:w="7374" w:space="0"/>
            <w:col w:w="7431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126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</w:t>
      </w:r>
    </w:p>
    <w:p>
      <w:pPr>
        <w:autoSpaceDN w:val="0"/>
        <w:autoSpaceDE w:val="0"/>
        <w:widowControl/>
        <w:spacing w:line="266" w:lineRule="auto" w:before="250" w:after="0"/>
        <w:ind w:left="1266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Universal Design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design approach that ensures accessibility for people of all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abilities, including those with physical disabilities.</w:t>
      </w:r>
    </w:p>
    <w:p>
      <w:pPr>
        <w:autoSpaceDN w:val="0"/>
        <w:autoSpaceDE w:val="0"/>
        <w:widowControl/>
        <w:spacing w:line="266" w:lineRule="auto" w:before="250" w:after="0"/>
        <w:ind w:left="126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Urban Infill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process of developing vacant or underutilized land within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 existing urban area.</w:t>
      </w:r>
    </w:p>
    <w:p>
      <w:pPr>
        <w:autoSpaceDN w:val="0"/>
        <w:autoSpaceDE w:val="0"/>
        <w:widowControl/>
        <w:spacing w:line="266" w:lineRule="auto" w:before="250" w:after="0"/>
        <w:ind w:left="1266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Urban Renewal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Programs aimed at revitalizing and redeveloping older urban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neighborhoods.</w:t>
      </w:r>
    </w:p>
    <w:p>
      <w:pPr>
        <w:autoSpaceDN w:val="0"/>
        <w:autoSpaceDE w:val="0"/>
        <w:widowControl/>
        <w:spacing w:line="278" w:lineRule="auto" w:before="250" w:after="0"/>
        <w:ind w:left="126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V</w:t>
      </w:r>
    </w:p>
    <w:p>
      <w:pPr>
        <w:autoSpaceDN w:val="0"/>
        <w:autoSpaceDE w:val="0"/>
        <w:widowControl/>
        <w:spacing w:line="266" w:lineRule="auto" w:before="250" w:after="0"/>
        <w:ind w:left="1266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Vacancy Rate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percentage of unoccupied rental units in a given market,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used to assess demand and economic conditions.</w:t>
      </w:r>
    </w:p>
    <w:p>
      <w:pPr>
        <w:autoSpaceDN w:val="0"/>
        <w:autoSpaceDE w:val="0"/>
        <w:widowControl/>
        <w:spacing w:line="266" w:lineRule="auto" w:before="250" w:after="0"/>
        <w:ind w:left="1266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Value Engineering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systematic approach to improving the function and cost-ef-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fectiveness of a project.</w:t>
      </w:r>
    </w:p>
    <w:p>
      <w:pPr>
        <w:autoSpaceDN w:val="0"/>
        <w:autoSpaceDE w:val="0"/>
        <w:widowControl/>
        <w:spacing w:line="266" w:lineRule="auto" w:before="250" w:after="0"/>
        <w:ind w:left="1266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Variance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zoning exception granted to allow property use that differs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from existing regulations.</w:t>
      </w:r>
    </w:p>
    <w:p>
      <w:pPr>
        <w:autoSpaceDN w:val="0"/>
        <w:autoSpaceDE w:val="0"/>
        <w:widowControl/>
        <w:spacing w:line="278" w:lineRule="auto" w:before="250" w:after="0"/>
        <w:ind w:left="126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W</w:t>
      </w:r>
    </w:p>
    <w:p>
      <w:pPr>
        <w:autoSpaceDN w:val="0"/>
        <w:autoSpaceDE w:val="0"/>
        <w:widowControl/>
        <w:spacing w:line="266" w:lineRule="auto" w:before="250" w:after="1372"/>
        <w:ind w:left="1266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Walkability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measure of how pedestrian-friendly an area is, based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accessibility, safety, and urban design.</w:t>
      </w:r>
    </w:p>
    <w:p>
      <w:pPr>
        <w:sectPr>
          <w:type w:val="nextColumn"/>
          <w:pgSz w:w="17280" w:h="12960"/>
          <w:pgMar w:top="498" w:right="1214" w:bottom="340" w:left="1260" w:header="720" w:footer="720" w:gutter="0"/>
          <w:cols w:num="2" w:equalWidth="0">
            <w:col w:w="7374" w:space="0"/>
            <w:col w:w="7431" w:space="0"/>
          </w:cols>
          <w:docGrid w:linePitch="360"/>
        </w:sectPr>
      </w:pPr>
    </w:p>
    <w:p>
      <w:pPr>
        <w:autoSpaceDN w:val="0"/>
        <w:tabs>
          <w:tab w:pos="14486" w:val="left"/>
        </w:tabs>
        <w:autoSpaceDE w:val="0"/>
        <w:widowControl/>
        <w:spacing w:line="274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305</w:t>
      </w:r>
    </w:p>
    <w:p>
      <w:pPr>
        <w:sectPr>
          <w:type w:val="continuous"/>
          <w:pgSz w:w="17280" w:h="12960"/>
          <w:pgMar w:top="498" w:right="1214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6"/>
        <w:ind w:left="0" w:right="0"/>
      </w:pPr>
    </w:p>
    <w:p>
      <w:pPr>
        <w:sectPr>
          <w:pgSz w:w="17280" w:h="12960"/>
          <w:pgMar w:top="490" w:right="1214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Workforce Housing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Housing that is affordable for middle-income workers, often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located near employment centers.</w:t>
      </w:r>
    </w:p>
    <w:p>
      <w:pPr>
        <w:autoSpaceDN w:val="0"/>
        <w:autoSpaceDE w:val="0"/>
        <w:widowControl/>
        <w:spacing w:line="278" w:lineRule="auto" w:before="25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Z</w:t>
      </w:r>
    </w:p>
    <w:p>
      <w:pPr>
        <w:autoSpaceDN w:val="0"/>
        <w:autoSpaceDE w:val="0"/>
        <w:widowControl/>
        <w:spacing w:line="266" w:lineRule="auto" w:before="250" w:after="0"/>
        <w:ind w:left="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Zoning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division of land into categories that determine allowable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uses and development regulations.</w:t>
      </w:r>
    </w:p>
    <w:p>
      <w:pPr>
        <w:autoSpaceDN w:val="0"/>
        <w:autoSpaceDE w:val="0"/>
        <w:widowControl/>
        <w:spacing w:line="266" w:lineRule="auto" w:before="250" w:after="0"/>
        <w:ind w:left="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Zoning Overlay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special zoning district that modifies or supplements existing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zoning rules for specific areas.</w:t>
      </w:r>
    </w:p>
    <w:p>
      <w:pPr>
        <w:sectPr>
          <w:type w:val="continuous"/>
          <w:pgSz w:w="17280" w:h="12960"/>
          <w:pgMar w:top="490" w:right="1214" w:bottom="340" w:left="1260" w:header="720" w:footer="720" w:gutter="0"/>
          <w:cols w:num="2" w:equalWidth="0">
            <w:col w:w="7360" w:space="0"/>
            <w:col w:w="7445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128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Resources for Behavioral Health Real Estate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Development Support in California</w:t>
      </w:r>
    </w:p>
    <w:p>
      <w:pPr>
        <w:autoSpaceDN w:val="0"/>
        <w:autoSpaceDE w:val="0"/>
        <w:widowControl/>
        <w:spacing w:line="266" w:lineRule="auto" w:before="148" w:after="0"/>
        <w:ind w:left="1820" w:right="432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1. American Planning Association (APA) California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Chapter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apacalifornia.org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(916) 448-6859</w:t>
      </w:r>
    </w:p>
    <w:p>
      <w:pPr>
        <w:autoSpaceDN w:val="0"/>
        <w:autoSpaceDE w:val="0"/>
        <w:widowControl/>
        <w:spacing w:line="266" w:lineRule="auto" w:before="70" w:after="0"/>
        <w:ind w:left="1820" w:right="72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2. Association of Builders and Contractors (ABC)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abc.org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(703) 812-2000</w:t>
      </w:r>
    </w:p>
    <w:p>
      <w:pPr>
        <w:autoSpaceDN w:val="0"/>
        <w:autoSpaceDE w:val="0"/>
        <w:widowControl/>
        <w:spacing w:line="266" w:lineRule="auto" w:before="70" w:after="0"/>
        <w:ind w:left="1820" w:right="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3. Behavioral Health Subject Matter Experts (BHSME)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 bhsme.org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(415) 269-5357</w:t>
      </w:r>
    </w:p>
    <w:p>
      <w:pPr>
        <w:autoSpaceDN w:val="0"/>
        <w:autoSpaceDE w:val="0"/>
        <w:widowControl/>
        <w:spacing w:line="266" w:lineRule="auto" w:before="70" w:after="0"/>
        <w:ind w:left="1820" w:right="432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4. California Association of Local Agency Formation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Commissions (CALAFCO)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calafco.org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(916) 442-6536</w:t>
      </w:r>
    </w:p>
    <w:p>
      <w:pPr>
        <w:autoSpaceDN w:val="0"/>
        <w:autoSpaceDE w:val="0"/>
        <w:widowControl/>
        <w:spacing w:line="266" w:lineRule="auto" w:before="70" w:after="0"/>
        <w:ind w:left="1820" w:right="1296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 California Association of Local Economic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Development (CALED)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caled.org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(916) 448-8252</w:t>
      </w:r>
    </w:p>
    <w:p>
      <w:pPr>
        <w:autoSpaceDN w:val="0"/>
        <w:autoSpaceDE w:val="0"/>
        <w:widowControl/>
        <w:spacing w:line="266" w:lineRule="auto" w:before="70" w:after="0"/>
        <w:ind w:left="1820" w:right="1152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6. California Association of Nonprofits (CAN)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>calnonprofits.or</w:t>
      </w:r>
      <w:r>
        <w:rPr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g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(415) 777-1320</w:t>
      </w:r>
    </w:p>
    <w:p>
      <w:pPr>
        <w:autoSpaceDN w:val="0"/>
        <w:autoSpaceDE w:val="0"/>
        <w:widowControl/>
        <w:spacing w:line="266" w:lineRule="auto" w:before="70" w:after="0"/>
        <w:ind w:left="1820" w:right="1296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7. California Association of Realtors (CAR)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car.org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(213) 739-8200</w:t>
      </w:r>
    </w:p>
    <w:p>
      <w:pPr>
        <w:autoSpaceDN w:val="0"/>
        <w:autoSpaceDE w:val="0"/>
        <w:widowControl/>
        <w:spacing w:line="266" w:lineRule="auto" w:before="70" w:after="0"/>
        <w:ind w:left="1820" w:right="576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8. California Building Industry Association (CBIA)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cbia.org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(916) 444-4300</w:t>
      </w:r>
    </w:p>
    <w:p>
      <w:pPr>
        <w:autoSpaceDN w:val="0"/>
        <w:autoSpaceDE w:val="0"/>
        <w:widowControl/>
        <w:spacing w:line="266" w:lineRule="auto" w:before="70" w:after="438"/>
        <w:ind w:left="1820" w:right="432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9. California Center for Sustainable Energy (CCSE)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energycenter.org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(858) 244-1177</w:t>
      </w:r>
    </w:p>
    <w:p>
      <w:pPr>
        <w:sectPr>
          <w:type w:val="nextColumn"/>
          <w:pgSz w:w="17280" w:h="12960"/>
          <w:pgMar w:top="490" w:right="1214" w:bottom="340" w:left="1260" w:header="720" w:footer="720" w:gutter="0"/>
          <w:cols w:num="2" w:equalWidth="0">
            <w:col w:w="7360" w:space="0"/>
            <w:col w:w="7445" w:space="0"/>
          </w:cols>
          <w:docGrid w:linePitch="360"/>
        </w:sectPr>
      </w:pPr>
    </w:p>
    <w:p>
      <w:pPr>
        <w:autoSpaceDN w:val="0"/>
        <w:tabs>
          <w:tab w:pos="14486" w:val="left"/>
        </w:tabs>
        <w:autoSpaceDE w:val="0"/>
        <w:widowControl/>
        <w:spacing w:line="274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307</w:t>
      </w:r>
    </w:p>
    <w:p>
      <w:pPr>
        <w:sectPr>
          <w:type w:val="continuous"/>
          <w:pgSz w:w="17280" w:h="12960"/>
          <w:pgMar w:top="490" w:right="1214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8"/>
        <w:ind w:left="0" w:right="0"/>
      </w:pPr>
    </w:p>
    <w:p>
      <w:pPr>
        <w:sectPr>
          <w:pgSz w:w="17280" w:h="12960"/>
          <w:pgMar w:top="498" w:right="1214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540" w:right="1872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10. California Coalition for Rural Housing (CCRH)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ccrh.org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(916) 447-2117</w:t>
      </w:r>
    </w:p>
    <w:p>
      <w:pPr>
        <w:autoSpaceDN w:val="0"/>
        <w:autoSpaceDE w:val="0"/>
        <w:widowControl/>
        <w:spacing w:line="266" w:lineRule="auto" w:before="70" w:after="0"/>
        <w:ind w:left="540" w:right="1296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11. California Council for Environmental and Economic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Balance (CCEEB)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cceeb.org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(916) 444-2134</w:t>
      </w:r>
    </w:p>
    <w:p>
      <w:pPr>
        <w:autoSpaceDN w:val="0"/>
        <w:autoSpaceDE w:val="0"/>
        <w:widowControl/>
        <w:spacing w:line="266" w:lineRule="auto" w:before="70" w:after="0"/>
        <w:ind w:left="540" w:right="144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12. California Department of Community Services and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Development (CSD)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csd.ca.gov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(916) 576-7100</w:t>
      </w:r>
    </w:p>
    <w:p>
      <w:pPr>
        <w:autoSpaceDN w:val="0"/>
        <w:autoSpaceDE w:val="0"/>
        <w:widowControl/>
        <w:spacing w:line="266" w:lineRule="auto" w:before="70" w:after="0"/>
        <w:ind w:left="540" w:right="144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13. California Department of Housing and Community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Development (HCD)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hcd.ca.gov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(916) 445-4740</w:t>
      </w:r>
    </w:p>
    <w:p>
      <w:pPr>
        <w:autoSpaceDN w:val="0"/>
        <w:autoSpaceDE w:val="0"/>
        <w:widowControl/>
        <w:spacing w:line="266" w:lineRule="auto" w:before="70" w:after="0"/>
        <w:ind w:left="540" w:right="1872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14. California Department of Public Health (CDPH)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cdph.ca.gov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(916) 558-1784</w:t>
      </w:r>
    </w:p>
    <w:p>
      <w:pPr>
        <w:autoSpaceDN w:val="0"/>
        <w:autoSpaceDE w:val="0"/>
        <w:widowControl/>
        <w:spacing w:line="266" w:lineRule="auto" w:before="70" w:after="0"/>
        <w:ind w:left="540" w:right="216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15. California Department of Real Estate (DRE)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dre.ca.gov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(877) 373-4542</w:t>
      </w:r>
    </w:p>
    <w:p>
      <w:pPr>
        <w:autoSpaceDN w:val="0"/>
        <w:autoSpaceDE w:val="0"/>
        <w:widowControl/>
        <w:spacing w:line="266" w:lineRule="auto" w:before="70" w:after="0"/>
        <w:ind w:left="540" w:right="144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16. California Department of Transportation (Caltrans)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dot.ca.gov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(916) 654-2852</w:t>
      </w:r>
    </w:p>
    <w:p>
      <w:pPr>
        <w:autoSpaceDN w:val="0"/>
        <w:autoSpaceDE w:val="0"/>
        <w:widowControl/>
        <w:spacing w:line="266" w:lineRule="auto" w:before="70" w:after="0"/>
        <w:ind w:left="540" w:right="216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17. California Environmental Protection Agency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(CalEPA)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calepa.ca.gov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(916) 324-7870</w:t>
      </w:r>
    </w:p>
    <w:p>
      <w:pPr>
        <w:autoSpaceDN w:val="0"/>
        <w:autoSpaceDE w:val="0"/>
        <w:widowControl/>
        <w:spacing w:line="266" w:lineRule="auto" w:before="70" w:after="0"/>
        <w:ind w:left="540" w:right="216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18. California Governor’s Office of Business and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Economic Development (GO-Biz)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business.ca.gov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(916) 322-0694</w:t>
      </w:r>
    </w:p>
    <w:p>
      <w:pPr>
        <w:sectPr>
          <w:type w:val="continuous"/>
          <w:pgSz w:w="17280" w:h="12960"/>
          <w:pgMar w:top="498" w:right="1214" w:bottom="340" w:left="1260" w:header="720" w:footer="720" w:gutter="0"/>
          <w:cols w:num="2" w:equalWidth="0">
            <w:col w:w="7498" w:space="0"/>
            <w:col w:w="730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1682" w:right="86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19. California Homebuilding Foundation (CHF)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chfoundation.org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(916) 448-8000</w:t>
      </w:r>
    </w:p>
    <w:p>
      <w:pPr>
        <w:autoSpaceDN w:val="0"/>
        <w:autoSpaceDE w:val="0"/>
        <w:widowControl/>
        <w:spacing w:line="266" w:lineRule="auto" w:before="70" w:after="0"/>
        <w:ind w:left="1682" w:right="72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20. California Housing Finance Agency (CalHFA)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calhfa.ca.gov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(916) 322-3991</w:t>
      </w:r>
    </w:p>
    <w:p>
      <w:pPr>
        <w:autoSpaceDN w:val="0"/>
        <w:autoSpaceDE w:val="0"/>
        <w:widowControl/>
        <w:spacing w:line="266" w:lineRule="auto" w:before="70" w:after="0"/>
        <w:ind w:left="1682" w:right="216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21. California Housing Law Project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housinglaw.org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(415) 703-8644</w:t>
      </w:r>
    </w:p>
    <w:p>
      <w:pPr>
        <w:autoSpaceDN w:val="0"/>
        <w:autoSpaceDE w:val="0"/>
        <w:widowControl/>
        <w:spacing w:line="266" w:lineRule="auto" w:before="70" w:after="0"/>
        <w:ind w:left="1682" w:right="86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22. California Housing Partnership Corporation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chpc.net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(415) 433-6804</w:t>
      </w:r>
    </w:p>
    <w:p>
      <w:pPr>
        <w:autoSpaceDN w:val="0"/>
        <w:autoSpaceDE w:val="0"/>
        <w:widowControl/>
        <w:spacing w:line="266" w:lineRule="auto" w:before="70" w:after="0"/>
        <w:ind w:left="1682" w:right="1152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23. California Land Title Association (CLTA)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clta.org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(916) 444-2000</w:t>
      </w:r>
    </w:p>
    <w:p>
      <w:pPr>
        <w:autoSpaceDN w:val="0"/>
        <w:autoSpaceDE w:val="0"/>
        <w:widowControl/>
        <w:spacing w:line="266" w:lineRule="auto" w:before="70" w:after="0"/>
        <w:ind w:left="1682" w:right="2736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24. California League of Cities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cacities.org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(916) 658-8200</w:t>
      </w:r>
    </w:p>
    <w:p>
      <w:pPr>
        <w:autoSpaceDN w:val="0"/>
        <w:autoSpaceDE w:val="0"/>
        <w:widowControl/>
        <w:spacing w:line="266" w:lineRule="auto" w:before="70" w:after="0"/>
        <w:ind w:left="1682" w:right="158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25. California Natural Resources Agency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resources.ca.gov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(916) 653-5656</w:t>
      </w:r>
    </w:p>
    <w:p>
      <w:pPr>
        <w:autoSpaceDN w:val="0"/>
        <w:autoSpaceDE w:val="0"/>
        <w:widowControl/>
        <w:spacing w:line="266" w:lineRule="auto" w:before="70" w:after="0"/>
        <w:ind w:left="1682" w:right="14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26. California Office of Statewide Health Planning and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Development (OSHPD)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oshpd.ca.gov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(916) 326-3800</w:t>
      </w:r>
    </w:p>
    <w:p>
      <w:pPr>
        <w:autoSpaceDN w:val="0"/>
        <w:autoSpaceDE w:val="0"/>
        <w:widowControl/>
        <w:spacing w:line="266" w:lineRule="auto" w:before="70" w:after="0"/>
        <w:ind w:left="1682" w:right="86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27. California Redevelopment Association (CRA)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calredevelop.org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(916) 448-8760</w:t>
      </w:r>
    </w:p>
    <w:p>
      <w:pPr>
        <w:autoSpaceDN w:val="0"/>
        <w:autoSpaceDE w:val="0"/>
        <w:widowControl/>
        <w:spacing w:line="266" w:lineRule="auto" w:before="70" w:after="888"/>
        <w:ind w:left="1682" w:right="432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28. California Regional Water Quality Control Board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waterboards.ca.gov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(916) 341-5254</w:t>
      </w:r>
    </w:p>
    <w:p>
      <w:pPr>
        <w:sectPr>
          <w:type w:val="nextColumn"/>
          <w:pgSz w:w="17280" w:h="12960"/>
          <w:pgMar w:top="498" w:right="1214" w:bottom="340" w:left="1260" w:header="720" w:footer="720" w:gutter="0"/>
          <w:cols w:num="2" w:equalWidth="0">
            <w:col w:w="7498" w:space="0"/>
            <w:col w:w="7308" w:space="0"/>
          </w:cols>
          <w:docGrid w:linePitch="360"/>
        </w:sectPr>
      </w:pPr>
    </w:p>
    <w:p>
      <w:pPr>
        <w:autoSpaceDN w:val="0"/>
        <w:tabs>
          <w:tab w:pos="14486" w:val="left"/>
        </w:tabs>
        <w:autoSpaceDE w:val="0"/>
        <w:widowControl/>
        <w:spacing w:line="274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309</w:t>
      </w:r>
    </w:p>
    <w:p>
      <w:pPr>
        <w:sectPr>
          <w:type w:val="continuous"/>
          <w:pgSz w:w="17280" w:h="12960"/>
          <w:pgMar w:top="498" w:right="1214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8"/>
        <w:ind w:left="0" w:right="0"/>
      </w:pPr>
    </w:p>
    <w:p>
      <w:pPr>
        <w:sectPr>
          <w:pgSz w:w="17280" w:h="12960"/>
          <w:pgMar w:top="498" w:right="119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540" w:right="1728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29. California Society of Municipal Finance Officers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(CSMFO)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csmfo.org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(916) 231-2146</w:t>
      </w:r>
    </w:p>
    <w:p>
      <w:pPr>
        <w:autoSpaceDN w:val="0"/>
        <w:autoSpaceDE w:val="0"/>
        <w:widowControl/>
        <w:spacing w:line="266" w:lineRule="auto" w:before="70" w:after="0"/>
        <w:ind w:left="540" w:right="1728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30. California State Association of Counties (CSAC)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csac.counties.org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(916) 327-7500</w:t>
      </w:r>
    </w:p>
    <w:p>
      <w:pPr>
        <w:autoSpaceDN w:val="0"/>
        <w:autoSpaceDE w:val="0"/>
        <w:widowControl/>
        <w:spacing w:line="266" w:lineRule="auto" w:before="70" w:after="0"/>
        <w:ind w:left="540" w:right="2736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31. California State License Board (CSLB)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cslb.ca.gov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(800) 321-2752</w:t>
      </w:r>
    </w:p>
    <w:p>
      <w:pPr>
        <w:autoSpaceDN w:val="0"/>
        <w:autoSpaceDE w:val="0"/>
        <w:widowControl/>
        <w:spacing w:line="266" w:lineRule="auto" w:before="70" w:after="0"/>
        <w:ind w:left="540" w:right="1728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32. California Statewide Communities Development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Authority (CSCDA)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cscda.org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(916) 651-9790</w:t>
      </w:r>
    </w:p>
    <w:p>
      <w:pPr>
        <w:autoSpaceDN w:val="0"/>
        <w:autoSpaceDE w:val="0"/>
        <w:widowControl/>
        <w:spacing w:line="266" w:lineRule="auto" w:before="70" w:after="0"/>
        <w:ind w:left="540" w:right="2448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33. Design-Build Institute of America (DBIA)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dbia.org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(202) 682-0110</w:t>
      </w:r>
    </w:p>
    <w:p>
      <w:pPr>
        <w:autoSpaceDN w:val="0"/>
        <w:autoSpaceDE w:val="0"/>
        <w:widowControl/>
        <w:spacing w:line="266" w:lineRule="auto" w:before="70" w:after="0"/>
        <w:ind w:left="540" w:right="2016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34. Economic Development Administration (EDA)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eda.gov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(202) 482-4681</w:t>
      </w:r>
    </w:p>
    <w:p>
      <w:pPr>
        <w:autoSpaceDN w:val="0"/>
        <w:autoSpaceDE w:val="0"/>
        <w:widowControl/>
        <w:spacing w:line="266" w:lineRule="auto" w:before="70" w:after="0"/>
        <w:ind w:left="540" w:right="4608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35. Housing California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Website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housingca.org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(916) 287-2947</w:t>
      </w:r>
    </w:p>
    <w:p>
      <w:pPr>
        <w:autoSpaceDN w:val="0"/>
        <w:autoSpaceDE w:val="0"/>
        <w:widowControl/>
        <w:spacing w:line="264" w:lineRule="auto" w:before="70" w:after="0"/>
        <w:ind w:left="540" w:right="144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36. Housing California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Website: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>housingca.org</w:t>
      </w:r>
      <w:r>
        <w:rPr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Phone: (916) 447-0503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statewide advocacy organization dedicated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preventing and ending homelessness, and increasing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supply of safe and affordable homes for Californians. </w:t>
      </w:r>
    </w:p>
    <w:p>
      <w:pPr>
        <w:sectPr>
          <w:type w:val="continuous"/>
          <w:pgSz w:w="17280" w:h="12960"/>
          <w:pgMar w:top="498" w:right="1190" w:bottom="340" w:left="1260" w:header="720" w:footer="720" w:gutter="0"/>
          <w:cols w:num="2" w:equalWidth="0">
            <w:col w:w="7444" w:space="0"/>
            <w:col w:w="738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1736" w:right="2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Oversees the implementation of the Mental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Services Act (MHSA), ensuring that funds are used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effectively for mental health services and infrastructure.</w:t>
      </w:r>
    </w:p>
    <w:p>
      <w:pPr>
        <w:autoSpaceDN w:val="0"/>
        <w:autoSpaceDE w:val="0"/>
        <w:widowControl/>
        <w:spacing w:line="264" w:lineRule="auto" w:before="70" w:after="0"/>
        <w:ind w:left="1736" w:right="432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38. National Alliance on Mental Illness (NAMI)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California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Website: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>namica.org</w:t>
      </w:r>
      <w:r>
        <w:rPr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Phone: (916) 567-0163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Provides advocacy, education, support, and public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awareness for individuals affected by mental illness,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including resources related to housing and facilities.</w:t>
      </w:r>
    </w:p>
    <w:p>
      <w:pPr>
        <w:autoSpaceDN w:val="0"/>
        <w:autoSpaceDE w:val="0"/>
        <w:widowControl/>
        <w:spacing w:line="264" w:lineRule="auto" w:before="70" w:after="0"/>
        <w:ind w:left="1736" w:right="288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39. National Housing Law Project (NHLP)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Website: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>nhlp.org</w:t>
      </w:r>
      <w:r>
        <w:rPr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Phone: (415) 546-7000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Advocates for housing justice for low-income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underserved populations, offering legal expertise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resources on housing policies and development.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>NHLP</w:t>
      </w:r>
    </w:p>
    <w:p>
      <w:pPr>
        <w:autoSpaceDN w:val="0"/>
        <w:autoSpaceDE w:val="0"/>
        <w:widowControl/>
        <w:spacing w:line="264" w:lineRule="auto" w:before="70" w:after="0"/>
        <w:ind w:left="1736" w:right="14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40. San Diego Housing Federation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Website: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>housingsandiego.org</w:t>
      </w:r>
      <w:r>
        <w:rPr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Phone: (619) 239-6693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Supports the creation and preservation of affordable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housing in the San Diego region, offering resources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advocacy for developers and service providers.</w:t>
      </w:r>
    </w:p>
    <w:p>
      <w:pPr>
        <w:autoSpaceDN w:val="0"/>
        <w:autoSpaceDE w:val="0"/>
        <w:widowControl/>
        <w:spacing w:line="264" w:lineRule="auto" w:before="70" w:after="336"/>
        <w:ind w:left="1736" w:right="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41. U.S. Department of Housing and Urban Development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(HUD) California Offices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Website: hud.gov/states/california/offices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Phone: Varies by regional office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Provides funding, programs, and resources for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housing development, including supportive housing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individuals with behavioral health needs.</w:t>
      </w:r>
    </w:p>
    <w:p>
      <w:pPr>
        <w:sectPr>
          <w:type w:val="nextColumn"/>
          <w:pgSz w:w="17280" w:h="12960"/>
          <w:pgMar w:top="498" w:right="1190" w:bottom="340" w:left="1260" w:header="720" w:footer="720" w:gutter="0"/>
          <w:cols w:num="2" w:equalWidth="0">
            <w:col w:w="7444" w:space="0"/>
            <w:col w:w="738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540" w:right="864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37. Mental Health Services Oversight and Accountability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Commission (MHSOAC)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Website: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>mhsOAC.ca.gov</w:t>
      </w:r>
      <w:r>
        <w:rPr>
          <w:rFonts w:ascii="TimesNewRomanPSMT" w:hAnsi="TimesNewRomanPSMT" w:eastAsia="TimesNewRomanPSMT"/>
          <w:b w:val="0"/>
          <w:i w:val="0"/>
          <w:color w:val="1155CC"/>
          <w:sz w:val="24"/>
        </w:rPr>
        <w:t xml:space="preserve">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Phone: (916) 445-8696 </w:t>
      </w:r>
    </w:p>
    <w:p>
      <w:pPr>
        <w:autoSpaceDN w:val="0"/>
        <w:tabs>
          <w:tab w:pos="14494" w:val="left"/>
        </w:tabs>
        <w:autoSpaceDE w:val="0"/>
        <w:widowControl/>
        <w:spacing w:line="274" w:lineRule="auto" w:before="38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311</w:t>
      </w:r>
    </w:p>
    <w:p>
      <w:pPr>
        <w:sectPr>
          <w:type w:val="continuous"/>
          <w:pgSz w:w="17280" w:h="12960"/>
          <w:pgMar w:top="498" w:right="119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358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312</w:t>
      </w:r>
    </w:p>
    <w:sectPr w:rsidR="00FC693F" w:rsidRPr="0006063C" w:rsidSect="00034616">
      <w:pgSz w:w="8640" w:h="12960"/>
      <w:pgMar w:top="1440" w:right="1440" w:bottom="340" w:left="12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