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498" w:right="1194" w:bottom="340" w:left="12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Addressing Concerns Proactively: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Listen to resident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fears about safety, traffic, or funding, and develop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solutions collaboratively.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Demonstrating Commitment: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Show that community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feedback influences design and service offerings.</w:t>
      </w:r>
    </w:p>
    <w:p>
      <w:pPr>
        <w:autoSpaceDN w:val="0"/>
        <w:autoSpaceDE w:val="0"/>
        <w:widowControl/>
        <w:spacing w:line="264" w:lineRule="auto" w:before="426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3.2 Empowering the Community Through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Leadership Roles</w:t>
      </w:r>
    </w:p>
    <w:p>
      <w:pPr>
        <w:autoSpaceDN w:val="0"/>
        <w:autoSpaceDE w:val="0"/>
        <w:widowControl/>
        <w:spacing w:line="269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Giving residents an active role in the project cultivates long-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term investment.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25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Advisory Boards: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Residents, patients,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advocates serve as ongoing advisors.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Volunteer and Training Programs: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Equip local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residents with skills to support facility operations.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Public Recognition of Contributions: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Celebrate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community input and milestones with events or media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coverage.</w:t>
      </w:r>
    </w:p>
    <w:p>
      <w:pPr>
        <w:autoSpaceDN w:val="0"/>
        <w:autoSpaceDE w:val="0"/>
        <w:widowControl/>
        <w:spacing w:line="264" w:lineRule="auto" w:before="426" w:after="0"/>
        <w:ind w:left="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Measuring the Impact of Community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Engagement</w:t>
      </w:r>
    </w:p>
    <w:p>
      <w:pPr>
        <w:autoSpaceDN w:val="0"/>
        <w:autoSpaceDE w:val="0"/>
        <w:widowControl/>
        <w:spacing w:line="278" w:lineRule="auto" w:before="5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4.1 Establishing Success Metrics</w:t>
      </w:r>
    </w:p>
    <w:p>
      <w:pPr>
        <w:autoSpaceDN w:val="0"/>
        <w:autoSpaceDE w:val="0"/>
        <w:widowControl/>
        <w:spacing w:line="269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assess the effectiveness of stakeholder engagement,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 should track key indicators:</w:t>
      </w:r>
    </w:p>
    <w:p>
      <w:pPr>
        <w:autoSpaceDN w:val="0"/>
        <w:autoSpaceDE w:val="0"/>
        <w:widowControl/>
        <w:spacing w:line="266" w:lineRule="auto" w:before="70" w:after="0"/>
        <w:ind w:left="540" w:right="201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Level of Community Participation: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attendees at workshops, survey responses,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stakeholder meetings.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Influence on Facility Design and Services: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Document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changes made based on public feedback.</w:t>
      </w:r>
    </w:p>
    <w:p>
      <w:pPr>
        <w:sectPr>
          <w:type w:val="continuous"/>
          <w:pgSz w:w="17280" w:h="12960"/>
          <w:pgMar w:top="498" w:right="1194" w:bottom="340" w:left="1260" w:header="720" w:footer="720" w:gutter="0"/>
          <w:cols w:num="2" w:equalWidth="0">
            <w:col w:w="7344" w:space="0"/>
            <w:col w:w="7481" w:space="0"/>
          </w:cols>
          <w:docGrid w:linePitch="360"/>
        </w:sectPr>
      </w:pPr>
    </w:p>
    <w:p>
      <w:pPr>
        <w:autoSpaceDN w:val="0"/>
        <w:tabs>
          <w:tab w:pos="1836" w:val="left"/>
        </w:tabs>
        <w:autoSpaceDE w:val="0"/>
        <w:widowControl/>
        <w:spacing w:line="269" w:lineRule="auto" w:before="0" w:after="0"/>
        <w:ind w:left="16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Satisfaction: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Gather feedback post-opening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gauge acceptance and impact.</w:t>
      </w:r>
    </w:p>
    <w:p>
      <w:pPr>
        <w:autoSpaceDN w:val="0"/>
        <w:autoSpaceDE w:val="0"/>
        <w:widowControl/>
        <w:spacing w:line="278" w:lineRule="auto" w:before="426" w:after="0"/>
        <w:ind w:left="129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4.2 Continuous Improvement</w:t>
      </w:r>
    </w:p>
    <w:p>
      <w:pPr>
        <w:autoSpaceDN w:val="0"/>
        <w:autoSpaceDE w:val="0"/>
        <w:widowControl/>
        <w:spacing w:line="266" w:lineRule="auto" w:before="152" w:after="0"/>
        <w:ind w:left="129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 engagement should not end when the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opens. Continuous dialogue helps facilities adapt to evolving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needs.</w:t>
      </w:r>
    </w:p>
    <w:p>
      <w:pPr>
        <w:autoSpaceDN w:val="0"/>
        <w:autoSpaceDE w:val="0"/>
        <w:widowControl/>
        <w:spacing w:line="278" w:lineRule="auto" w:before="250" w:after="0"/>
        <w:ind w:left="16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Long-term engagement strategies include:</w:t>
      </w:r>
    </w:p>
    <w:p>
      <w:pPr>
        <w:autoSpaceDN w:val="0"/>
        <w:tabs>
          <w:tab w:pos="1836" w:val="left"/>
        </w:tabs>
        <w:autoSpaceDE w:val="0"/>
        <w:widowControl/>
        <w:spacing w:line="269" w:lineRule="auto" w:before="70" w:after="0"/>
        <w:ind w:left="16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Annual Community Check-ins: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Gather input on facility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performance and needed adjustments.</w:t>
      </w:r>
    </w:p>
    <w:p>
      <w:pPr>
        <w:autoSpaceDN w:val="0"/>
        <w:tabs>
          <w:tab w:pos="1836" w:val="left"/>
        </w:tabs>
        <w:autoSpaceDE w:val="0"/>
        <w:widowControl/>
        <w:spacing w:line="269" w:lineRule="auto" w:before="70" w:after="0"/>
        <w:ind w:left="1656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Ongoing Advisory Committees: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Maintain resident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representation in operational decisions.</w:t>
      </w:r>
    </w:p>
    <w:p>
      <w:pPr>
        <w:autoSpaceDN w:val="0"/>
        <w:tabs>
          <w:tab w:pos="1836" w:val="left"/>
        </w:tabs>
        <w:autoSpaceDE w:val="0"/>
        <w:widowControl/>
        <w:spacing w:line="269" w:lineRule="auto" w:before="70" w:after="0"/>
        <w:ind w:left="16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Sharing Success Stories: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Highlight the facility’s positive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impact through testimonials and reports.</w:t>
      </w:r>
    </w:p>
    <w:p>
      <w:pPr>
        <w:autoSpaceDN w:val="0"/>
        <w:autoSpaceDE w:val="0"/>
        <w:widowControl/>
        <w:spacing w:line="264" w:lineRule="auto" w:before="426" w:after="0"/>
        <w:ind w:left="1296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Building Collaboration with Stakeholders,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Community Forums, and Advisory Boards</w:t>
      </w:r>
    </w:p>
    <w:p>
      <w:pPr>
        <w:autoSpaceDN w:val="0"/>
        <w:autoSpaceDE w:val="0"/>
        <w:widowControl/>
        <w:spacing w:line="266" w:lineRule="auto" w:before="152" w:after="0"/>
        <w:ind w:left="12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Creating a successful behavioral health facility requires a broad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coalition of support. Stakeholders should be engaged early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often, fostering a sense of ownership in the project.</w:t>
      </w:r>
    </w:p>
    <w:p>
      <w:pPr>
        <w:autoSpaceDN w:val="0"/>
        <w:autoSpaceDE w:val="0"/>
        <w:widowControl/>
        <w:spacing w:line="266" w:lineRule="auto" w:before="250" w:after="0"/>
        <w:ind w:left="129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 Early Identification of Key Stakeholders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Stakeholders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everyone from future clients to local officials,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owners, peer advocates, and first responders. Identify and pri-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oritize those with influence, insight, and local credibility.</w:t>
      </w:r>
    </w:p>
    <w:p>
      <w:pPr>
        <w:autoSpaceDN w:val="0"/>
        <w:autoSpaceDE w:val="0"/>
        <w:widowControl/>
        <w:spacing w:line="276" w:lineRule="auto" w:before="254" w:after="0"/>
        <w:ind w:left="12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stakeholder groups include:</w:t>
      </w:r>
    </w:p>
    <w:p>
      <w:pPr>
        <w:autoSpaceDN w:val="0"/>
        <w:autoSpaceDE w:val="0"/>
        <w:widowControl/>
        <w:spacing w:line="269" w:lineRule="auto" w:before="70" w:after="892"/>
        <w:ind w:left="1836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Members: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Future patients, caregivers,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local advocates must have a voice in shaping the facility.</w:t>
      </w:r>
    </w:p>
    <w:p>
      <w:pPr>
        <w:sectPr>
          <w:type w:val="nextColumn"/>
          <w:pgSz w:w="17280" w:h="12960"/>
          <w:pgMar w:top="498" w:right="1194" w:bottom="340" w:left="1260" w:header="720" w:footer="720" w:gutter="0"/>
          <w:cols w:num="2" w:equalWidth="0">
            <w:col w:w="7344" w:space="0"/>
            <w:col w:w="748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6"/>
        <w:gridCol w:w="3706"/>
        <w:gridCol w:w="3706"/>
        <w:gridCol w:w="3706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7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Stakeholder Support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9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Local Organizations: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Nonprofits, religious groups,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advocacy organizations provide critical insights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outreach networks.</w:t>
      </w:r>
    </w:p>
    <w:p>
      <w:pPr>
        <w:autoSpaceDN w:val="0"/>
        <w:autoSpaceDE w:val="0"/>
        <w:widowControl/>
        <w:spacing w:line="266" w:lineRule="auto" w:before="70" w:after="0"/>
        <w:ind w:left="540" w:right="1846" w:hanging="18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Government Agencies: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Public health departments,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zoning boards, and funding agencies can accelerate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approval and implementation.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Healthcare Providers: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Hospitals, clinics, and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professionals help ensure seamless service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integration.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Law Enforcement and First Responders: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Their input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vital for crisis response and safety planning.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Engagement Techniques That Build Trust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Community workshops and design charrettes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Advisory boards with lived experience representation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Transparent Q&amp;A forums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Online surveys, bilingual resources, and social media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outreach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Formalizing Partnerships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Memorandums of Understanding (MOUs) to define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Create community benefit agreements where appropriate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Align engagement milestones with development phases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The Strategic Value of Stakeholder Engagement</w:t>
      </w:r>
    </w:p>
    <w:p>
      <w:pPr>
        <w:autoSpaceDN w:val="0"/>
        <w:autoSpaceDE w:val="0"/>
        <w:widowControl/>
        <w:spacing w:line="266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Engaging stakeholders is not just about checking boxes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minimizing resistance. It’s about building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collective sense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ownership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one that lays the groundwork for long-term oper-</w:t>
      </w:r>
    </w:p>
    <w:p>
      <w:pPr>
        <w:sectPr>
          <w:type w:val="continuous"/>
          <w:pgSz w:w="17280" w:h="12960"/>
          <w:pgMar w:top="500" w:right="1180" w:bottom="340" w:left="1260" w:header="720" w:footer="720" w:gutter="0"/>
          <w:cols w:num="2" w:equalWidth="0">
            <w:col w:w="7386" w:space="0"/>
            <w:col w:w="745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5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ational success, political resilience, and community integra-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tion. When stakeholders are part of the process, the result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 that reflects the true needs, values, and character of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community.</w:t>
      </w:r>
    </w:p>
    <w:p>
      <w:pPr>
        <w:autoSpaceDN w:val="0"/>
        <w:autoSpaceDE w:val="0"/>
        <w:widowControl/>
        <w:spacing w:line="278" w:lineRule="auto" w:before="250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Key Benefits of Comprehensive Stakeholder Engagement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164" w:after="0"/>
        <w:ind w:left="161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Reduces NIMBYism through education, transparency,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trust-building.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4" w:after="0"/>
        <w:ind w:left="161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Accelerates entitlements and permitting by gaining city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county support early.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4" w:after="0"/>
        <w:ind w:left="161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Improves facility design and functionality through local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clinical insight.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4" w:after="0"/>
        <w:ind w:left="161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Secures long-term funding and partnerships via political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civic alignment.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4" w:after="0"/>
        <w:ind w:left="161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Enhances safety and social acceptance, reducing stigma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increasing utilization.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4" w:after="0"/>
        <w:ind w:left="16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Builds advocacy networks that support the project beyond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ribbon-cutting day.</w:t>
      </w:r>
    </w:p>
    <w:p>
      <w:pPr>
        <w:autoSpaceDN w:val="0"/>
        <w:autoSpaceDE w:val="0"/>
        <w:widowControl/>
        <w:spacing w:line="264" w:lineRule="auto" w:before="426" w:after="0"/>
        <w:ind w:left="125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Examples of Successful Community Partnerships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in California</w:t>
      </w:r>
    </w:p>
    <w:p>
      <w:pPr>
        <w:autoSpaceDN w:val="0"/>
        <w:autoSpaceDE w:val="0"/>
        <w:widowControl/>
        <w:spacing w:line="278" w:lineRule="auto" w:before="414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San Diego Behavioral Health Hub</w:t>
      </w:r>
    </w:p>
    <w:p>
      <w:pPr>
        <w:autoSpaceDN w:val="0"/>
        <w:autoSpaceDE w:val="0"/>
        <w:widowControl/>
        <w:spacing w:line="266" w:lineRule="auto" w:before="152" w:after="0"/>
        <w:ind w:left="125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Resident-led planning sessions influenced the therapeutic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layout, inclusion of outdoor spaces, and culturally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programs.</w:t>
      </w:r>
    </w:p>
    <w:p>
      <w:pPr>
        <w:autoSpaceDN w:val="0"/>
        <w:autoSpaceDE w:val="0"/>
        <w:widowControl/>
        <w:spacing w:line="264" w:lineRule="auto" w:before="254" w:after="468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references the San Diego County Behavioral Health Ser-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vices Community-Based Continuum of Care, including proj-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ects like the new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Behavioral Health Hub in Hillcrest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(as part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UC San Diego redevelopment) and community-informed </w:t>
      </w:r>
    </w:p>
    <w:p>
      <w:pPr>
        <w:sectPr>
          <w:type w:val="nextColumn"/>
          <w:pgSz w:w="17280" w:h="12960"/>
          <w:pgMar w:top="500" w:right="1180" w:bottom="340" w:left="1260" w:header="720" w:footer="720" w:gutter="0"/>
          <w:cols w:num="2" w:equalWidth="0">
            <w:col w:w="7386" w:space="0"/>
            <w:col w:w="74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7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Stakeholder Support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planning through the Behavioral Health 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visory Board (BHAB).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Public Engagement: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San Diego Coun-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 uses stakeholder sessions and resident feedback to guide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 delivery and site selection.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Source: 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>San Diego County BHS Strategic Plan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Sacramento Crisis Stabilization Unit</w:t>
      </w:r>
    </w:p>
    <w:p>
      <w:pPr>
        <w:autoSpaceDN w:val="0"/>
        <w:autoSpaceDE w:val="0"/>
        <w:widowControl/>
        <w:spacing w:line="266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Partnership with law enforcement and community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nonprofits reduced ER overflows and improved referral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coordination.</w:t>
      </w:r>
    </w:p>
    <w:p>
      <w:pPr>
        <w:autoSpaceDN w:val="0"/>
        <w:autoSpaceDE w:val="0"/>
        <w:widowControl/>
        <w:spacing w:line="264" w:lineRule="auto" w:before="25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Sacramento County Mental Health Treatment Center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includes a Crisis Stabilization Unit (CSU) developed in part-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nership with the county, community health providers, and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 enforcement to reduce ER visits and improve psychiatric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crisis response.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Source: 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>Sacramento County Health Services</w:t>
      </w:r>
    </w:p>
    <w:p>
      <w:pPr>
        <w:autoSpaceDN w:val="0"/>
        <w:autoSpaceDE w:val="0"/>
        <w:widowControl/>
        <w:spacing w:line="264" w:lineRule="auto" w:before="606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Los Angeles County Youth Mental Health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Initiative</w:t>
      </w:r>
    </w:p>
    <w:p>
      <w:pPr>
        <w:autoSpaceDN w:val="0"/>
        <w:autoSpaceDE w:val="0"/>
        <w:widowControl/>
        <w:spacing w:line="269" w:lineRule="auto" w:before="152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Youth advisory boards helped shape engagement strategy,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branding, and peer support design.</w:t>
      </w:r>
    </w:p>
    <w:p>
      <w:pPr>
        <w:autoSpaceDN w:val="0"/>
        <w:autoSpaceDE w:val="0"/>
        <w:widowControl/>
        <w:spacing w:line="264" w:lineRule="auto" w:before="25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County launched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Youth Mental Health Initiative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of the Mental Health Services Act (MHSA) programming.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used Youth Advisory Boards, peer support,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 youth engagement in service design.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Example: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WeRise LA program and youth-focused mental health coali-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tions help guide service design and communications.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Source: </w:t>
      </w:r>
      <w:r>
        <w:rPr>
          <w:rFonts w:ascii="TimesNewRomanPSMT" w:hAnsi="TimesNewRomanPSMT" w:eastAsia="TimesNewRomanPSMT"/>
          <w:b w:val="0"/>
          <w:i w:val="0"/>
          <w:color w:val="1155CC"/>
          <w:sz w:val="24"/>
        </w:rPr>
        <w:t>LA County Department of Mental Health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382" w:space="0"/>
            <w:col w:w="73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58" w:right="10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of these projects demonstrates the transformative impact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participatory development—achieving faster approvals, bet-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ter utilization, and deeper community buy-in.</w:t>
      </w:r>
    </w:p>
    <w:p>
      <w:pPr>
        <w:autoSpaceDN w:val="0"/>
        <w:autoSpaceDE w:val="0"/>
        <w:widowControl/>
        <w:spacing w:line="278" w:lineRule="auto" w:before="516" w:after="0"/>
        <w:ind w:left="12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 of Building Stakeholder Support</w:t>
      </w:r>
    </w:p>
    <w:p>
      <w:pPr>
        <w:autoSpaceDN w:val="0"/>
        <w:autoSpaceDE w:val="0"/>
        <w:widowControl/>
        <w:spacing w:line="278" w:lineRule="auto" w:before="324" w:after="0"/>
        <w:ind w:left="12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Start Early, Stay Engaged</w:t>
      </w:r>
    </w:p>
    <w:p>
      <w:pPr>
        <w:autoSpaceDN w:val="0"/>
        <w:autoSpaceDE w:val="0"/>
        <w:widowControl/>
        <w:spacing w:line="269" w:lineRule="auto" w:before="152" w:after="0"/>
        <w:ind w:left="12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 engagement is most effective when started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pre-development and maintained through occupancy.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Map Stakeholder Groups Intelligently</w:t>
      </w:r>
    </w:p>
    <w:p>
      <w:pPr>
        <w:autoSpaceDN w:val="0"/>
        <w:tabs>
          <w:tab w:pos="1798" w:val="left"/>
        </w:tabs>
        <w:autoSpaceDE w:val="0"/>
        <w:widowControl/>
        <w:spacing w:line="302" w:lineRule="auto" w:before="152" w:after="0"/>
        <w:ind w:left="161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Include vulnerable and underrepresented populations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Coordinate messaging with public health agencies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Train team members in cultural competency and trauma-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informed communication</w:t>
      </w:r>
    </w:p>
    <w:p>
      <w:pPr>
        <w:autoSpaceDN w:val="0"/>
        <w:autoSpaceDE w:val="0"/>
        <w:widowControl/>
        <w:spacing w:line="278" w:lineRule="auto" w:before="426" w:after="0"/>
        <w:ind w:left="12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Create Feedback Loops</w:t>
      </w:r>
    </w:p>
    <w:p>
      <w:pPr>
        <w:autoSpaceDN w:val="0"/>
        <w:autoSpaceDE w:val="0"/>
        <w:widowControl/>
        <w:spacing w:line="317" w:lineRule="auto" w:before="152" w:after="0"/>
        <w:ind w:left="161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Track how community input is used in design decisions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Provide formal updates and “you said, we did” reports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Celebrate local contributions and milestones publicly</w:t>
      </w:r>
    </w:p>
    <w:p>
      <w:pPr>
        <w:autoSpaceDN w:val="0"/>
        <w:autoSpaceDE w:val="0"/>
        <w:widowControl/>
        <w:spacing w:line="278" w:lineRule="auto" w:before="426" w:after="0"/>
        <w:ind w:left="125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Measure Engagement Outcomes</w:t>
      </w:r>
    </w:p>
    <w:p>
      <w:pPr>
        <w:autoSpaceDN w:val="0"/>
        <w:autoSpaceDE w:val="0"/>
        <w:widowControl/>
        <w:spacing w:line="317" w:lineRule="auto" w:before="152" w:after="1056"/>
        <w:ind w:left="161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Number of community participants and events held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Design or policy changes influenced by public input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Post-occupancy satisfaction and utilization metrics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382" w:space="0"/>
            <w:col w:w="73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7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Stakeholder Support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sectPr>
          <w:pgSz w:w="17280" w:h="12960"/>
          <w:pgMar w:top="492" w:right="118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Collaborate with a Skilled Owner’s Advisor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strategic Owner’s Advisor can: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Translate community input into actionable development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Facilitate stakeholder workshops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 public engagement with entitlement and funding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goals</w:t>
      </w:r>
    </w:p>
    <w:p>
      <w:pPr>
        <w:autoSpaceDN w:val="0"/>
        <w:autoSpaceDE w:val="0"/>
        <w:widowControl/>
        <w:spacing w:line="259" w:lineRule="auto" w:before="424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Stakeholder Support as the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Cornerstone of Sustainable Behavioral Health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Development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real estate development does not occur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vacuum—it unfolds in real neighborhoods, on real streets,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surrounded by real people with opinions, concerns, and hopes.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depends not only on permits, funding, and design,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the willing participation and support of a diverse network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stakeholders.</w:t>
      </w:r>
    </w:p>
    <w:p>
      <w:pPr>
        <w:autoSpaceDN w:val="0"/>
        <w:autoSpaceDE w:val="0"/>
        <w:widowControl/>
        <w:spacing w:line="269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Stakeholder support isn’t a “nice to have”—it is a core require-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for long-term success. The data is clear:</w:t>
      </w:r>
    </w:p>
    <w:p>
      <w:pPr>
        <w:autoSpaceDN w:val="0"/>
        <w:autoSpaceDE w:val="0"/>
        <w:widowControl/>
        <w:spacing w:line="266" w:lineRule="auto" w:before="250" w:after="0"/>
        <w:ind w:left="540" w:right="144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Projects with integrated stakeholder planning 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up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35% more likely to meet their budget and schedule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targets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Facilities co-designed with local users report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38% higher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early engagement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50% better alignment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programmatic goals</w:t>
      </w:r>
    </w:p>
    <w:p>
      <w:pPr>
        <w:autoSpaceDN w:val="0"/>
        <w:autoSpaceDE w:val="0"/>
        <w:widowControl/>
        <w:spacing w:line="266" w:lineRule="auto" w:before="74" w:after="0"/>
        <w:ind w:left="540" w:right="144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For every $1 spent on early community engagement,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developers save an average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$4 in reduced conflicts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delays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(World Bank, 2020)</w:t>
      </w:r>
    </w:p>
    <w:p>
      <w:pPr>
        <w:sectPr>
          <w:type w:val="continuous"/>
          <w:pgSz w:w="17280" w:h="12960"/>
          <w:pgMar w:top="492" w:right="1184" w:bottom="340" w:left="1260" w:header="720" w:footer="720" w:gutter="0"/>
          <w:cols w:num="2" w:equalWidth="0">
            <w:col w:w="7402" w:space="0"/>
            <w:col w:w="7433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facilities built with, not just for, communi-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ties are safer, better utilized, and more resilient to political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operational challenges. When community voices shape the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sign, programming, and operation of a facility, it becomes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than a project—it becomes a legacy.</w:t>
      </w:r>
    </w:p>
    <w:p>
      <w:pPr>
        <w:autoSpaceDN w:val="0"/>
        <w:autoSpaceDE w:val="0"/>
        <w:widowControl/>
        <w:spacing w:line="264" w:lineRule="auto" w:before="254" w:after="0"/>
        <w:ind w:left="123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neighbors to clinicians, from planning departments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janitorial staff, from city leaders to peer advocates—every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impacted by the project plays a role in shaping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outcome. Stakeholder support is not just a formality—it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strategic asset, a risk mitigation strategy, and a moral impera-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tive.</w:t>
      </w:r>
    </w:p>
    <w:p>
      <w:pPr>
        <w:autoSpaceDN w:val="0"/>
        <w:autoSpaceDE w:val="0"/>
        <w:widowControl/>
        <w:spacing w:line="278" w:lineRule="auto" w:before="606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Building a Legacy, Not Just a Building</w:t>
      </w:r>
    </w:p>
    <w:p>
      <w:pPr>
        <w:autoSpaceDN w:val="0"/>
        <w:autoSpaceDE w:val="0"/>
        <w:widowControl/>
        <w:spacing w:line="264" w:lineRule="auto" w:before="152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Ultimately, stakeholder engagement is not a line item—it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glue that binds design to dignity, funding to function,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operations to outcomes. When we build with community,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just for community, we create facilities that are not just phys-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ically sustainable—but socially, politically, and economically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resilient.</w:t>
      </w:r>
    </w:p>
    <w:p>
      <w:pPr>
        <w:autoSpaceDN w:val="0"/>
        <w:autoSpaceDE w:val="0"/>
        <w:widowControl/>
        <w:spacing w:line="266" w:lineRule="auto" w:before="254" w:after="0"/>
        <w:ind w:left="123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These projects become neighborhood cornerstones, not intru-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sions. They become sources of healing, pride, and economic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uplift. And most importantly, they endure.</w:t>
      </w:r>
    </w:p>
    <w:p>
      <w:pPr>
        <w:autoSpaceDN w:val="0"/>
        <w:autoSpaceDE w:val="0"/>
        <w:widowControl/>
        <w:spacing w:line="266" w:lineRule="auto" w:before="250" w:after="0"/>
        <w:ind w:left="123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noted by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Design-Build Institute of America (DBIA)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that incorporate structured community engagement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the start enjoy:</w:t>
      </w:r>
    </w:p>
    <w:p>
      <w:pPr>
        <w:autoSpaceDN w:val="0"/>
        <w:autoSpaceDE w:val="0"/>
        <w:widowControl/>
        <w:spacing w:line="276" w:lineRule="auto" w:before="254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35% fewer post-construction change orders</w:t>
      </w:r>
    </w:p>
    <w:p>
      <w:pPr>
        <w:autoSpaceDN w:val="0"/>
        <w:autoSpaceDE w:val="0"/>
        <w:widowControl/>
        <w:spacing w:line="276" w:lineRule="auto" w:before="74" w:after="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23% higher on-time delivery rates</w:t>
      </w:r>
    </w:p>
    <w:p>
      <w:pPr>
        <w:autoSpaceDN w:val="0"/>
        <w:autoSpaceDE w:val="0"/>
        <w:widowControl/>
        <w:spacing w:line="276" w:lineRule="auto" w:before="74" w:after="720"/>
        <w:ind w:left="15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Greater community utilization and satisfaction scores</w:t>
      </w:r>
    </w:p>
    <w:p>
      <w:pPr>
        <w:sectPr>
          <w:type w:val="nextColumn"/>
          <w:pgSz w:w="17280" w:h="12960"/>
          <w:pgMar w:top="492" w:right="1184" w:bottom="340" w:left="1260" w:header="720" w:footer="720" w:gutter="0"/>
          <w:cols w:num="2" w:equalWidth="0">
            <w:col w:w="7402" w:space="0"/>
            <w:col w:w="743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9"/>
        <w:gridCol w:w="3709"/>
        <w:gridCol w:w="3709"/>
        <w:gridCol w:w="3709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106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7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Stakeholder Support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5473700</wp:posOffset>
            </wp:positionH>
            <wp:positionV relativeFrom="page">
              <wp:posOffset>0</wp:posOffset>
            </wp:positionV>
            <wp:extent cx="5486400" cy="8255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auto" w:before="0" w:after="0"/>
        <w:ind w:left="0" w:right="83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 engagement done right mitigates project risk,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secures entitlements faster, builds goodwill with local agencies,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increases facility success metrics across the board. It also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provides the Owner’s Advisor with a vital mechanism to build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trust, translate concerns into solutions, and align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goals with local realities.</w:t>
      </w:r>
    </w:p>
    <w:p>
      <w:pPr>
        <w:autoSpaceDN w:val="0"/>
        <w:autoSpaceDE w:val="0"/>
        <w:widowControl/>
        <w:spacing w:line="264" w:lineRule="auto" w:before="254" w:after="6996"/>
        <w:ind w:left="0" w:right="83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 continue with the Wellspring Manual, we will build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upon this foundation—exploring facility programming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therapeutic design, and behavioral health construction man-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agement best practices. But it all starts here: with people, trust,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measurable participation, and the courage to engage deeply,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honestly, and inclusively.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0"/>
        <w:gridCol w:w="4860"/>
        <w:gridCol w:w="4860"/>
      </w:tblGrid>
      <w:tr>
        <w:trPr>
          <w:trHeight w:hRule="exact" w:val="37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7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28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7280" w:h="12960"/>
          <w:pgMar w:top="502" w:right="14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p>
      <w:pPr>
        <w:sectPr>
          <w:pgSz w:w="17280" w:h="12960"/>
          <w:pgMar w:top="50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32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8</w:t>
      </w:r>
    </w:p>
    <w:p>
      <w:pPr>
        <w:autoSpaceDN w:val="0"/>
        <w:autoSpaceDE w:val="0"/>
        <w:widowControl/>
        <w:spacing w:line="259" w:lineRule="auto" w:before="138" w:after="0"/>
        <w:ind w:left="144" w:right="115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Facility Programming and Conceptual Design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- Creating Therapeutic, Sustainable, 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Technology-Integrated Environments</w:t>
      </w:r>
    </w:p>
    <w:p>
      <w:pPr>
        <w:autoSpaceDN w:val="0"/>
        <w:tabs>
          <w:tab w:pos="1140" w:val="left"/>
          <w:tab w:pos="2486" w:val="left"/>
        </w:tabs>
        <w:autoSpaceDE w:val="0"/>
        <w:widowControl/>
        <w:spacing w:line="266" w:lineRule="auto" w:before="170" w:after="0"/>
        <w:ind w:left="578" w:right="230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“Good design is about clarity &amp; purpose; it’s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not just how it looks, but how it works.” </w:t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- Steve Jobs</w:t>
      </w:r>
    </w:p>
    <w:p>
      <w:pPr>
        <w:autoSpaceDN w:val="0"/>
        <w:autoSpaceDE w:val="0"/>
        <w:widowControl/>
        <w:spacing w:line="278" w:lineRule="auto" w:before="884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Aligning Clinical Needs with Built Environments</w:t>
      </w:r>
    </w:p>
    <w:p>
      <w:pPr>
        <w:autoSpaceDN w:val="0"/>
        <w:autoSpaceDE w:val="0"/>
        <w:widowControl/>
        <w:spacing w:line="278" w:lineRule="auto" w:before="34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Space Planning for Trauma-Informed Care and Safety</w:t>
      </w:r>
    </w:p>
    <w:p>
      <w:pPr>
        <w:autoSpaceDN w:val="0"/>
        <w:autoSpaceDE w:val="0"/>
        <w:widowControl/>
        <w:spacing w:line="278" w:lineRule="auto" w:before="34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Integrated Care Models and Functional Adjacencies</w:t>
      </w:r>
    </w:p>
    <w:p>
      <w:pPr>
        <w:autoSpaceDN w:val="0"/>
        <w:autoSpaceDE w:val="0"/>
        <w:widowControl/>
        <w:spacing w:line="278" w:lineRule="auto" w:before="34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Early Cost Modeling and Phasing Strategies</w:t>
      </w:r>
    </w:p>
    <w:p>
      <w:pPr>
        <w:autoSpaceDN w:val="0"/>
        <w:autoSpaceDE w:val="0"/>
        <w:widowControl/>
        <w:spacing w:line="278" w:lineRule="auto" w:before="34" w:after="0"/>
        <w:ind w:left="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Engaging Stakeholders in the Design Vision</w:t>
      </w:r>
    </w:p>
    <w:p>
      <w:pPr>
        <w:autoSpaceDN w:val="0"/>
        <w:autoSpaceDE w:val="0"/>
        <w:widowControl/>
        <w:spacing w:line="264" w:lineRule="auto" w:before="46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and conceptual design form the foundation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successful behavioral health real estate development. At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critical stage, strategic vision is translated into the built envi-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ronment, shaping not only the operational flow of care but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very experience of healing.</w:t>
      </w:r>
    </w:p>
    <w:p>
      <w:pPr>
        <w:autoSpaceDN w:val="0"/>
        <w:autoSpaceDE w:val="0"/>
        <w:widowControl/>
        <w:spacing w:line="262" w:lineRule="auto" w:before="256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environments we create for behavioral health care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than spaces—they are therapeutic ecosystems.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settings must be safe, trauma-informed, adaptable, inclusive,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sustainable, and technologically integrated. Every room, 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corridor, and every design decision carries the potential to 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vance or hinder a patient’s recovery, a clinician’s effectiveness,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an organization’s mission.</w:t>
      </w:r>
    </w:p>
    <w:p>
      <w:pPr>
        <w:sectPr>
          <w:type w:val="continuous"/>
          <w:pgSz w:w="17280" w:h="12960"/>
          <w:pgMar w:top="502" w:right="1240" w:bottom="340" w:left="1260" w:header="720" w:footer="720" w:gutter="0"/>
          <w:cols w:num="2" w:equalWidth="0">
            <w:col w:w="7404" w:space="0"/>
            <w:col w:w="7376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explores how to align behavioral health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clinical needs with space programming, integrate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delivery models into design, use early cost modeling to inform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decisions, and ensure that every stakeholder—patients, provid-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ers, funders, and regulators—is engaged in shaping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built for lasting impact.</w:t>
      </w:r>
    </w:p>
    <w:p>
      <w:pPr>
        <w:autoSpaceDN w:val="0"/>
        <w:autoSpaceDE w:val="0"/>
        <w:widowControl/>
        <w:spacing w:line="278" w:lineRule="auto" w:before="516" w:after="0"/>
        <w:ind w:left="123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Aligning Clinical Needs with Built Environments</w:t>
      </w:r>
    </w:p>
    <w:p>
      <w:pPr>
        <w:autoSpaceDN w:val="0"/>
        <w:autoSpaceDE w:val="0"/>
        <w:widowControl/>
        <w:spacing w:line="278" w:lineRule="auto" w:before="414" w:after="0"/>
        <w:ind w:left="123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Translating Services into Functional Space</w:t>
      </w:r>
    </w:p>
    <w:p>
      <w:pPr>
        <w:autoSpaceDN w:val="0"/>
        <w:autoSpaceDE w:val="0"/>
        <w:widowControl/>
        <w:spacing w:line="264" w:lineRule="auto" w:before="152" w:after="0"/>
        <w:ind w:left="123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environments must serve specific popula-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tions and modalities, such as crisis stabilization, outpatient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therapy, residential treatment, or intensive care. Each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model demands spaces that:</w:t>
      </w:r>
    </w:p>
    <w:p>
      <w:pPr>
        <w:autoSpaceDN w:val="0"/>
        <w:tabs>
          <w:tab w:pos="1776" w:val="left"/>
        </w:tabs>
        <w:autoSpaceDE w:val="0"/>
        <w:widowControl/>
        <w:spacing w:line="269" w:lineRule="auto" w:before="74" w:after="0"/>
        <w:ind w:left="159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Accommodate clinical interventions (e.g., therapy,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medication, diagnostics)</w:t>
      </w:r>
    </w:p>
    <w:p>
      <w:pPr>
        <w:autoSpaceDN w:val="0"/>
        <w:autoSpaceDE w:val="0"/>
        <w:widowControl/>
        <w:spacing w:line="276" w:lineRule="auto" w:before="74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Enable 24/7 staff supervision and collaboration</w:t>
      </w:r>
    </w:p>
    <w:p>
      <w:pPr>
        <w:autoSpaceDN w:val="0"/>
        <w:autoSpaceDE w:val="0"/>
        <w:widowControl/>
        <w:spacing w:line="276" w:lineRule="auto" w:before="74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Ensure patient safety and privacy</w:t>
      </w:r>
    </w:p>
    <w:p>
      <w:pPr>
        <w:autoSpaceDN w:val="0"/>
        <w:tabs>
          <w:tab w:pos="1776" w:val="left"/>
        </w:tabs>
        <w:autoSpaceDE w:val="0"/>
        <w:widowControl/>
        <w:spacing w:line="269" w:lineRule="auto" w:before="74" w:after="0"/>
        <w:ind w:left="159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Support transitions between care levels (e.g., triage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stabilization)</w:t>
      </w:r>
    </w:p>
    <w:p>
      <w:pPr>
        <w:autoSpaceDN w:val="0"/>
        <w:autoSpaceDE w:val="0"/>
        <w:widowControl/>
        <w:spacing w:line="278" w:lineRule="auto" w:before="426" w:after="0"/>
        <w:ind w:left="123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Clinical Staff as Design Partners</w:t>
      </w:r>
    </w:p>
    <w:p>
      <w:pPr>
        <w:autoSpaceDN w:val="0"/>
        <w:autoSpaceDE w:val="0"/>
        <w:widowControl/>
        <w:spacing w:line="264" w:lineRule="auto" w:before="152" w:after="0"/>
        <w:ind w:left="123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starts with dialogue. Staff input helps avoid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missteps such as poor adjacencies, visibility gaps,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inefficiencies. Interviews, workflow shadowing,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design validation workshops uncover:</w:t>
      </w:r>
    </w:p>
    <w:p>
      <w:pPr>
        <w:autoSpaceDN w:val="0"/>
        <w:autoSpaceDE w:val="0"/>
        <w:widowControl/>
        <w:spacing w:line="276" w:lineRule="auto" w:before="74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Preferred room adjacencies</w:t>
      </w:r>
    </w:p>
    <w:p>
      <w:pPr>
        <w:autoSpaceDN w:val="0"/>
        <w:autoSpaceDE w:val="0"/>
        <w:widowControl/>
        <w:spacing w:line="276" w:lineRule="auto" w:before="74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Critical supervision and security needs</w:t>
      </w:r>
    </w:p>
    <w:p>
      <w:pPr>
        <w:autoSpaceDN w:val="0"/>
        <w:autoSpaceDE w:val="0"/>
        <w:widowControl/>
        <w:spacing w:line="276" w:lineRule="auto" w:before="74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Optimal circulation and flow</w:t>
      </w:r>
    </w:p>
    <w:p>
      <w:pPr>
        <w:autoSpaceDN w:val="0"/>
        <w:autoSpaceDE w:val="0"/>
        <w:widowControl/>
        <w:spacing w:line="276" w:lineRule="auto" w:before="7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Equipment, IT, and accessibility priorities</w:t>
      </w:r>
    </w:p>
    <w:p>
      <w:pPr>
        <w:autoSpaceDN w:val="0"/>
        <w:tabs>
          <w:tab w:pos="7070" w:val="left"/>
        </w:tabs>
        <w:autoSpaceDE w:val="0"/>
        <w:widowControl/>
        <w:spacing w:line="274" w:lineRule="auto" w:before="270" w:after="0"/>
        <w:ind w:left="1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Facility Programming and Conceptual Design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111</w:t>
      </w:r>
    </w:p>
    <w:p>
      <w:pPr>
        <w:sectPr>
          <w:type w:val="nextColumn"/>
          <w:pgSz w:w="17280" w:h="12960"/>
          <w:pgMar w:top="502" w:right="1240" w:bottom="340" w:left="1260" w:header="720" w:footer="720" w:gutter="0"/>
          <w:cols w:num="2" w:equalWidth="0">
            <w:col w:w="7404" w:space="0"/>
            <w:col w:w="73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1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Regulatory and Licensing Alignment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Design Strategies</w:t>
      </w:r>
    </w:p>
    <w:p>
      <w:pPr>
        <w:sectPr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0"/>
        <w:ind w:left="360" w:right="273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must meet standards set by: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State Licensing Authorities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The Joint Commission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CMS, Medi-Cal, or Medicaid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NFPA Life Safety Code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6198" w:space="0"/>
            <w:col w:w="8642" w:space="0"/>
          </w:cols>
          <w:docGrid w:linePitch="360"/>
        </w:sectPr>
      </w:pPr>
    </w:p>
    <w:p>
      <w:pPr>
        <w:autoSpaceDN w:val="0"/>
        <w:autoSpaceDE w:val="0"/>
        <w:widowControl/>
        <w:spacing w:line="326" w:lineRule="auto" w:before="0" w:after="74"/>
        <w:ind w:left="28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Unobstructed lines of sight for passive supervision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Soft seating, warm lighting, natural textures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Nature views and access to outdoor areas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Anti-ligature fixtures, tamper-resistant materials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Multipurpose spaces to accommodate evolving care needs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6198" w:space="0"/>
            <w:col w:w="864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164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Behavioral Health Design Guidelines (FGI)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Licensing consultants and Owner’s Advisors are essential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reconciling regulatory requirements with real-world workflows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patient-centered design.</w:t>
      </w:r>
    </w:p>
    <w:p>
      <w:pPr>
        <w:autoSpaceDN w:val="0"/>
        <w:autoSpaceDE w:val="0"/>
        <w:widowControl/>
        <w:spacing w:line="264" w:lineRule="auto" w:before="604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Space Planning for Trauma-Informed Care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Safety</w:t>
      </w:r>
    </w:p>
    <w:p>
      <w:pPr>
        <w:autoSpaceDN w:val="0"/>
        <w:autoSpaceDE w:val="0"/>
        <w:widowControl/>
        <w:spacing w:line="278" w:lineRule="auto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Principles of Trauma-Informed Design</w:t>
      </w:r>
    </w:p>
    <w:p>
      <w:pPr>
        <w:autoSpaceDN w:val="0"/>
        <w:autoSpaceDE w:val="0"/>
        <w:widowControl/>
        <w:spacing w:line="266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design must acknowledge the role of trauma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need for environments that are not re-traumatizing. Key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elements include: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Safety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Visual clarity, ligature resistance, emergency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preparedness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Empowerment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Autonomy-supportive environments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(lighting control, privacy options)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Calmness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Reduced noise, soft color palettes, biophilic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elements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Trust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Non-institutional, welcoming environments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staff visibility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408" w:space="0"/>
            <w:col w:w="743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Case Example: Santa Clara County Behavioral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Health</w:t>
      </w:r>
    </w:p>
    <w:p>
      <w:pPr>
        <w:autoSpaceDN w:val="0"/>
        <w:autoSpaceDE w:val="0"/>
        <w:widowControl/>
        <w:spacing w:line="264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integrating daylight, healing gardens, and trauma-informed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interior finishes, the Santa Clara facility reduced staff stress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patient incidents by over 20%, according to post-occupancy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surveys.</w:t>
      </w:r>
    </w:p>
    <w:p>
      <w:pPr>
        <w:autoSpaceDN w:val="0"/>
        <w:autoSpaceDE w:val="0"/>
        <w:widowControl/>
        <w:spacing w:line="264" w:lineRule="auto" w:before="604" w:after="0"/>
        <w:ind w:left="1232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Integrated Care Models and Functional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Adjacencies</w:t>
      </w:r>
    </w:p>
    <w:p>
      <w:pPr>
        <w:autoSpaceDN w:val="0"/>
        <w:autoSpaceDE w:val="0"/>
        <w:widowControl/>
        <w:spacing w:line="278" w:lineRule="auto" w:before="502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What Is Integrated Behavioral Health?</w:t>
      </w:r>
    </w:p>
    <w:p>
      <w:pPr>
        <w:autoSpaceDN w:val="0"/>
        <w:autoSpaceDE w:val="0"/>
        <w:widowControl/>
        <w:spacing w:line="266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Integrated behavioral health combines primary care, psychiatry,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case management, and social services in one coordinated envi-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ronment. Facility programming must accommodate:</w:t>
      </w:r>
    </w:p>
    <w:p>
      <w:pPr>
        <w:autoSpaceDN w:val="0"/>
        <w:autoSpaceDE w:val="0"/>
        <w:widowControl/>
        <w:spacing w:line="276" w:lineRule="auto" w:before="7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Flexible clinical spaces for co-located teams</w:t>
      </w:r>
    </w:p>
    <w:p>
      <w:pPr>
        <w:autoSpaceDN w:val="0"/>
        <w:autoSpaceDE w:val="0"/>
        <w:widowControl/>
        <w:spacing w:line="276" w:lineRule="auto" w:before="7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Shared records and collaborative care plans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4" w:after="1332"/>
        <w:ind w:left="15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Informal zones for impromptu consultation and case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huddles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408" w:space="0"/>
            <w:col w:w="74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8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Facility Programming and Conceptual Design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Key Spatial Relationships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Exam rooms near therapy rooms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Medication management next to medical consults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Observation areas linked to intake and triage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Breakrooms and respite zones separated from care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delivery</w:t>
      </w:r>
    </w:p>
    <w:p>
      <w:pPr>
        <w:autoSpaceDN w:val="0"/>
        <w:autoSpaceDE w:val="0"/>
        <w:widowControl/>
        <w:spacing w:line="264" w:lineRule="auto" w:before="424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Example: Los Angeles Mental Health Urgent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Care Center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facility features integrated triage, medical clearance,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peer navigation zones designed for same-day diversion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emergency departments. Functional adjacency planning cut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average intake-to-treatment time by 40%.</w:t>
      </w:r>
    </w:p>
    <w:p>
      <w:pPr>
        <w:autoSpaceDN w:val="0"/>
        <w:autoSpaceDE w:val="0"/>
        <w:widowControl/>
        <w:spacing w:line="278" w:lineRule="auto" w:before="6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Early Cost Modeling and Phasing Strategies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12" w:space="0"/>
            <w:col w:w="7468" w:space="0"/>
          </w:cols>
          <w:docGrid w:linePitch="360"/>
        </w:sectPr>
      </w:pPr>
    </w:p>
    <w:p>
      <w:pPr>
        <w:autoSpaceDN w:val="0"/>
        <w:tabs>
          <w:tab w:pos="1868" w:val="left"/>
        </w:tabs>
        <w:autoSpaceDE w:val="0"/>
        <w:widowControl/>
        <w:spacing w:line="269" w:lineRule="auto" w:before="0" w:after="0"/>
        <w:ind w:left="168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Phase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Permanent supportive housing, community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programs</w:t>
      </w:r>
    </w:p>
    <w:p>
      <w:pPr>
        <w:autoSpaceDN w:val="0"/>
        <w:autoSpaceDE w:val="0"/>
        <w:widowControl/>
        <w:spacing w:line="278" w:lineRule="auto" w:before="336" w:after="0"/>
        <w:ind w:left="13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Scalability by Design</w:t>
      </w:r>
    </w:p>
    <w:p>
      <w:pPr>
        <w:autoSpaceDN w:val="0"/>
        <w:autoSpaceDE w:val="0"/>
        <w:widowControl/>
        <w:spacing w:line="317" w:lineRule="auto" w:before="152" w:after="0"/>
        <w:ind w:left="168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Future floor plates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Infrastructure stubs for expansion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Demountable walls and plug-in technology zones</w:t>
      </w:r>
    </w:p>
    <w:p>
      <w:pPr>
        <w:autoSpaceDN w:val="0"/>
        <w:autoSpaceDE w:val="0"/>
        <w:widowControl/>
        <w:spacing w:line="278" w:lineRule="auto" w:before="426" w:after="0"/>
        <w:ind w:left="13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Engaging Stakeholders in the Design Vision</w:t>
      </w:r>
    </w:p>
    <w:p>
      <w:pPr>
        <w:autoSpaceDN w:val="0"/>
        <w:autoSpaceDE w:val="0"/>
        <w:widowControl/>
        <w:spacing w:line="278" w:lineRule="auto" w:before="324" w:after="0"/>
        <w:ind w:left="13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Who to Engage</w:t>
      </w:r>
    </w:p>
    <w:p>
      <w:pPr>
        <w:autoSpaceDN w:val="0"/>
        <w:autoSpaceDE w:val="0"/>
        <w:widowControl/>
        <w:spacing w:line="324" w:lineRule="auto" w:before="152" w:after="392"/>
        <w:ind w:left="168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Healthcare providers and facility users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Patients and families (including advisory boards)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Funders, licensing officials, and AHJs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Community partners and advocacy groups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12" w:space="0"/>
            <w:col w:w="7468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02" w:lineRule="auto" w:before="0" w:after="12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Estimating from the Start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Engagement Strategies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 control starts in programming. Aligning early cost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clinical goals enables prioritization and phased implemen-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tation. Tools include: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Parametric estimating (based on program square footage)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Elemental cost breakdowns (per room, per system)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Target value design (design to budget rather than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estimate)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Phased Implementation Models</w:t>
      </w:r>
    </w:p>
    <w:p>
      <w:pPr>
        <w:autoSpaceDN w:val="0"/>
        <w:autoSpaceDE w:val="0"/>
        <w:widowControl/>
        <w:spacing w:line="278" w:lineRule="auto" w:before="14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Phase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Emergency intake, triage, stabilization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Phase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Outpatient, counseling, family support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62" w:space="0"/>
            <w:col w:w="7418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auto" w:before="0" w:after="0"/>
        <w:ind w:left="1638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Interactive charrettes and journey mapping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Mock-up room walk-throughs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Visual preference surveys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Decision logs and design narrative sign-offs</w:t>
      </w:r>
    </w:p>
    <w:p>
      <w:pPr>
        <w:autoSpaceDN w:val="0"/>
        <w:autoSpaceDE w:val="0"/>
        <w:widowControl/>
        <w:spacing w:line="264" w:lineRule="auto" w:before="426" w:after="0"/>
        <w:ind w:left="127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Example: San Diego Youth Behavioral Health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Center</w:t>
      </w:r>
    </w:p>
    <w:p>
      <w:pPr>
        <w:autoSpaceDN w:val="0"/>
        <w:autoSpaceDE w:val="0"/>
        <w:widowControl/>
        <w:spacing w:line="264" w:lineRule="auto" w:before="152" w:after="304"/>
        <w:ind w:left="12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 sessions revealed the need for family waiting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rooms, gender-sensitive restrooms, and separate youth/adult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therapy wings. Implementing these led to stronger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and reduced rework.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62" w:space="0"/>
            <w:col w:w="74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8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Facility Programming and Conceptual Design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18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Creating Therapeutic, Sustainable,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Technology-Integrated Environments</w:t>
      </w:r>
    </w:p>
    <w:p>
      <w:pPr>
        <w:autoSpaceDN w:val="0"/>
        <w:autoSpaceDE w:val="0"/>
        <w:widowControl/>
        <w:spacing w:line="278" w:lineRule="auto" w:before="3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Key Principles of Therapeutic Environments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48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Safety First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Ligature-resistant fixtures, panic buttons,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secure access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Natural Light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Windows, skylights, and circadian-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friendly lighting systems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Calm Aesthetics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Non-glare surfaces, acoustic insulation,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biophilic textures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Personalization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Allowing some control in private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 areas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Cultural Competence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Reflecting community identity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</w:t>
      </w:r>
    </w:p>
    <w:p>
      <w:pPr>
        <w:autoSpaceDN w:val="0"/>
        <w:autoSpaceDE w:val="0"/>
        <w:widowControl/>
        <w:spacing w:line="264" w:lineRule="auto" w:before="424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Case Studies in Behavioral Health Facility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Design</w:t>
      </w:r>
    </w:p>
    <w:p>
      <w:pPr>
        <w:autoSpaceDN w:val="0"/>
        <w:autoSpaceDE w:val="0"/>
        <w:widowControl/>
        <w:spacing w:line="278" w:lineRule="auto" w:before="3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San Francisco Behavioral Health Center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Achieved LEED Silver certification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Integrated private patios and personalized patient zones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Reported 18% improvement in staff retention within 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year</w:t>
      </w:r>
    </w:p>
    <w:p>
      <w:pPr>
        <w:autoSpaceDN w:val="0"/>
        <w:autoSpaceDE w:val="0"/>
        <w:widowControl/>
        <w:spacing w:line="278" w:lineRule="auto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East LA Wellness Hub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Co-designed with neighborhood leaders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Included community art installations and multilingual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signage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Increased service utilization by 35% over projected levels</w:t>
      </w:r>
    </w:p>
    <w:p>
      <w:pPr>
        <w:sectPr>
          <w:type w:val="continuous"/>
          <w:pgSz w:w="17280" w:h="12960"/>
          <w:pgMar w:top="492" w:right="1188" w:bottom="340" w:left="1260" w:header="720" w:footer="720" w:gutter="0"/>
          <w:cols w:num="2" w:equalWidth="0">
            <w:col w:w="7402" w:space="0"/>
            <w:col w:w="743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Integrating Technology</w:t>
      </w:r>
    </w:p>
    <w:p>
      <w:pPr>
        <w:autoSpaceDN w:val="0"/>
        <w:autoSpaceDE w:val="0"/>
        <w:widowControl/>
        <w:spacing w:line="278" w:lineRule="auto" w:before="148" w:after="0"/>
        <w:ind w:left="15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Telehealth Zones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Private, acoustically treated kiosks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Smart Building Systems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Automated lighting, HVAC,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patient comfort controls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Patient Monitoring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Non-invasive observation tech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linked to nurse stations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Data Dashboards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Real-time occupancy and scheduling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</w:t>
      </w:r>
    </w:p>
    <w:p>
      <w:pPr>
        <w:autoSpaceDN w:val="0"/>
        <w:autoSpaceDE w:val="0"/>
        <w:widowControl/>
        <w:spacing w:line="278" w:lineRule="auto" w:before="334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Sustainability and Resilience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148" w:after="0"/>
        <w:ind w:left="15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Energy Efficiency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Passive solar, daylighting, zoned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HVAC</w:t>
      </w:r>
    </w:p>
    <w:p>
      <w:pPr>
        <w:autoSpaceDN w:val="0"/>
        <w:autoSpaceDE w:val="0"/>
        <w:widowControl/>
        <w:spacing w:line="278" w:lineRule="auto" w:before="70" w:after="0"/>
        <w:ind w:left="15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Water Conservation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Low-flow plumbing, rain capture</w:t>
      </w:r>
    </w:p>
    <w:p>
      <w:pPr>
        <w:autoSpaceDN w:val="0"/>
        <w:tabs>
          <w:tab w:pos="1778" w:val="left"/>
        </w:tabs>
        <w:autoSpaceDE w:val="0"/>
        <w:widowControl/>
        <w:spacing w:line="269" w:lineRule="auto" w:before="70" w:after="0"/>
        <w:ind w:left="159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Emergency Preparedness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Backup power, seismic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upgrades, fireproofing</w:t>
      </w:r>
    </w:p>
    <w:p>
      <w:pPr>
        <w:autoSpaceDN w:val="0"/>
        <w:autoSpaceDE w:val="0"/>
        <w:widowControl/>
        <w:spacing w:line="278" w:lineRule="auto" w:before="310" w:after="0"/>
        <w:ind w:left="12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Example: Sacramento Behavioral Health Hub</w:t>
      </w:r>
    </w:p>
    <w:p>
      <w:pPr>
        <w:autoSpaceDN w:val="0"/>
        <w:autoSpaceDE w:val="0"/>
        <w:widowControl/>
        <w:spacing w:line="266" w:lineRule="auto" w:before="224" w:after="0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Reduced energy consumption by 30% using high-performance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windows, thermal mass strategies, and solar PV arrays—quali-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fying for long-term operating subsidies.</w:t>
      </w:r>
    </w:p>
    <w:p>
      <w:pPr>
        <w:autoSpaceDN w:val="0"/>
        <w:autoSpaceDE w:val="0"/>
        <w:widowControl/>
        <w:spacing w:line="264" w:lineRule="auto" w:before="604" w:after="0"/>
        <w:ind w:left="123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Designing With Purpose, Healing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With Intention</w:t>
      </w:r>
    </w:p>
    <w:p>
      <w:pPr>
        <w:autoSpaceDN w:val="0"/>
        <w:autoSpaceDE w:val="0"/>
        <w:widowControl/>
        <w:spacing w:line="264" w:lineRule="auto" w:before="152" w:after="744"/>
        <w:ind w:left="1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and conceptual design are more than early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milestones in a project—they are the soul-setting moments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where mission becomes form, and form becomes function.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real estate, these early decisions echo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phase of development, construction, and operation. They </w:t>
      </w:r>
    </w:p>
    <w:p>
      <w:pPr>
        <w:sectPr>
          <w:type w:val="nextColumn"/>
          <w:pgSz w:w="17280" w:h="12960"/>
          <w:pgMar w:top="492" w:right="1188" w:bottom="340" w:left="1260" w:header="720" w:footer="720" w:gutter="0"/>
          <w:cols w:num="2" w:equalWidth="0">
            <w:col w:w="7402" w:space="0"/>
            <w:col w:w="7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8"/>
        <w:gridCol w:w="3708"/>
        <w:gridCol w:w="3708"/>
        <w:gridCol w:w="3708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116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8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Facility Programming and Conceptual Design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1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shape not just walls and workflows, but the very culture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care.</w:t>
      </w:r>
    </w:p>
    <w:p>
      <w:pPr>
        <w:autoSpaceDN w:val="0"/>
        <w:autoSpaceDE w:val="0"/>
        <w:widowControl/>
        <w:spacing w:line="264" w:lineRule="auto" w:before="25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this foundational stage, clarity of purpose is paramount.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 must be designed not only to meet licensing require-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ments or code compliance but to actively support clinical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excellence, patient dignity, and operational efficiency. 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safe yet non-institutional, calming yet clinically robust,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flexible yet carefully choreographed for security, supervision,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service delivery.</w:t>
      </w:r>
    </w:p>
    <w:p>
      <w:pPr>
        <w:autoSpaceDN w:val="0"/>
        <w:autoSpaceDE w:val="0"/>
        <w:widowControl/>
        <w:spacing w:line="264" w:lineRule="auto" w:before="606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Best Practices in Behavioral Health Design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Programming</w:t>
      </w:r>
    </w:p>
    <w:p>
      <w:pPr>
        <w:autoSpaceDN w:val="0"/>
        <w:autoSpaceDE w:val="0"/>
        <w:widowControl/>
        <w:spacing w:line="264" w:lineRule="auto" w:before="148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Lead With Clinical Intent: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Programming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rooted in clinical strategy. Whether supporting crisis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stabilization, long-term recovery, or outpatient care,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must align with therapeutic models and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pathways from day one.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Design for Trauma-Informed Healing: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Materials,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lighting, acoustics, privacy, and control all matter. Spaces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reduce anxiety, support autonomy, and feel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emotionally safe for patients, staff, and families.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Support Integrated Care Models: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Locate care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 spaces and service lines to maximize functional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adjacencies, reduce patient transfer stress, and encourage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collaborative workflows.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Plan With Phasing in Mind: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Whether through modular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construction, shelled space, or phased activations, early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must accommodate growth, flexibility,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evolving service needs.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Utilize Early Cost Modeling: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Align scope with budget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cost-informed programming and preconstruction </w:t>
      </w:r>
    </w:p>
    <w:p>
      <w:pPr>
        <w:sectPr>
          <w:type w:val="continuous"/>
          <w:pgSz w:w="17280" w:h="12960"/>
          <w:pgMar w:top="502" w:right="1216" w:bottom="340" w:left="1260" w:header="720" w:footer="720" w:gutter="0"/>
          <w:cols w:num="2" w:equalWidth="0">
            <w:col w:w="7410" w:space="0"/>
            <w:col w:w="7394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77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collaboration. Value engineering should start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concept level—not after bids are returned.</w:t>
      </w:r>
    </w:p>
    <w:p>
      <w:pPr>
        <w:autoSpaceDN w:val="0"/>
        <w:autoSpaceDE w:val="0"/>
        <w:widowControl/>
        <w:spacing w:line="264" w:lineRule="auto" w:before="70" w:after="0"/>
        <w:ind w:left="177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Engage Multidisciplinary Stakeholders: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Elevate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voices from every level—clinicians, frontline staff, peer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advocates, maintenance teams, and patients themselves—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ensure a design that works across all layers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experience.</w:t>
      </w:r>
    </w:p>
    <w:p>
      <w:pPr>
        <w:autoSpaceDN w:val="0"/>
        <w:autoSpaceDE w:val="0"/>
        <w:widowControl/>
        <w:spacing w:line="278" w:lineRule="auto" w:before="42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 Through Coordinated Vision</w:t>
      </w:r>
    </w:p>
    <w:p>
      <w:pPr>
        <w:autoSpaceDN w:val="0"/>
        <w:autoSpaceDE w:val="0"/>
        <w:widowControl/>
        <w:spacing w:line="264" w:lineRule="auto" w:before="148" w:after="0"/>
        <w:ind w:left="177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Avoid Late Reprogramming: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Rushing the programming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phase or excluding clinical input often results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expensive redesigns. Take time to validate space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through mock-ups, test fits, and real-world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walkthroughs.</w:t>
      </w:r>
    </w:p>
    <w:p>
      <w:pPr>
        <w:autoSpaceDN w:val="0"/>
        <w:autoSpaceDE w:val="0"/>
        <w:widowControl/>
        <w:spacing w:line="266" w:lineRule="auto" w:before="70" w:after="0"/>
        <w:ind w:left="177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Balance Innovation With Licensing Reality: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design must harmonize vision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of DHCS, OSHPD, ADA, and local fire/life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 codes.</w:t>
      </w:r>
    </w:p>
    <w:p>
      <w:pPr>
        <w:autoSpaceDN w:val="0"/>
        <w:autoSpaceDE w:val="0"/>
        <w:widowControl/>
        <w:spacing w:line="264" w:lineRule="auto" w:before="70" w:after="0"/>
        <w:ind w:left="1770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Clarify Roles in Early Design Coordination: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 clear responsibilities for decision-making,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 control, and design verification to avoid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miscommunication between architect, Owner’s Advisor,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clinical leadership.</w:t>
      </w:r>
    </w:p>
    <w:p>
      <w:pPr>
        <w:autoSpaceDN w:val="0"/>
        <w:autoSpaceDE w:val="0"/>
        <w:widowControl/>
        <w:spacing w:line="266" w:lineRule="auto" w:before="70" w:after="0"/>
        <w:ind w:left="1770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Plan for Operational Transitions: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Spaces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designed not just for opening day, but for Day 100, Day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365, and beyond. Think through maintenance, 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flow, infection control, and staff efficiency.</w:t>
      </w:r>
    </w:p>
    <w:p>
      <w:pPr>
        <w:autoSpaceDN w:val="0"/>
        <w:autoSpaceDE w:val="0"/>
        <w:widowControl/>
        <w:spacing w:line="264" w:lineRule="auto" w:before="426" w:after="0"/>
        <w:ind w:left="123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Design as a Bridge Between Strategy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Experience</w:t>
      </w:r>
    </w:p>
    <w:p>
      <w:pPr>
        <w:autoSpaceDN w:val="0"/>
        <w:autoSpaceDE w:val="0"/>
        <w:widowControl/>
        <w:spacing w:line="269" w:lineRule="auto" w:before="152" w:after="198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its best, behavioral health facility design is not about archi-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tecture for its own sake—it is about outcomes. The right layout </w:t>
      </w:r>
    </w:p>
    <w:p>
      <w:pPr>
        <w:sectPr>
          <w:type w:val="nextColumn"/>
          <w:pgSz w:w="17280" w:h="12960"/>
          <w:pgMar w:top="502" w:right="1216" w:bottom="340" w:left="1260" w:header="720" w:footer="720" w:gutter="0"/>
          <w:cols w:num="2" w:equalWidth="0">
            <w:col w:w="7410" w:space="0"/>
            <w:col w:w="73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1"/>
        <w:gridCol w:w="3701"/>
        <w:gridCol w:w="3701"/>
        <w:gridCol w:w="3701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8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Facility Programming and Conceptual Design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1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0" w:right="86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reduces aggression. The right light improves sleep. The right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materials support de-escalation. The right adjacencies reduce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staff fatigue. Design becomes medicine, and the facility be-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comes a silent partner in the healing process.</w:t>
      </w:r>
    </w:p>
    <w:p>
      <w:pPr>
        <w:autoSpaceDN w:val="0"/>
        <w:autoSpaceDE w:val="0"/>
        <w:widowControl/>
        <w:spacing w:line="264" w:lineRule="auto" w:before="254" w:after="0"/>
        <w:ind w:left="0" w:right="84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vision is translated into programming with clarity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discipline, behavioral health buildings become more than plac-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es—they become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instruments of care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They become environ-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ments that elevate clinical performance, reduce stigma,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invite communities to see mental health treatment not as a last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resort, but as a natural and compassionate part of wellness.</w:t>
      </w:r>
    </w:p>
    <w:p>
      <w:pPr>
        <w:autoSpaceDN w:val="0"/>
        <w:autoSpaceDE w:val="0"/>
        <w:widowControl/>
        <w:spacing w:line="264" w:lineRule="auto" w:before="254" w:after="0"/>
        <w:ind w:left="0" w:right="83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 move forward in the Wellspring Manual, we’ll build 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design foundation—exploring how programming becomes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construction, how staffing meets space, and how clinical out-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comes are shaped by every architectural detail. But it all begins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here: with thoughtful planning, engaged collaboration, and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commitment to design that heals.</w:t>
      </w:r>
    </w:p>
    <w:p>
      <w:pPr>
        <w:autoSpaceDN w:val="0"/>
        <w:autoSpaceDE w:val="0"/>
        <w:widowControl/>
        <w:spacing w:line="271" w:lineRule="auto" w:before="248" w:after="4656"/>
        <w:ind w:left="0" w:right="8784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“A building is not just a container. It is a teacher, a tool, a </w:t>
      </w:r>
      <w:r>
        <w:br/>
      </w:r>
      <w:r>
        <w:rPr>
          <w:rFonts w:ascii="TimesNewRomanPS" w:hAnsi="TimesNewRomanPS" w:eastAsia="TimesNewRomanPS"/>
          <w:b/>
          <w:i/>
          <w:color w:val="000000"/>
          <w:sz w:val="24"/>
        </w:rPr>
        <w:t>mirror, and—if done right—a source of hope.”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0"/>
        <w:gridCol w:w="4860"/>
        <w:gridCol w:w="4860"/>
      </w:tblGrid>
      <w:tr>
        <w:trPr>
          <w:trHeight w:hRule="exact" w:val="37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8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28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7280" w:h="12960"/>
          <w:pgMar w:top="502" w:right="14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20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9</w:t>
      </w:r>
    </w:p>
    <w:p>
      <w:pPr>
        <w:autoSpaceDN w:val="0"/>
        <w:autoSpaceDE w:val="0"/>
        <w:widowControl/>
        <w:spacing w:line="264" w:lineRule="auto" w:before="138" w:after="0"/>
        <w:ind w:left="9360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Design Best Practices for Behavioral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Health Care</w:t>
      </w:r>
    </w:p>
    <w:p>
      <w:pPr>
        <w:autoSpaceDN w:val="0"/>
        <w:tabs>
          <w:tab w:pos="9776" w:val="left"/>
          <w:tab w:pos="10994" w:val="left"/>
        </w:tabs>
        <w:autoSpaceDE w:val="0"/>
        <w:widowControl/>
        <w:spacing w:line="266" w:lineRule="auto" w:before="530" w:after="0"/>
        <w:ind w:left="9334" w:right="100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“If you think good design is expensive, you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should look at the cost of bad design.” -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Dr. Ralf Speth.</w:t>
      </w:r>
    </w:p>
    <w:p>
      <w:pPr>
        <w:autoSpaceDN w:val="0"/>
        <w:autoSpaceDE w:val="0"/>
        <w:widowControl/>
        <w:spacing w:line="278" w:lineRule="auto" w:before="368" w:after="0"/>
        <w:ind w:left="0" w:right="264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310" w:lineRule="auto" w:before="222" w:after="0"/>
        <w:ind w:left="88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Best Practices for Behavioral Health Care Facility Design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Big 5 Best Practices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Top 100 Best Practices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Design Documentation Best Practices for Complex Systems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Coordination Between Disciplines for Constructability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Infection Control, Security, Ligature Resistance, and Accessibility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Design for Healing, Treatment, and Recovery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Managing Evolving User Needs Without Compromising Schedule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Owner Review Cycles and Document Control Protocols</w:t>
      </w:r>
    </w:p>
    <w:p>
      <w:pPr>
        <w:autoSpaceDN w:val="0"/>
        <w:autoSpaceDE w:val="0"/>
        <w:widowControl/>
        <w:spacing w:line="278" w:lineRule="auto" w:before="310" w:after="0"/>
        <w:ind w:left="0" w:right="39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Overview</w:t>
      </w:r>
    </w:p>
    <w:p>
      <w:pPr>
        <w:autoSpaceDN w:val="0"/>
        <w:autoSpaceDE w:val="0"/>
        <w:widowControl/>
        <w:spacing w:line="262" w:lineRule="auto" w:before="154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Development is where vision meets precision. It is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technical phase where conceptual layouts evolve into construc-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tion-ready documents. In behavioral health real estate, this step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mission-critical. Behavioral health facilities involve sensitive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populations, highly regulated care environments, and layered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interdisciplinary needs. As such, design must be purposeful,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clinically aligned, code-compliant, cost-aware, and fully coor-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dinated.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123</w:t>
      </w:r>
    </w:p>
    <w:p>
      <w:pPr>
        <w:sectPr>
          <w:pgSz w:w="17280" w:h="12960"/>
          <w:pgMar w:top="964" w:right="120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is structured around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six essential components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facility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with a focus on The BIG 5 and The 100 Best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Practices of Design and risk mitigation strategies for real estate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professionals, developers, owner’s advisors, architects,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clinical operators.</w:t>
      </w:r>
    </w:p>
    <w:p>
      <w:pPr>
        <w:autoSpaceDN w:val="0"/>
        <w:autoSpaceDE w:val="0"/>
        <w:widowControl/>
        <w:spacing w:line="264" w:lineRule="auto" w:before="426" w:after="0"/>
        <w:ind w:left="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BEST PRACTICES for Behavioral HealthCare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Facility Design</w:t>
      </w:r>
    </w:p>
    <w:p>
      <w:pPr>
        <w:autoSpaceDN w:val="0"/>
        <w:autoSpaceDE w:val="0"/>
        <w:widowControl/>
        <w:spacing w:line="264" w:lineRule="auto" w:before="504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Introduction: The Impact of Design Excellence in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is one of the most powerful tools we have in shaping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outcomes. The environment influences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patients heal, how staff perform, and how systems function.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High-quality, well-coordinated design in behavioral health 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settings does more than meet basic standards—it directly con-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tributes to safety, dignity, operational efficiency, cost control,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long-term community impact.</w:t>
      </w:r>
    </w:p>
    <w:p>
      <w:pPr>
        <w:autoSpaceDN w:val="0"/>
        <w:autoSpaceDE w:val="0"/>
        <w:widowControl/>
        <w:spacing w:line="266" w:lineRule="auto" w:before="25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from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Center for Health Design (CHD)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American Institute of Architects (AIA)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shows that evi-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dence-based design in behavioral health facilities leads to: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30–50% improvement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patient satisfaction and quality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experience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20–25% reduction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aggressive behaviors and use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restraints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15–18% decrease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elopement and self-harm incidents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Up to 40% improvement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staff retention and job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satisfaction</w:t>
      </w:r>
    </w:p>
    <w:p>
      <w:pPr>
        <w:autoSpaceDN w:val="0"/>
        <w:autoSpaceDE w:val="0"/>
        <w:widowControl/>
        <w:spacing w:line="266" w:lineRule="auto" w:before="7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Design-Build Institute of America (DBIA)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2023 Benchmarking Report, projects that incorporate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coordination early in the process:</w:t>
      </w:r>
    </w:p>
    <w:p>
      <w:pPr>
        <w:sectPr>
          <w:type w:val="continuous"/>
          <w:pgSz w:w="17280" w:h="12960"/>
          <w:pgMar w:top="500" w:right="1180" w:bottom="340" w:left="1260" w:header="720" w:footer="720" w:gutter="0"/>
          <w:cols w:num="2" w:equalWidth="0">
            <w:col w:w="7386" w:space="0"/>
            <w:col w:w="7454" w:space="0"/>
          </w:cols>
          <w:docGrid w:linePitch="360"/>
        </w:sectPr>
      </w:pPr>
    </w:p>
    <w:p>
      <w:pPr>
        <w:autoSpaceDN w:val="0"/>
        <w:tabs>
          <w:tab w:pos="1794" w:val="left"/>
        </w:tabs>
        <w:autoSpaceDE w:val="0"/>
        <w:widowControl/>
        <w:spacing w:line="269" w:lineRule="auto" w:before="0" w:after="0"/>
        <w:ind w:left="16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43% more likely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be completed on time and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budget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0" w:after="0"/>
        <w:ind w:left="161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Experience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50% fewer change orders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during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0" w:after="0"/>
        <w:ind w:left="161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Report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faster licensing approval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operational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readiness</w:t>
      </w:r>
    </w:p>
    <w:p>
      <w:pPr>
        <w:autoSpaceDN w:val="0"/>
        <w:autoSpaceDE w:val="0"/>
        <w:widowControl/>
        <w:spacing w:line="264" w:lineRule="auto" w:before="74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What makes design truly effective in this space is not just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looks—but how it works. Healing-centered design blends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architecture, behavioral science, clinical insight, and commu-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nity engagement. When done well, it reduces operational costs,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improves safety, enhances program flexibility, and inspires trust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pride from staff and patients alike.</w:t>
      </w:r>
    </w:p>
    <w:p>
      <w:pPr>
        <w:autoSpaceDN w:val="0"/>
        <w:autoSpaceDE w:val="0"/>
        <w:widowControl/>
        <w:spacing w:line="264" w:lineRule="auto" w:before="250" w:after="0"/>
        <w:ind w:left="125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this chapter, we summarize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Top 100 Best Practices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Behavioral Health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from trauma-informed principles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biophilic strategies to adaptable layouts and affordable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constructability. We explore how early involvement of expe-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rienced design teams—including Owner’s Advisors—helps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 environments that are clinically responsive, financially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sustainable, and socially meaningful.</w:t>
      </w:r>
    </w:p>
    <w:p>
      <w:pPr>
        <w:autoSpaceDN w:val="0"/>
        <w:autoSpaceDE w:val="0"/>
        <w:widowControl/>
        <w:spacing w:line="266" w:lineRule="auto" w:before="254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 where healthcare architecture becomes more than bricks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mortar—it becomes a catalyst for healing, safety, and hu-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 dignity.</w:t>
      </w:r>
    </w:p>
    <w:p>
      <w:pPr>
        <w:autoSpaceDN w:val="0"/>
        <w:autoSpaceDE w:val="0"/>
        <w:widowControl/>
        <w:spacing w:line="264" w:lineRule="auto" w:before="606" w:after="0"/>
        <w:ind w:left="125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BIG 5 Best Practices for Behavioral Health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Design Excellence</w:t>
      </w:r>
    </w:p>
    <w:p>
      <w:pPr>
        <w:autoSpaceDN w:val="0"/>
        <w:autoSpaceDE w:val="0"/>
        <w:widowControl/>
        <w:spacing w:line="264" w:lineRule="auto" w:before="152" w:after="234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Designing for behavioral health care is not simply about meet-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ing codes or achieving operational efficiency—it is about cre-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ating dignified, therapeutic environments that uplift, heal,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empower. Environments directly affect clinical outcomes, staff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well-being, patient recovery, and long-term operational sustain-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ability. According to the American Institute of Architects (AIA) </w:t>
      </w:r>
    </w:p>
    <w:p>
      <w:pPr>
        <w:sectPr>
          <w:type w:val="nextColumn"/>
          <w:pgSz w:w="17280" w:h="12960"/>
          <w:pgMar w:top="500" w:right="1180" w:bottom="340" w:left="1260" w:header="720" w:footer="720" w:gutter="0"/>
          <w:cols w:num="2" w:equalWidth="0">
            <w:col w:w="7386" w:space="0"/>
            <w:col w:w="74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the Center for Health Design (CHD), behavioral health fa-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cilities designed with evidence-based strategies report 30–50%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higher patient satisfaction, lower incidents of aggression,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improved staff retention.</w:t>
      </w:r>
    </w:p>
    <w:p>
      <w:pPr>
        <w:autoSpaceDN w:val="0"/>
        <w:autoSpaceDE w:val="0"/>
        <w:widowControl/>
        <w:spacing w:line="250" w:lineRule="auto" w:before="21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Here are the foundational pillars—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The Big 5 Best Practic-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—that must guide every behavioral health facility’s architec-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tural journey:</w:t>
      </w:r>
    </w:p>
    <w:p>
      <w:pPr>
        <w:autoSpaceDN w:val="0"/>
        <w:autoSpaceDE w:val="0"/>
        <w:widowControl/>
        <w:spacing w:line="264" w:lineRule="auto" w:before="516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 Trauma-Informed and Neurologically Attuned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Design</w:t>
      </w:r>
    </w:p>
    <w:p>
      <w:pPr>
        <w:autoSpaceDN w:val="0"/>
        <w:autoSpaceDE w:val="0"/>
        <w:widowControl/>
        <w:spacing w:line="262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environments that minimize cognitive overload, prior-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itize emotional regulation, and promote safety. Individuals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treatment often experience heightened sen-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sitivity to noise, light, and unpredictability. Trauma-informed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incorporates soft finishes, muted color palettes,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simple layouts that reduce stress and foster control.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shows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34% reduction in agitation-related incidents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22% decrease in restraint use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trauma-informed spaces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(CHD, 2022). </w:t>
      </w:r>
    </w:p>
    <w:p>
      <w:pPr>
        <w:autoSpaceDN w:val="0"/>
        <w:autoSpaceDE w:val="0"/>
        <w:widowControl/>
        <w:spacing w:line="278" w:lineRule="auto" w:before="2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Biophilic Design</w:t>
      </w:r>
    </w:p>
    <w:p>
      <w:pPr>
        <w:autoSpaceDN w:val="0"/>
        <w:autoSpaceDE w:val="0"/>
        <w:widowControl/>
        <w:spacing w:line="264" w:lineRule="auto" w:before="24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Reconnect patients and staff with natural systems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daylight, green views, organic textures, and environmental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rhythms. Access to daylight has been shown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reduce depres-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sion symptoms by 30%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accelerate patient recovery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15–20%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(Ulrich, 1984; Terrapin Bright Green, 2021). Bio-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philic spaces lower cortisol levels, promote circadian rhythm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alignment, and increase staff alertness and satisfaction.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68" w:space="0"/>
            <w:col w:w="741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Outdoor Therapeutic Spaces</w:t>
      </w:r>
    </w:p>
    <w:p>
      <w:pPr>
        <w:autoSpaceDN w:val="0"/>
        <w:autoSpaceDE w:val="0"/>
        <w:widowControl/>
        <w:spacing w:line="262" w:lineRule="auto" w:before="242" w:after="0"/>
        <w:ind w:left="1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Healing gardens, enclosed courtyards, patios for group thera-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py, and nature-based programming create immersive recovery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experiences. According to the University of Washington’s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partment of Psychiatry (2021), facilities incorporating outdoor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therapeutic zones report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 17% drop in medication reliance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20% higher patient engagement rates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These spaces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movement, reduce agitation, and offer calming escape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routes for de-escalation.</w:t>
      </w:r>
    </w:p>
    <w:p>
      <w:pPr>
        <w:autoSpaceDN w:val="0"/>
        <w:autoSpaceDE w:val="0"/>
        <w:widowControl/>
        <w:spacing w:line="278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Flexible Layouts and Universal Design</w:t>
      </w:r>
    </w:p>
    <w:p>
      <w:pPr>
        <w:autoSpaceDN w:val="0"/>
        <w:autoSpaceDE w:val="0"/>
        <w:widowControl/>
        <w:spacing w:line="262" w:lineRule="auto" w:before="242" w:after="0"/>
        <w:ind w:left="1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for adaptability—program spaces to evolve with chang-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care models, census levels, or regulatory needs. Using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universal room types, demountable walls, and infrastructure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future services (e.g., shelled space) ensures capital efficien-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cy. The AIA’s 2022 Design for Adaptability report found that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flexible design reduces renovation costs by up to 40%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over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facility’s life cycle and improves readiness for integrated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models.</w:t>
      </w:r>
    </w:p>
    <w:p>
      <w:pPr>
        <w:autoSpaceDN w:val="0"/>
        <w:autoSpaceDE w:val="0"/>
        <w:widowControl/>
        <w:spacing w:line="264" w:lineRule="auto" w:before="244" w:after="0"/>
        <w:ind w:left="127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Strategic Design Leadership and Owner’s Advi-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sor Oversight</w:t>
      </w:r>
    </w:p>
    <w:p>
      <w:pPr>
        <w:autoSpaceDN w:val="0"/>
        <w:autoSpaceDE w:val="0"/>
        <w:widowControl/>
        <w:spacing w:line="262" w:lineRule="auto" w:before="242" w:after="744"/>
        <w:ind w:left="12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Early involvement of an Owner’s Advisor—paired with health-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care-specialized architects—ensures that every design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supports the facility’s clinical mission, funding strategy,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long-term sustainability. According to the 2023 DBIA Bench-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marking Report, projects with an Owner’s Advisor involved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pre-design are 43% more likely to be delivered on 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under budget, with 50% fewer change orders and signifi-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cantly smoother licensing outcomes. These leaders align tech-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nical details with operational realities.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68" w:space="0"/>
            <w:col w:w="74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126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sectPr>
          <w:pgSz w:w="17280" w:h="12960"/>
          <w:pgMar w:top="492" w:right="119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Together, these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BIG 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best practices form the bedrock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high-performing, human-centered behavioral health archi-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tecture. The spaces we build speak not only to function—but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dignity, hope, and transformation. The rest of this chapter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builds upon these principles to outline the top 100 design best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practices shaping the future of behavioral health care.</w:t>
      </w:r>
    </w:p>
    <w:p>
      <w:pPr>
        <w:autoSpaceDN w:val="0"/>
        <w:autoSpaceDE w:val="0"/>
        <w:widowControl/>
        <w:spacing w:line="264" w:lineRule="auto" w:before="606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Role of the Owner’s Advisor in Design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Oversight</w:t>
      </w:r>
    </w:p>
    <w:p>
      <w:pPr>
        <w:autoSpaceDN w:val="0"/>
        <w:autoSpaceDE w:val="0"/>
        <w:widowControl/>
        <w:spacing w:line="276" w:lineRule="auto" w:before="1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Owner’s Advisor ensures: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Alignment with licensure, mission, and clinical models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Schedule and scope clarity throughout design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Real-time feedback integration from operators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funders</w:t>
      </w:r>
    </w:p>
    <w:p>
      <w:pPr>
        <w:autoSpaceDN w:val="0"/>
        <w:autoSpaceDE w:val="0"/>
        <w:widowControl/>
        <w:spacing w:line="266" w:lineRule="auto" w:before="16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with full Owner’s Advisor involvement during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43% more likely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complete on time and under budget,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experience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50% fewer redesign delays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(DBIA 2023). </w:t>
      </w:r>
    </w:p>
    <w:p>
      <w:pPr>
        <w:autoSpaceDN w:val="0"/>
        <w:autoSpaceDE w:val="0"/>
        <w:widowControl/>
        <w:spacing w:line="278" w:lineRule="auto" w:before="33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Building a Brighter Future Through Design</w:t>
      </w:r>
    </w:p>
    <w:p>
      <w:pPr>
        <w:autoSpaceDN w:val="0"/>
        <w:autoSpaceDE w:val="0"/>
        <w:widowControl/>
        <w:spacing w:line="264" w:lineRule="auto" w:before="24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is policy in built form. It expresses dignity, hope,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 in the most tangible way. With research-backed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strategies and cross-functional teamwork, we can build facili-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ties that truly heal.</w:t>
      </w:r>
    </w:p>
    <w:p>
      <w:pPr>
        <w:autoSpaceDN w:val="0"/>
        <w:autoSpaceDE w:val="0"/>
        <w:widowControl/>
        <w:spacing w:line="269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 look ahead, design priorities in behavioral health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remain: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Patient-centered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Nature-connected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Future-adaptable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Collaboratively crafted</w:t>
      </w:r>
    </w:p>
    <w:p>
      <w:pPr>
        <w:sectPr>
          <w:type w:val="continuous"/>
          <w:pgSz w:w="17280" w:h="12960"/>
          <w:pgMar w:top="492" w:right="1194" w:bottom="340" w:left="1260" w:header="720" w:footer="720" w:gutter="0"/>
          <w:cols w:num="2" w:equalWidth="0">
            <w:col w:w="7344" w:space="0"/>
            <w:col w:w="748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96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Top 100 Best Practices for Behavioral Health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Care Design </w:t>
      </w:r>
    </w:p>
    <w:p>
      <w:pPr>
        <w:autoSpaceDN w:val="0"/>
        <w:tabs>
          <w:tab w:pos="1960" w:val="left"/>
          <w:tab w:pos="3078" w:val="left"/>
        </w:tabs>
        <w:autoSpaceDE w:val="0"/>
        <w:widowControl/>
        <w:spacing w:line="266" w:lineRule="auto" w:before="328" w:after="0"/>
        <w:ind w:left="1314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“When you change the design of a space, you change the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experience of the people who enter it.” — Dr. Eve </w:t>
      </w:r>
      <w:r>
        <w:tab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Edelstein, Neuro-Architect</w:t>
      </w:r>
    </w:p>
    <w:p>
      <w:pPr>
        <w:autoSpaceDN w:val="0"/>
        <w:autoSpaceDE w:val="0"/>
        <w:widowControl/>
        <w:spacing w:line="264" w:lineRule="auto" w:before="314" w:after="0"/>
        <w:ind w:left="129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following 100 best practices integrate the most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research, thought leadership, and proven strategies in archi-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tecture, planning, and healthcare design. They are intended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inspire and integrate into the finest formulations. </w:t>
      </w:r>
    </w:p>
    <w:p>
      <w:pPr>
        <w:autoSpaceDN w:val="0"/>
        <w:autoSpaceDE w:val="0"/>
        <w:widowControl/>
        <w:spacing w:line="264" w:lineRule="auto" w:before="250" w:after="0"/>
        <w:ind w:left="1836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 Trauma-Informed and Neurologically Attuned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cognitive and emotional stability by minimizing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sensory overload and environmental triggers. Design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soft textures, low-stimulation color schemes, and clear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spatial organization. Trauma-informed environments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 patient restraint rates by up to 40% (SAMHSA,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2021).</w:t>
      </w:r>
    </w:p>
    <w:p>
      <w:pPr>
        <w:autoSpaceDN w:val="0"/>
        <w:autoSpaceDE w:val="0"/>
        <w:widowControl/>
        <w:spacing w:line="264" w:lineRule="auto" w:before="70" w:after="0"/>
        <w:ind w:left="183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 Biophilic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 natural elements—light, greenery, and organic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forms—to promote psychological recovery.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nature reduces agitation by 30% and accelerates healing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15% (Terrapin Bright Green, 2021).</w:t>
      </w:r>
    </w:p>
    <w:p>
      <w:pPr>
        <w:autoSpaceDN w:val="0"/>
        <w:autoSpaceDE w:val="0"/>
        <w:widowControl/>
        <w:spacing w:line="264" w:lineRule="auto" w:before="70" w:after="0"/>
        <w:ind w:left="1836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Outdoor Therapeutic Spaces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walking paths, garden patios, and shaded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gathering areas. These features are associated with a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decrease in anxiety medication usage and foster physical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activity and social connection (University of Washington,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2021).</w:t>
      </w:r>
    </w:p>
    <w:p>
      <w:pPr>
        <w:autoSpaceDN w:val="0"/>
        <w:autoSpaceDE w:val="0"/>
        <w:widowControl/>
        <w:spacing w:line="266" w:lineRule="auto" w:before="70" w:after="636"/>
        <w:ind w:left="183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 Flexible Layouts and Modular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with future adaptability in mind. Modular rooms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demountable partitions support shifting treatment </w:t>
      </w:r>
    </w:p>
    <w:p>
      <w:pPr>
        <w:sectPr>
          <w:type w:val="nextColumn"/>
          <w:pgSz w:w="17280" w:h="12960"/>
          <w:pgMar w:top="492" w:right="1194" w:bottom="340" w:left="1260" w:header="720" w:footer="720" w:gutter="0"/>
          <w:cols w:num="2" w:equalWidth="0">
            <w:col w:w="7344" w:space="0"/>
            <w:col w:w="748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6"/>
        <w:gridCol w:w="3706"/>
        <w:gridCol w:w="3706"/>
        <w:gridCol w:w="3706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9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sectPr>
          <w:pgSz w:w="17280" w:h="12960"/>
          <w:pgMar w:top="498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models and growth. Facilities using this approach reduce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renovation costs by 18% (DBIA, 2022).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Strategic Design Leadership and Owner’s Advisor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Oversight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 Owner’s Advisors and healthcare architects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day one. According to DBIA (2023), projects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Advisors from pre-design are 43% more likely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meet schedule and 32% more likely to meet budget.</w:t>
      </w:r>
    </w:p>
    <w:p>
      <w:pPr>
        <w:autoSpaceDN w:val="0"/>
        <w:autoSpaceDE w:val="0"/>
        <w:widowControl/>
        <w:spacing w:line="264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 Abundant Natural Light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for daylight penetration in patient rooms,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corridors, and lounges. Exposure to daylight can shorten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hospital stays by 11% and decrease depression symptoms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15% (Ulrich, 1984).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 Green Views and Exterior Vistas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sightlines to greenery or natural scenes.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 stress hormone levels and aggressive incidents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up to 20% (CHD, 2022).</w:t>
      </w:r>
    </w:p>
    <w:p>
      <w:pPr>
        <w:autoSpaceDN w:val="0"/>
        <w:autoSpaceDE w:val="0"/>
        <w:widowControl/>
        <w:spacing w:line="264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 Acoustic Comfort and Sound Dampening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noise-reducing materials and layout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strategies. Better acoustics can lower incidents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agitation and improve staff concentration, reducing errors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12% (AIA, 2022).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9. Non-Institutional Aesthetic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with residential-like touches: soft finishes, warm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lighting, and familiar forms. These environments reduce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stigma and improve patient satisfaction scores by 25%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(Center for Health Design, 2022).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10. Patient-Controlled Environments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patients with control over lighting, temperature,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sensory inputs. Empowerment correlates with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increased engagement and a 30% drop in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outbursts (NIH, 2021).</w:t>
      </w:r>
    </w:p>
    <w:p>
      <w:pPr>
        <w:sectPr>
          <w:type w:val="continuous"/>
          <w:pgSz w:w="17280" w:h="12960"/>
          <w:pgMar w:top="498" w:right="1202" w:bottom="340" w:left="1260" w:header="720" w:footer="720" w:gutter="0"/>
          <w:cols w:num="2" w:equalWidth="0">
            <w:col w:w="7522" w:space="0"/>
            <w:col w:w="729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5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11. Post-Occupancy Evaluations (POEs)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 structured POEs at 6 and 12 months.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POEs improve design standards over time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boost patient satisfaction scores by 22%.</w:t>
      </w:r>
    </w:p>
    <w:p>
      <w:pPr>
        <w:autoSpaceDN w:val="0"/>
        <w:autoSpaceDE w:val="0"/>
        <w:widowControl/>
        <w:spacing w:line="266" w:lineRule="auto" w:before="70" w:after="0"/>
        <w:ind w:left="165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12. Sensory Integration Zones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calming multisensory spaces for grounding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regulation. Used effectively, these reduce use of seclusion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rooms by 35% (SAMHSA, 2020).</w:t>
      </w:r>
    </w:p>
    <w:p>
      <w:pPr>
        <w:autoSpaceDN w:val="0"/>
        <w:autoSpaceDE w:val="0"/>
        <w:widowControl/>
        <w:spacing w:line="266" w:lineRule="auto" w:before="70" w:after="0"/>
        <w:ind w:left="165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 Cultural and Community Representation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culturally relevant motifs, languages,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rituals into space. Cultural alignment boosts patient trust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increases care access by 12–18%.</w:t>
      </w:r>
    </w:p>
    <w:p>
      <w:pPr>
        <w:autoSpaceDN w:val="0"/>
        <w:autoSpaceDE w:val="0"/>
        <w:widowControl/>
        <w:spacing w:line="264" w:lineRule="auto" w:before="70" w:after="0"/>
        <w:ind w:left="165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14. Safety Through Visibility and Passive Observation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with sightlines that maintain supervision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surveillance. Transparent partitions reduce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incidents by 28% (AIA Behavioral Health Guidelines,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2022).</w:t>
      </w:r>
    </w:p>
    <w:p>
      <w:pPr>
        <w:autoSpaceDN w:val="0"/>
        <w:autoSpaceDE w:val="0"/>
        <w:widowControl/>
        <w:spacing w:line="266" w:lineRule="auto" w:before="70" w:after="0"/>
        <w:ind w:left="165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15. Gender-Inclusive and Identity-Affirming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privacy and dignity across all identities. Gender-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affirming designs increase patient comfort and reduce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early discharge rates.</w:t>
      </w:r>
    </w:p>
    <w:p>
      <w:pPr>
        <w:autoSpaceDN w:val="0"/>
        <w:autoSpaceDE w:val="0"/>
        <w:widowControl/>
        <w:spacing w:line="266" w:lineRule="auto" w:before="70" w:after="0"/>
        <w:ind w:left="165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16. Wayfinding and Orientation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intuitive layouts, colors, and symbols. Good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wayfinding decreases disorientation and improves 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navigation confidence by 40%.</w:t>
      </w:r>
    </w:p>
    <w:p>
      <w:pPr>
        <w:autoSpaceDN w:val="0"/>
        <w:autoSpaceDE w:val="0"/>
        <w:widowControl/>
        <w:spacing w:line="266" w:lineRule="auto" w:before="70" w:after="0"/>
        <w:ind w:left="165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17. Calming Zones for De-Escalation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sensory modulation rooms with dim lighting, soft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seating, and tactile tools. These areas cut restraint use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29% in clinical trials (NIH, 2021).</w:t>
      </w:r>
    </w:p>
    <w:p>
      <w:pPr>
        <w:autoSpaceDN w:val="0"/>
        <w:autoSpaceDE w:val="0"/>
        <w:widowControl/>
        <w:spacing w:line="266" w:lineRule="auto" w:before="70" w:after="400"/>
        <w:ind w:left="1658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18. Staff Zones that Promote Wellness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break rooms, reflection areas, and team huddle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spaces. These features reduce burnout risk by 21%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improve staff retention.</w:t>
      </w:r>
    </w:p>
    <w:p>
      <w:pPr>
        <w:sectPr>
          <w:type w:val="nextColumn"/>
          <w:pgSz w:w="17280" w:h="12960"/>
          <w:pgMar w:top="498" w:right="1202" w:bottom="340" w:left="1260" w:header="720" w:footer="720" w:gutter="0"/>
          <w:cols w:num="2" w:equalWidth="0">
            <w:col w:w="7522" w:space="0"/>
            <w:col w:w="729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4"/>
        <w:gridCol w:w="3704"/>
        <w:gridCol w:w="3704"/>
        <w:gridCol w:w="3704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19. Family Engagement Areas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supportive environments for family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interactions—quiet rooms, therapy lounges, and visitation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suites. Involved families improve treatment outcomes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18%.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20. Compact and Intuitive Circulation Paths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 corridor confusion with looped and landmarked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pathways. Streamlined layouts enhance safety and lower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staff response times.</w:t>
      </w:r>
    </w:p>
    <w:p>
      <w:pPr>
        <w:autoSpaceDN w:val="0"/>
        <w:autoSpaceDE w:val="0"/>
        <w:widowControl/>
        <w:spacing w:line="266" w:lineRule="auto" w:before="70" w:after="0"/>
        <w:ind w:left="540" w:right="187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21. Accessible and Ergonomic Workstations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 adjustable desks and inclusive nurse stations.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Ergonomically supportive environments reduce staff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injury rates by 14%.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22. Hands-Free Fixtures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 motion-activated doors, sinks, and waste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improve hygiene and reduce transmission of infection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up to 40%.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23. Smart Facility Systems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IoT technology to track occupancy, air quality,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maintenance needs. Smart systems lower operational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costs and enhance safety.</w:t>
      </w:r>
    </w:p>
    <w:p>
      <w:pPr>
        <w:autoSpaceDN w:val="0"/>
        <w:autoSpaceDE w:val="0"/>
        <w:widowControl/>
        <w:spacing w:line="266" w:lineRule="auto" w:before="70" w:after="0"/>
        <w:ind w:left="540" w:right="187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24. Integrated Wellness Studios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Allocate space for yoga, art, or mindfulness therapy.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reduce patient anxiety and enhance holistic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recovery approaches.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25. Emergency Egress That Supports Calm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exits with low-profile, code-compliant fixtures.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Aesthetic alignment reduces exit-related distress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panic.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26. Anti-Ligature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Specify fixtures and fittings that eliminate self-harm risks.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Comprehensive anti-ligature planning is now a baseline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 expectation.</w:t>
      </w:r>
    </w:p>
    <w:p>
      <w:pPr>
        <w:sectPr>
          <w:type w:val="continuous"/>
          <w:pgSz w:w="17280" w:h="12960"/>
          <w:pgMar w:top="498" w:right="1188" w:bottom="340" w:left="1260" w:header="720" w:footer="720" w:gutter="0"/>
          <w:cols w:num="2" w:equalWidth="0">
            <w:col w:w="7542" w:space="0"/>
            <w:col w:w="72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3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27. Secure Medication and Supply Areas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multi-tiered access control and strategic placement.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Secure design reduces medication diversion and improves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compliance.</w:t>
      </w:r>
    </w:p>
    <w:p>
      <w:pPr>
        <w:autoSpaceDN w:val="0"/>
        <w:autoSpaceDE w:val="0"/>
        <w:widowControl/>
        <w:spacing w:line="266" w:lineRule="auto" w:before="70" w:after="0"/>
        <w:ind w:left="163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28. Sustainable Materials and Clean Air Strategies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Specify low-VOC paints, non-toxic flooring, and HEPA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air filtration. Green buildings report a 20% decrease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asthma and respiratory complaints.</w:t>
      </w:r>
    </w:p>
    <w:p>
      <w:pPr>
        <w:autoSpaceDN w:val="0"/>
        <w:autoSpaceDE w:val="0"/>
        <w:widowControl/>
        <w:spacing w:line="266" w:lineRule="auto" w:before="70" w:after="0"/>
        <w:ind w:left="1638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29. Adaptive Lighting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tunable LEDs and daylight sensors to match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circadian rhythms. Circadian lighting improves sleep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cycles and reduces aggression.</w:t>
      </w:r>
    </w:p>
    <w:p>
      <w:pPr>
        <w:autoSpaceDN w:val="0"/>
        <w:autoSpaceDE w:val="0"/>
        <w:widowControl/>
        <w:spacing w:line="264" w:lineRule="auto" w:before="70" w:after="0"/>
        <w:ind w:left="163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30. Mock-Up and Simulation Testing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 staff, clinicians, and peer navigators in physical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virtual mock-ups. Simulation testing reveals spatial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inefficiencies, improves clinical workflow, and reduces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future change orders by up to 22% (DBIA, 2023).</w:t>
      </w:r>
    </w:p>
    <w:p>
      <w:pPr>
        <w:autoSpaceDN w:val="0"/>
        <w:autoSpaceDE w:val="0"/>
        <w:widowControl/>
        <w:spacing w:line="266" w:lineRule="auto" w:before="70" w:after="0"/>
        <w:ind w:left="163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31. Zoned Thermal Comfort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temperature zones based on building orientation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usage. Zoned HVAC improves energy efficiency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18% and occupant satisfaction by 27% (ASHRAE, 2021).</w:t>
      </w:r>
    </w:p>
    <w:p>
      <w:pPr>
        <w:autoSpaceDN w:val="0"/>
        <w:autoSpaceDE w:val="0"/>
        <w:widowControl/>
        <w:spacing w:line="264" w:lineRule="auto" w:before="70" w:after="0"/>
        <w:ind w:left="163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32. Clear Infection Control Pathways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with separate clean and soiled utility routes,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 sinks at all key entry points. Facilities with distinct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hygiene pathways report 35% fewer infection outbreaks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(CDC Healthcare Facilities Report, 2022).</w:t>
      </w:r>
    </w:p>
    <w:p>
      <w:pPr>
        <w:autoSpaceDN w:val="0"/>
        <w:autoSpaceDE w:val="0"/>
        <w:widowControl/>
        <w:spacing w:line="264" w:lineRule="auto" w:before="70" w:after="0"/>
        <w:ind w:left="163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33. Shell Space for Expansion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unfinished space for future growth. Shelling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reduces future construction disruption and allows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expansion at a cost savings of up to 40% compared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builds (AIA, 2022).</w:t>
      </w:r>
    </w:p>
    <w:p>
      <w:pPr>
        <w:autoSpaceDN w:val="0"/>
        <w:tabs>
          <w:tab w:pos="1638" w:val="left"/>
        </w:tabs>
        <w:autoSpaceDE w:val="0"/>
        <w:widowControl/>
        <w:spacing w:line="269" w:lineRule="auto" w:before="70" w:after="400"/>
        <w:ind w:left="136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34. Mixed-Use Integration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Locate behavioral health centers near transit, housing, </w:t>
      </w:r>
    </w:p>
    <w:p>
      <w:pPr>
        <w:sectPr>
          <w:type w:val="nextColumn"/>
          <w:pgSz w:w="17280" w:h="12960"/>
          <w:pgMar w:top="498" w:right="1188" w:bottom="340" w:left="1260" w:header="720" w:footer="720" w:gutter="0"/>
          <w:cols w:num="2" w:equalWidth="0">
            <w:col w:w="7542" w:space="0"/>
            <w:col w:w="72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8"/>
        <w:gridCol w:w="3708"/>
        <w:gridCol w:w="3708"/>
        <w:gridCol w:w="3708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8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19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social resources. Mixed-use adjacency improves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 follow-up rates and community integration.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35. Interdisciplinary Team Reviews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clinicians, therapists, administrators, peer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supporters, and operational leads in early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charrettes. This inclusive method enhances functionality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reduces rework by 28% (CHD, 2022).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36. Embedded Digital Infrastructure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for seamless telehealth, EMR access, and device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integration. Digitally enabled facilities increase clinical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efficiency by 19% and reduce paperwork time (HealthIT.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gov).</w:t>
      </w:r>
    </w:p>
    <w:p>
      <w:pPr>
        <w:autoSpaceDN w:val="0"/>
        <w:autoSpaceDE w:val="0"/>
        <w:widowControl/>
        <w:spacing w:line="264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37. Continuous Design Feedback Loops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Hold monthly user reviews to adapt to licensing updates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stakeholder needs. Agile feedback integration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improves project satisfaction and cuts late-stage revisions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31%.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38. Resident Artwork and Identity Expression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patient-made murals or visual storytelling. </w:t>
      </w:r>
    </w:p>
    <w:p>
      <w:pPr>
        <w:autoSpaceDN w:val="0"/>
        <w:autoSpaceDE w:val="0"/>
        <w:widowControl/>
        <w:spacing w:line="269" w:lineRule="auto" w:before="0" w:after="0"/>
        <w:ind w:left="54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promotes pride, reduces anxiety, and supports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identity affirmation.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39. Warm, Durable Finishes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antimicrobial, easy-to-clean finishes with warm tones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tactile softness. Combines safety with a hospitality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feel, increasing perceived safety and comfort.</w:t>
      </w:r>
    </w:p>
    <w:p>
      <w:pPr>
        <w:autoSpaceDN w:val="0"/>
        <w:autoSpaceDE w:val="0"/>
        <w:widowControl/>
        <w:spacing w:line="264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40. Healing Pathways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interior or exterior walking loops with wayfinding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markers. These movement-focused paths enhance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orientation, reduce restlessness, and support trauma-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informed care.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41. Multi-Sensory Engagement Spaces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Spaces with calming scents, tactile materials,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soundscapes engage the senses and support patients with </w:t>
      </w:r>
    </w:p>
    <w:p>
      <w:pPr>
        <w:sectPr>
          <w:type w:val="continuous"/>
          <w:pgSz w:w="17280" w:h="12960"/>
          <w:pgMar w:top="502" w:right="1194" w:bottom="340" w:left="1260" w:header="720" w:footer="720" w:gutter="0"/>
          <w:cols w:num="2" w:equalWidth="0">
            <w:col w:w="7538" w:space="0"/>
            <w:col w:w="72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sensory integration challenges. Evidence from sensory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rooms in psychiatric units shows a 25% drop in agitation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incidents (BMC Psychiatry, 2020).</w:t>
      </w:r>
    </w:p>
    <w:p>
      <w:pPr>
        <w:autoSpaceDN w:val="0"/>
        <w:autoSpaceDE w:val="0"/>
        <w:widowControl/>
        <w:spacing w:line="264" w:lineRule="auto" w:before="70" w:after="0"/>
        <w:ind w:left="164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42. High-Impact Entry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entry experience should be warm, dignified,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staffed with trauma-informed personnel. A welcoming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entrance can reduce patient drop-off by up to 15% (AIA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and Health Research Consortium, 2021).</w:t>
      </w:r>
    </w:p>
    <w:p>
      <w:pPr>
        <w:autoSpaceDN w:val="0"/>
        <w:autoSpaceDE w:val="0"/>
        <w:widowControl/>
        <w:spacing w:line="266" w:lineRule="auto" w:before="70" w:after="0"/>
        <w:ind w:left="164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43. Visibility Without Surveillance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subtle visual oversight strategies like glass vision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panels and clerestory windows to maintain privacy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ensuring safety.</w:t>
      </w:r>
    </w:p>
    <w:p>
      <w:pPr>
        <w:autoSpaceDN w:val="0"/>
        <w:autoSpaceDE w:val="0"/>
        <w:widowControl/>
        <w:spacing w:line="264" w:lineRule="auto" w:before="70" w:after="0"/>
        <w:ind w:left="164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44. Empowerment Through Wayfinding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Empowered patients navigate space with confidence.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intuitive design over signage. Studies show intuitive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layouts reduce anxiety and improve early treatment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adherence by 12% (CHD, 2019).</w:t>
      </w:r>
    </w:p>
    <w:p>
      <w:pPr>
        <w:autoSpaceDN w:val="0"/>
        <w:autoSpaceDE w:val="0"/>
        <w:widowControl/>
        <w:spacing w:line="266" w:lineRule="auto" w:before="70" w:after="0"/>
        <w:ind w:left="1642" w:right="57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45. Connection to the Local Ecology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native plants and local materials that reflect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 identity and regional environment.</w:t>
      </w:r>
    </w:p>
    <w:p>
      <w:pPr>
        <w:autoSpaceDN w:val="0"/>
        <w:autoSpaceDE w:val="0"/>
        <w:widowControl/>
        <w:spacing w:line="266" w:lineRule="auto" w:before="70" w:after="0"/>
        <w:ind w:left="164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46. Continuous Outdoor-Indoor Transitions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 transitional areas such as verandas, covered patios,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winter gardens to bridge indoor and outdoor spaces.</w:t>
      </w:r>
    </w:p>
    <w:p>
      <w:pPr>
        <w:autoSpaceDN w:val="0"/>
        <w:autoSpaceDE w:val="0"/>
        <w:widowControl/>
        <w:spacing w:line="266" w:lineRule="auto" w:before="70" w:after="0"/>
        <w:ind w:left="164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47. Discreet Security Integration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Blend security systems into architectural features. Visible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 non-intrusive security reduces patient distress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maintaining staff readiness.</w:t>
      </w:r>
    </w:p>
    <w:p>
      <w:pPr>
        <w:autoSpaceDN w:val="0"/>
        <w:autoSpaceDE w:val="0"/>
        <w:widowControl/>
        <w:spacing w:line="266" w:lineRule="auto" w:before="70" w:after="0"/>
        <w:ind w:left="164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48. Dedicated Peer Support Spaces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areas for peer recovery coaching, which is shown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increase long-term recovery outcomes by up to 18%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(SAMHSA, 2022).</w:t>
      </w:r>
    </w:p>
    <w:p>
      <w:pPr>
        <w:autoSpaceDN w:val="0"/>
        <w:tabs>
          <w:tab w:pos="1642" w:val="left"/>
        </w:tabs>
        <w:autoSpaceDE w:val="0"/>
        <w:widowControl/>
        <w:spacing w:line="269" w:lineRule="auto" w:before="70" w:after="306"/>
        <w:ind w:left="137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49. Reduced Institutional Cues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Avoid institutional signals like long fluorescent-lit </w:t>
      </w:r>
    </w:p>
    <w:p>
      <w:pPr>
        <w:sectPr>
          <w:type w:val="nextColumn"/>
          <w:pgSz w:w="17280" w:h="12960"/>
          <w:pgMar w:top="502" w:right="1194" w:bottom="340" w:left="1260" w:header="720" w:footer="720" w:gutter="0"/>
          <w:cols w:num="2" w:equalWidth="0">
            <w:col w:w="7538" w:space="0"/>
            <w:col w:w="7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6"/>
        <w:gridCol w:w="3706"/>
        <w:gridCol w:w="3706"/>
        <w:gridCol w:w="3706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19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corridors and overhead paging systems. These cues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been associated with patient disorientation.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50. Staff Sightline Mapping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Map all staff sightlines during schematic design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passive supervision without the need for constant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patrolling.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51. Discrete Service Entrances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Protect patient dignity by providing separate delivery,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waste, and loading routes that do not cross client-facing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zones.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52. Non-Hierarchical Room Layouts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group therapy or intake rooms, arrange furniture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reflect equality and safety rather than authority.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53. Variable Seating Options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soft chairs, rockers, weighted seats, and stools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accommodate sensory and body regulation needs.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54. Staff Wellness Infrastructure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 wellness amenities such as showers, quiet rooms,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daylight access to reduce burnout. Staff spaces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windows improve morale by up to 25% (Journal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 Psychology, 2018).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55. Participatory Design With Youth and Elders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Tailor youth-focused and elder-focused spaces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charrettes and mock-ups, ensuring dignity across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generations.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56. Generous Ceiling Heights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Higher ceilings (10–12 ft) reduce sensory compression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elevate the perception of openness and safety.</w:t>
      </w:r>
    </w:p>
    <w:p>
      <w:pPr>
        <w:autoSpaceDN w:val="0"/>
        <w:autoSpaceDE w:val="0"/>
        <w:widowControl/>
        <w:spacing w:line="266" w:lineRule="auto" w:before="70" w:after="0"/>
        <w:ind w:left="540" w:right="187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57. Decentralized Nurse Stations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Smaller, decentralized stations improve staff-patient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rapport and decrease response times.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484" w:space="0"/>
            <w:col w:w="729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96" w:right="57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58. Private Entry Zones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 discretion for patients arriving in crisis or via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emergency transport.</w:t>
      </w:r>
    </w:p>
    <w:p>
      <w:pPr>
        <w:autoSpaceDN w:val="0"/>
        <w:autoSpaceDE w:val="0"/>
        <w:widowControl/>
        <w:spacing w:line="266" w:lineRule="auto" w:before="70" w:after="0"/>
        <w:ind w:left="1696" w:right="72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59. Cross-Training in Design Intent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Educate facility staff about how to use designed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environments therapeutically to maximize benefit.</w:t>
      </w:r>
    </w:p>
    <w:p>
      <w:pPr>
        <w:autoSpaceDN w:val="0"/>
        <w:tabs>
          <w:tab w:pos="1696" w:val="left"/>
        </w:tabs>
        <w:autoSpaceDE w:val="0"/>
        <w:widowControl/>
        <w:spacing w:line="269" w:lineRule="auto" w:before="70" w:after="0"/>
        <w:ind w:left="142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60. Facility Identity and Branding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meaningful logos, color themes, and narratives. </w:t>
      </w:r>
    </w:p>
    <w:p>
      <w:pPr>
        <w:autoSpaceDN w:val="0"/>
        <w:autoSpaceDE w:val="0"/>
        <w:widowControl/>
        <w:spacing w:line="269" w:lineRule="auto" w:before="0" w:after="0"/>
        <w:ind w:left="169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strong brand identity builds pride and improves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orientation.</w:t>
      </w:r>
    </w:p>
    <w:p>
      <w:pPr>
        <w:autoSpaceDN w:val="0"/>
        <w:autoSpaceDE w:val="0"/>
        <w:widowControl/>
        <w:spacing w:line="266" w:lineRule="auto" w:before="70" w:after="0"/>
        <w:ind w:left="169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61. Lighting for Recovery Cycles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lighting that mirrors circadian rhythms. Patients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natural light environments sleep better and report 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anxiety (NIH Sleep Research, 2020).</w:t>
      </w:r>
    </w:p>
    <w:p>
      <w:pPr>
        <w:autoSpaceDN w:val="0"/>
        <w:autoSpaceDE w:val="0"/>
        <w:widowControl/>
        <w:spacing w:line="264" w:lineRule="auto" w:before="70" w:after="0"/>
        <w:ind w:left="1696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62. Art Therapy Integration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gallery walls or art rooms with supplies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creative self-expression. Programs offering art therapy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 a 32% drop in restraint use (Behavioral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Journal, 2019).</w:t>
      </w:r>
    </w:p>
    <w:p>
      <w:pPr>
        <w:autoSpaceDN w:val="0"/>
        <w:autoSpaceDE w:val="0"/>
        <w:widowControl/>
        <w:spacing w:line="266" w:lineRule="auto" w:before="70" w:after="0"/>
        <w:ind w:left="1696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63. Mixed-Acuity Zoning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separate zones for different acuity levels to tailor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security, freedom, and space needs accordingly.</w:t>
      </w:r>
    </w:p>
    <w:p>
      <w:pPr>
        <w:autoSpaceDN w:val="0"/>
        <w:autoSpaceDE w:val="0"/>
        <w:widowControl/>
        <w:spacing w:line="266" w:lineRule="auto" w:before="70" w:after="0"/>
        <w:ind w:left="169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64. Visitor Path Separation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Visitors should have clear, dignified paths that preserve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 privacy and reduce confusion.</w:t>
      </w:r>
    </w:p>
    <w:p>
      <w:pPr>
        <w:autoSpaceDN w:val="0"/>
        <w:autoSpaceDE w:val="0"/>
        <w:widowControl/>
        <w:spacing w:line="266" w:lineRule="auto" w:before="70" w:after="0"/>
        <w:ind w:left="169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65. Decentralized Restrooms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more frequent, single-use restrooms for privacy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dignity, especially in outpatient or transitional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housing environments.</w:t>
      </w:r>
    </w:p>
    <w:p>
      <w:pPr>
        <w:autoSpaceDN w:val="0"/>
        <w:autoSpaceDE w:val="0"/>
        <w:widowControl/>
        <w:spacing w:line="266" w:lineRule="auto" w:before="70" w:after="310"/>
        <w:ind w:left="1696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66. Personal Lockable Storage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Patients benefit from access to private storage lockers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wardrobes, which promote autonomy and reduce conflict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 shared space.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484" w:space="0"/>
            <w:col w:w="72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136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27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67. Material Resilience + Aesthetics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tamper-resistant but attractive materials. </w:t>
      </w:r>
    </w:p>
    <w:p>
      <w:pPr>
        <w:autoSpaceDN w:val="0"/>
        <w:autoSpaceDE w:val="0"/>
        <w:widowControl/>
        <w:spacing w:line="269" w:lineRule="auto" w:before="0" w:after="0"/>
        <w:ind w:left="54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Polycarbonate windows, high-durability surfaces,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smooth edges support both safety and visual appeal.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68. Transparent Quiet Zones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 acoustically buffered, visually open quiet areas.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Transparency supports supervision; acoustic dampening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supports recovery.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69. Active Circulation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Avoid dead-end corridors. Circular or looping hallways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encourage movement and reduce spatial anxiety.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70. Embedded Telehealth Infrastructure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Future-ready spaces include soundproofed pods or rooms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teletherapy, expanding access and hybrid care options.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71. Cultural Symbolism in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local patterns, languages, and artworks to express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belonging. Cultural resonance improves trust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therapeutic rapport.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72. Reduced Seclusion Reliance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to de-escalate before isolation is necessary.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escalation rooms and staff retreat areas reduce seclusion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 by up to 40% (AHRQ, 2020).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73. Dynamic Color Theory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colors informed by neurological and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research. Cool hues calm; warm tones stimulate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mood.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74. Rainwater and Nature Elements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rainwater features or plant-based sound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masking. Nature sounds decrease stress markers by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(University of Sussex, 2019).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75. Cross-Program Collaboration Spaces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shared spaces for clinicians, case managers,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external partners to improve care continuity.</w:t>
      </w:r>
    </w:p>
    <w:p>
      <w:pPr>
        <w:sectPr>
          <w:type w:val="continuous"/>
          <w:pgSz w:w="17280" w:h="12960"/>
          <w:pgMar w:top="498" w:right="1180" w:bottom="340" w:left="1260" w:header="720" w:footer="720" w:gutter="0"/>
          <w:cols w:num="2" w:equalWidth="0">
            <w:col w:w="7508" w:space="0"/>
            <w:col w:w="73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72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76. Lighting Zones With Dimming Options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Enable patients to adjust light levels in therapy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 rooms. Autonomy over environment enhances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recovery engagement.</w:t>
      </w:r>
    </w:p>
    <w:p>
      <w:pPr>
        <w:autoSpaceDN w:val="0"/>
        <w:autoSpaceDE w:val="0"/>
        <w:widowControl/>
        <w:spacing w:line="266" w:lineRule="auto" w:before="70" w:after="0"/>
        <w:ind w:left="167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77. Local Hiring for Construction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Prioritize local labor and community tradespeople.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enhances long-term pride, ownership, and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relationships.</w:t>
      </w:r>
    </w:p>
    <w:p>
      <w:pPr>
        <w:autoSpaceDN w:val="0"/>
        <w:autoSpaceDE w:val="0"/>
        <w:widowControl/>
        <w:spacing w:line="266" w:lineRule="auto" w:before="70" w:after="0"/>
        <w:ind w:left="167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78. Integrated Transportation Access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safe access for ambulances, buses, and bicycles.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Seamless multimodal access expands patient reach.</w:t>
      </w:r>
    </w:p>
    <w:p>
      <w:pPr>
        <w:autoSpaceDN w:val="0"/>
        <w:autoSpaceDE w:val="0"/>
        <w:widowControl/>
        <w:spacing w:line="266" w:lineRule="auto" w:before="70" w:after="0"/>
        <w:ind w:left="167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79. Site Resilience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for environmental risk factors—wildfire, flooding,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earthquakes. Resilient facilities maintain care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disasters.</w:t>
      </w:r>
    </w:p>
    <w:p>
      <w:pPr>
        <w:autoSpaceDN w:val="0"/>
        <w:autoSpaceDE w:val="0"/>
        <w:widowControl/>
        <w:spacing w:line="266" w:lineRule="auto" w:before="70" w:after="0"/>
        <w:ind w:left="167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80. Community Gardens or Horticultural Therapy Zones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Gardening programs improve mental health and reduce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depression scores by 25% (American Horticultural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Therapy Association, 2020).</w:t>
      </w:r>
    </w:p>
    <w:p>
      <w:pPr>
        <w:autoSpaceDN w:val="0"/>
        <w:autoSpaceDE w:val="0"/>
        <w:widowControl/>
        <w:spacing w:line="264" w:lineRule="auto" w:before="70" w:after="0"/>
        <w:ind w:left="167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81. Distributed Nature Vignettes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Place pockets of biophilic design—small plant clusters,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sunlight alcoves, or window views—throughout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facility. Distributed biophilia reduces perceived stress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levels by 20% (Terrapin Bright Green, 2021).</w:t>
      </w:r>
    </w:p>
    <w:p>
      <w:pPr>
        <w:autoSpaceDN w:val="0"/>
        <w:autoSpaceDE w:val="0"/>
        <w:widowControl/>
        <w:spacing w:line="266" w:lineRule="auto" w:before="70" w:after="0"/>
        <w:ind w:left="1672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82. Reflective Surfaces for Orientation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Strategically placed mirrors and glass help with spatial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orientation while enhancing daylight diffusion, improving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 mobility and reducing falls.</w:t>
      </w:r>
    </w:p>
    <w:p>
      <w:pPr>
        <w:autoSpaceDN w:val="0"/>
        <w:autoSpaceDE w:val="0"/>
        <w:widowControl/>
        <w:spacing w:line="264" w:lineRule="auto" w:before="70" w:after="400"/>
        <w:ind w:left="1672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83. Water-Inspired Design Motifs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calming patterns and flowing forms inspired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water to ease anxiety. Studies link visual water elements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reduced cortisol levels (Environmental Psychology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Journal, 2020).</w:t>
      </w:r>
    </w:p>
    <w:p>
      <w:pPr>
        <w:sectPr>
          <w:type w:val="nextColumn"/>
          <w:pgSz w:w="17280" w:h="12960"/>
          <w:pgMar w:top="498" w:right="1180" w:bottom="340" w:left="1260" w:header="720" w:footer="720" w:gutter="0"/>
          <w:cols w:num="2" w:equalWidth="0">
            <w:col w:w="7508" w:space="0"/>
            <w:col w:w="73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84. Behavioral Emergency Response Zones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 discreet, accessible spaces for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emergencies, enabling swift clinical intervention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triggering alarms or panic.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85. Interactive Wall Murals or Message Boards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Allow patients to co-create visual spaces through dry-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erase boards, chalk murals, or digital art walls.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boosts engagement and reduces aggression.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86. Controlled Aromatherapy Zones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essential oil diffusers in sensory rooms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quiet areas. Lavender and orange aromas reduce 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anxiety by up to 22% (NIH, 2021).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87. Mobile Therapy Pods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 modular, mobile therapy stations for group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sessions—ideal for multi-use spaces or smaller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88. Use of Storytelling in Wayfinding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Incorporate cultural or community-based narratives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signage, flooring, and wall art. This improves spatial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memory and comfort.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89. Predictive Analytics in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Leverage EHR and admissions data to anticipate high-use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zones and design accordingly, improving throughput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90. Color Zoning for Cognitive Orientation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distinct color palettes to identify zones (e.g., therapy,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dining, respite), enhancing orientation for neurodiverse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patients.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91. Seasonal Light Programming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Adjust light temperature and brightness with seasons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circadian health and reduce seasonal affective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symptoms.</w:t>
      </w:r>
    </w:p>
    <w:p>
      <w:pPr>
        <w:sectPr>
          <w:type w:val="continuous"/>
          <w:pgSz w:w="17280" w:h="12960"/>
          <w:pgMar w:top="498" w:right="1180" w:bottom="340" w:left="1260" w:header="720" w:footer="720" w:gutter="0"/>
          <w:cols w:num="2" w:equalWidth="0">
            <w:col w:w="7532" w:space="0"/>
            <w:col w:w="73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64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92. Textural Layering in Materials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layered textures—stone, wood, woven panels—to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sensory regulation. Multi-textured rooms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perceived safety.</w:t>
      </w:r>
    </w:p>
    <w:p>
      <w:pPr>
        <w:autoSpaceDN w:val="0"/>
        <w:autoSpaceDE w:val="0"/>
        <w:widowControl/>
        <w:spacing w:line="266" w:lineRule="auto" w:before="70" w:after="0"/>
        <w:ind w:left="164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93. Transitional Patient Housing Units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units that simulate independent living to ease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discharge anxiety and reduce readmissions by 14% (HUD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Report, 2021).</w:t>
      </w:r>
    </w:p>
    <w:p>
      <w:pPr>
        <w:autoSpaceDN w:val="0"/>
        <w:autoSpaceDE w:val="0"/>
        <w:widowControl/>
        <w:spacing w:line="266" w:lineRule="auto" w:before="70" w:after="0"/>
        <w:ind w:left="164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94. Staff Collaboration Hubs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Centralized but open workspaces for cross-disciplinary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improve communication and reduce documentation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errors.</w:t>
      </w:r>
    </w:p>
    <w:p>
      <w:pPr>
        <w:autoSpaceDN w:val="0"/>
        <w:autoSpaceDE w:val="0"/>
        <w:widowControl/>
        <w:spacing w:line="266" w:lineRule="auto" w:before="70" w:after="0"/>
        <w:ind w:left="1648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95. Interactive Technology Integration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Touchscreen tables, biofeedback chairs, or VR rooms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allow experiential therapy modalities to thrive.</w:t>
      </w:r>
    </w:p>
    <w:p>
      <w:pPr>
        <w:autoSpaceDN w:val="0"/>
        <w:autoSpaceDE w:val="0"/>
        <w:widowControl/>
        <w:spacing w:line="266" w:lineRule="auto" w:before="70" w:after="0"/>
        <w:ind w:left="164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96. Quiet HVAC and Mechanical Systems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Prioritize acoustical dampening in HVAC layouts. Lower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mechanical noise reduces negative emotional responses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18%.</w:t>
      </w:r>
    </w:p>
    <w:p>
      <w:pPr>
        <w:autoSpaceDN w:val="0"/>
        <w:autoSpaceDE w:val="0"/>
        <w:widowControl/>
        <w:spacing w:line="266" w:lineRule="auto" w:before="70" w:after="0"/>
        <w:ind w:left="1648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97. Patient-Controlled Privacy Features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Include dimmable windows, room dividers, and sound-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masking systems controlled by patients to promote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autonomy.</w:t>
      </w:r>
    </w:p>
    <w:p>
      <w:pPr>
        <w:autoSpaceDN w:val="0"/>
        <w:autoSpaceDE w:val="0"/>
        <w:widowControl/>
        <w:spacing w:line="266" w:lineRule="auto" w:before="70" w:after="0"/>
        <w:ind w:left="1648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98. Lighting That Encourages Movement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directional lighting and light pools to guide 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movement and encourage therapeutic activity.</w:t>
      </w:r>
    </w:p>
    <w:p>
      <w:pPr>
        <w:autoSpaceDN w:val="0"/>
        <w:autoSpaceDE w:val="0"/>
        <w:widowControl/>
        <w:spacing w:line="266" w:lineRule="auto" w:before="70" w:after="0"/>
        <w:ind w:left="1648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99. Design with Cultural Humility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 multicultural symbols, inclusive signage,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adaptable rituals spaces. Cultural alignment enhances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utilization by 12–15%.</w:t>
      </w:r>
    </w:p>
    <w:p>
      <w:pPr>
        <w:autoSpaceDN w:val="0"/>
        <w:tabs>
          <w:tab w:pos="1648" w:val="left"/>
        </w:tabs>
        <w:autoSpaceDE w:val="0"/>
        <w:widowControl/>
        <w:spacing w:line="269" w:lineRule="auto" w:before="70" w:after="610"/>
        <w:ind w:left="13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100. Design for Long-Term Stewardship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durable yet comforting finishes, plan for flexible </w:t>
      </w:r>
    </w:p>
    <w:p>
      <w:pPr>
        <w:sectPr>
          <w:type w:val="nextColumn"/>
          <w:pgSz w:w="17280" w:h="12960"/>
          <w:pgMar w:top="498" w:right="1180" w:bottom="340" w:left="1260" w:header="720" w:footer="720" w:gutter="0"/>
          <w:cols w:num="2" w:equalWidth="0">
            <w:col w:w="7532" w:space="0"/>
            <w:col w:w="73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23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4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furniture replacement, and embed maintenance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into turnover to ensure sustainability.</w:t>
      </w:r>
    </w:p>
    <w:p>
      <w:pPr>
        <w:autoSpaceDN w:val="0"/>
        <w:autoSpaceDE w:val="0"/>
        <w:widowControl/>
        <w:spacing w:line="276" w:lineRule="auto" w:before="332" w:after="0"/>
        <w:ind w:left="34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“We shape our buildings; thereafter they shape us.” — </w:t>
      </w:r>
    </w:p>
    <w:p>
      <w:pPr>
        <w:autoSpaceDN w:val="0"/>
        <w:autoSpaceDE w:val="0"/>
        <w:widowControl/>
        <w:spacing w:line="276" w:lineRule="auto" w:before="8" w:after="0"/>
        <w:ind w:left="0" w:right="3548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>Winston Churchill</w:t>
      </w:r>
    </w:p>
    <w:p>
      <w:pPr>
        <w:autoSpaceDN w:val="0"/>
        <w:autoSpaceDE w:val="0"/>
        <w:widowControl/>
        <w:spacing w:line="264" w:lineRule="auto" w:before="23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these 100 evidence-informed best practices, developers,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architects, and behavioral health leaders can move from vision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realization—building spaces that reflect humanity, empower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healing, and ensure lasting impact.</w:t>
      </w:r>
    </w:p>
    <w:p>
      <w:pPr>
        <w:autoSpaceDN w:val="0"/>
        <w:autoSpaceDE w:val="0"/>
        <w:widowControl/>
        <w:spacing w:line="264" w:lineRule="auto" w:before="606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Design Documentation Best Practices for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Complex Systems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documentation serves as the core communication tool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architects, engineers, builders, regulators,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owner. Incomplete or uncoordinated documentation is a leading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cause of delays, change orders, cost overruns, and life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violations. </w:t>
      </w:r>
    </w:p>
    <w:p>
      <w:pPr>
        <w:autoSpaceDN w:val="0"/>
        <w:autoSpaceDE w:val="0"/>
        <w:widowControl/>
        <w:spacing w:line="278" w:lineRule="auto" w:before="2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Objectives of Technical Documentation</w:t>
      </w:r>
    </w:p>
    <w:p>
      <w:pPr>
        <w:autoSpaceDN w:val="0"/>
        <w:autoSpaceDE w:val="0"/>
        <w:widowControl/>
        <w:spacing w:line="266" w:lineRule="auto" w:before="238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Regulatory Compliance: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Demonstrate conformance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licensure, ADA, fire/life safety, FGI, and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codes.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Construction Clarity: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Eliminate ambiguity and reduce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RFIs.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Scope Control: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Prevent scope creep by clearly defining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finishes, equipment, and detailing.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Clinical Alignment: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Translate operational intent into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built reality.</w:t>
      </w:r>
    </w:p>
    <w:p>
      <w:pPr>
        <w:sectPr>
          <w:type w:val="continuous"/>
          <w:pgSz w:w="17280" w:h="12960"/>
          <w:pgMar w:top="492" w:right="1234" w:bottom="340" w:left="1260" w:header="720" w:footer="720" w:gutter="0"/>
          <w:cols w:num="2" w:equalWidth="0">
            <w:col w:w="7408" w:space="0"/>
            <w:col w:w="737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</w:t>
      </w:r>
    </w:p>
    <w:p>
      <w:pPr>
        <w:autoSpaceDN w:val="0"/>
        <w:autoSpaceDE w:val="0"/>
        <w:widowControl/>
        <w:spacing w:line="269" w:lineRule="auto" w:before="148" w:after="0"/>
        <w:ind w:left="1584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Develop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Room Data Sheet Matrix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linking each space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finishes, MEP loads, ligature compliance, and FF&amp;E.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0" w:after="0"/>
        <w:ind w:left="159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Produce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Narrative Justifications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align the clinical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model with physical layout.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0" w:after="0"/>
        <w:ind w:left="15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Maintain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QA/QC Peer Review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 each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milestone (30%, 60%, 90%, 100%).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0" w:after="0"/>
        <w:ind w:left="15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BIM-based clash detection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architectural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 coordination. </w:t>
      </w:r>
    </w:p>
    <w:p>
      <w:pPr>
        <w:autoSpaceDN w:val="0"/>
        <w:autoSpaceDE w:val="0"/>
        <w:widowControl/>
        <w:spacing w:line="278" w:lineRule="auto" w:before="42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</w:t>
      </w:r>
    </w:p>
    <w:p>
      <w:pPr>
        <w:autoSpaceDN w:val="0"/>
        <w:autoSpaceDE w:val="0"/>
        <w:widowControl/>
        <w:spacing w:line="276" w:lineRule="auto" w:before="152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Track code references in annotated code sheets.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Assign document control leads to manage version control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approvals.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4" w:after="0"/>
        <w:ind w:left="159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Pre-coordinate complex system zones (e.g., medication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rooms, seclusion suites) during DD.</w:t>
      </w:r>
    </w:p>
    <w:p>
      <w:pPr>
        <w:autoSpaceDN w:val="0"/>
        <w:autoSpaceDE w:val="0"/>
        <w:widowControl/>
        <w:spacing w:line="264" w:lineRule="auto" w:before="424" w:after="0"/>
        <w:ind w:left="1232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Coordination Between Disciplines for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Constructability</w:t>
      </w:r>
    </w:p>
    <w:p>
      <w:pPr>
        <w:autoSpaceDN w:val="0"/>
        <w:autoSpaceDE w:val="0"/>
        <w:widowControl/>
        <w:spacing w:line="264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Coordination failures between disciplines—especially mechan-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ical, electrical, plumbing (MEP), structural, and architectur-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al—can lead to field conflicts, cost increases, and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delays. </w:t>
      </w:r>
    </w:p>
    <w:p>
      <w:pPr>
        <w:autoSpaceDN w:val="0"/>
        <w:autoSpaceDE w:val="0"/>
        <w:widowControl/>
        <w:spacing w:line="278" w:lineRule="auto" w:before="24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High-Risk Interface Points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238" w:after="0"/>
        <w:ind w:left="159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Ceiling Congestion: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Ligature-resistant fixtures must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coordinated with ductwork, sprinklers, and lighting.</w:t>
      </w:r>
    </w:p>
    <w:p>
      <w:pPr>
        <w:autoSpaceDN w:val="0"/>
        <w:tabs>
          <w:tab w:pos="1772" w:val="left"/>
        </w:tabs>
        <w:autoSpaceDE w:val="0"/>
        <w:widowControl/>
        <w:spacing w:line="269" w:lineRule="auto" w:before="70" w:after="438"/>
        <w:ind w:left="159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Wall Penetrations: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Security, nurse call, and fire alarm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cabling must be routed through rated assemblies.</w:t>
      </w:r>
    </w:p>
    <w:p>
      <w:pPr>
        <w:sectPr>
          <w:type w:val="nextColumn"/>
          <w:pgSz w:w="17280" w:h="12960"/>
          <w:pgMar w:top="492" w:right="1234" w:bottom="340" w:left="1260" w:header="720" w:footer="720" w:gutter="0"/>
          <w:cols w:num="2" w:equalWidth="0">
            <w:col w:w="7408" w:space="0"/>
            <w:col w:w="73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6"/>
        <w:gridCol w:w="3696"/>
        <w:gridCol w:w="3696"/>
        <w:gridCol w:w="3696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3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Structural Reinforcement: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Mounted millwork and anti-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ligature grab bars require backing coordination. 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38" w:space="0"/>
            <w:col w:w="7442" w:space="0"/>
          </w:cols>
          <w:docGrid w:linePitch="360"/>
        </w:sectPr>
      </w:pPr>
    </w:p>
    <w:p>
      <w:pPr>
        <w:autoSpaceDN w:val="0"/>
        <w:tabs>
          <w:tab w:pos="1662" w:val="left"/>
          <w:tab w:pos="1842" w:val="left"/>
        </w:tabs>
        <w:autoSpaceDE w:val="0"/>
        <w:widowControl/>
        <w:spacing w:line="314" w:lineRule="auto" w:before="0" w:after="0"/>
        <w:ind w:left="13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Ligature Resistance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Anti-ligature fixtures (toilets, shower heads, curtain rods,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faucets, door hardware).</w:t>
      </w:r>
    </w:p>
    <w:p>
      <w:pPr>
        <w:autoSpaceDN w:val="0"/>
        <w:autoSpaceDE w:val="0"/>
        <w:widowControl/>
        <w:spacing w:line="276" w:lineRule="auto" w:before="74" w:after="52"/>
        <w:ind w:left="16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Reinforced walls and tamper-resistant components. 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38" w:space="0"/>
            <w:col w:w="74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7390"/>
        <w:gridCol w:w="7390"/>
      </w:tblGrid>
      <w:tr>
        <w:trPr>
          <w:trHeight w:hRule="exact" w:val="636"/>
        </w:trPr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69" w:lineRule="auto" w:before="0" w:after="0"/>
              <w:ind w:left="1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• Implement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weekly discipline-specific coordination calls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during DD and CD phases.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2" w:after="0"/>
              <w:ind w:left="0" w:right="25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Security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Mandate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BIM modeling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all disciplines with required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clash resolution before permit submission.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constructability sign-off log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managed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Advisor. 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Avoid last-minute substitutions; tie product specs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procurement availability.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50" w:space="0"/>
            <w:col w:w="743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6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Zoned access control by acuity level.</w:t>
      </w:r>
    </w:p>
    <w:p>
      <w:pPr>
        <w:autoSpaceDN w:val="0"/>
        <w:autoSpaceDE w:val="0"/>
        <w:widowControl/>
        <w:spacing w:line="276" w:lineRule="auto" w:before="74" w:after="0"/>
        <w:ind w:left="16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Duress alarms and staff alert systems.</w:t>
      </w:r>
    </w:p>
    <w:p>
      <w:pPr>
        <w:autoSpaceDN w:val="0"/>
        <w:autoSpaceDE w:val="0"/>
        <w:widowControl/>
        <w:spacing w:line="276" w:lineRule="auto" w:before="74" w:after="0"/>
        <w:ind w:left="16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Controlled egress and visual observation corridors.</w:t>
      </w:r>
    </w:p>
    <w:p>
      <w:pPr>
        <w:autoSpaceDN w:val="0"/>
        <w:autoSpaceDE w:val="0"/>
        <w:widowControl/>
        <w:spacing w:line="278" w:lineRule="auto" w:before="334" w:after="0"/>
        <w:ind w:left="12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Accessibility</w:t>
      </w:r>
    </w:p>
    <w:p>
      <w:pPr>
        <w:autoSpaceDN w:val="0"/>
        <w:autoSpaceDE w:val="0"/>
        <w:widowControl/>
        <w:spacing w:line="307" w:lineRule="auto" w:before="152" w:after="170"/>
        <w:ind w:left="1584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Universal Design compliance from early planning.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Inclusive wayfinding, restrooms, and waiting areas.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50" w:space="0"/>
            <w:col w:w="7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7390"/>
        <w:gridCol w:w="7390"/>
      </w:tblGrid>
      <w:tr>
        <w:trPr>
          <w:trHeight w:hRule="exact" w:val="596"/>
        </w:trPr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69" w:lineRule="auto" w:before="0" w:after="0"/>
              <w:ind w:left="18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• Establish a centralized issue-tracking log and require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written closeout of all open coordination items.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4" w:after="0"/>
              <w:ind w:left="0" w:right="222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Best Practices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Conduct mock-up reviews with interdisciplinary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participation.</w:t>
      </w:r>
    </w:p>
    <w:p>
      <w:pPr>
        <w:autoSpaceDN w:val="0"/>
        <w:autoSpaceDE w:val="0"/>
        <w:widowControl/>
        <w:spacing w:line="264" w:lineRule="auto" w:before="426" w:after="0"/>
        <w:ind w:left="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Infection Control, Security, Ligature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Resistance, and Accessibility</w:t>
      </w:r>
    </w:p>
    <w:p>
      <w:pPr>
        <w:autoSpaceDN w:val="0"/>
        <w:autoSpaceDE w:val="0"/>
        <w:widowControl/>
        <w:spacing w:line="266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face unique regulatory and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challenges that must be designed into the physical environment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the outset. </w:t>
      </w:r>
    </w:p>
    <w:p>
      <w:pPr>
        <w:autoSpaceDN w:val="0"/>
        <w:autoSpaceDE w:val="0"/>
        <w:widowControl/>
        <w:spacing w:line="278" w:lineRule="auto" w:before="2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Infection Control</w:t>
      </w:r>
    </w:p>
    <w:p>
      <w:pPr>
        <w:autoSpaceDN w:val="0"/>
        <w:autoSpaceDE w:val="0"/>
        <w:widowControl/>
        <w:spacing w:line="276" w:lineRule="auto" w:before="24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Antimicrobial surfaces and seamless flooring.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Negative pressure isolation rooms where required.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HVAC zoning and exhaust per FGI and CDC.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90" w:space="0"/>
            <w:col w:w="7390" w:space="0"/>
          </w:cols>
          <w:docGrid w:linePitch="360"/>
        </w:sectPr>
      </w:pPr>
    </w:p>
    <w:p>
      <w:pPr>
        <w:autoSpaceDN w:val="0"/>
        <w:tabs>
          <w:tab w:pos="1790" w:val="left"/>
        </w:tabs>
        <w:autoSpaceDE w:val="0"/>
        <w:widowControl/>
        <w:spacing w:line="269" w:lineRule="auto" w:before="0" w:after="0"/>
        <w:ind w:left="161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Complete a comprehensive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ICRA (Infection Control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Risk Assessment)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during DD.</w:t>
      </w:r>
    </w:p>
    <w:p>
      <w:pPr>
        <w:autoSpaceDN w:val="0"/>
        <w:tabs>
          <w:tab w:pos="1790" w:val="left"/>
        </w:tabs>
        <w:autoSpaceDE w:val="0"/>
        <w:widowControl/>
        <w:spacing w:line="269" w:lineRule="auto" w:before="74" w:after="0"/>
        <w:ind w:left="16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product submittal cut sheets to validate ligature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compliance.</w:t>
      </w:r>
    </w:p>
    <w:p>
      <w:pPr>
        <w:autoSpaceDN w:val="0"/>
        <w:tabs>
          <w:tab w:pos="1790" w:val="left"/>
        </w:tabs>
        <w:autoSpaceDE w:val="0"/>
        <w:widowControl/>
        <w:spacing w:line="269" w:lineRule="auto" w:before="74" w:after="0"/>
        <w:ind w:left="161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Coordinate with local fire marshals and accessibility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officers during pre-submittal reviews.</w:t>
      </w:r>
    </w:p>
    <w:p>
      <w:pPr>
        <w:autoSpaceDN w:val="0"/>
        <w:autoSpaceDE w:val="0"/>
        <w:widowControl/>
        <w:spacing w:line="278" w:lineRule="auto" w:before="334" w:after="0"/>
        <w:ind w:left="125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</w:t>
      </w:r>
    </w:p>
    <w:p>
      <w:pPr>
        <w:autoSpaceDN w:val="0"/>
        <w:tabs>
          <w:tab w:pos="1790" w:val="left"/>
        </w:tabs>
        <w:autoSpaceDE w:val="0"/>
        <w:widowControl/>
        <w:spacing w:line="269" w:lineRule="auto" w:before="148" w:after="0"/>
        <w:ind w:left="16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Create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Ligature Mitigation Plan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reviewed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regulatory advisors.</w:t>
      </w:r>
    </w:p>
    <w:p>
      <w:pPr>
        <w:autoSpaceDN w:val="0"/>
        <w:tabs>
          <w:tab w:pos="1790" w:val="left"/>
        </w:tabs>
        <w:autoSpaceDE w:val="0"/>
        <w:widowControl/>
        <w:spacing w:line="269" w:lineRule="auto" w:before="74" w:after="0"/>
        <w:ind w:left="16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Assign security consultants to participate in 60%+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drawing reviews.</w:t>
      </w:r>
    </w:p>
    <w:p>
      <w:pPr>
        <w:autoSpaceDN w:val="0"/>
        <w:autoSpaceDE w:val="0"/>
        <w:widowControl/>
        <w:spacing w:line="276" w:lineRule="auto" w:before="74" w:after="498"/>
        <w:ind w:left="16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Perform access flow simulations for emergency scenarios.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90" w:space="0"/>
            <w:col w:w="73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Design for Healing, Treatment, and Recovery</w:t>
      </w:r>
    </w:p>
    <w:p>
      <w:pPr>
        <w:autoSpaceDN w:val="0"/>
        <w:autoSpaceDE w:val="0"/>
        <w:widowControl/>
        <w:spacing w:line="269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Designing for healing means addressing not only clinical needs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 also emotional safety, trauma recovery, and staff wellness. </w:t>
      </w:r>
    </w:p>
    <w:p>
      <w:pPr>
        <w:autoSpaceDN w:val="0"/>
        <w:autoSpaceDE w:val="0"/>
        <w:widowControl/>
        <w:spacing w:line="278" w:lineRule="auto" w:before="2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Healing Design Elements</w:t>
      </w:r>
    </w:p>
    <w:p>
      <w:pPr>
        <w:autoSpaceDN w:val="0"/>
        <w:autoSpaceDE w:val="0"/>
        <w:widowControl/>
        <w:spacing w:line="307" w:lineRule="auto" w:before="242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Access to nature, daylight, and exterior views.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Calming palettes and residential-style furnishings.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Reduced noise and improved acoustic comfort.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Supportive Space Planning</w:t>
      </w:r>
    </w:p>
    <w:p>
      <w:pPr>
        <w:autoSpaceDN w:val="0"/>
        <w:autoSpaceDE w:val="0"/>
        <w:widowControl/>
        <w:spacing w:line="307" w:lineRule="auto" w:before="152" w:after="0"/>
        <w:ind w:left="3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Personalization opportunities in patient rooms.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Flexibility in group therapy spaces.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Defined zones for family interaction and private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reflection.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90" w:space="0"/>
            <w:col w:w="7390" w:space="0"/>
          </w:cols>
          <w:docGrid w:linePitch="360"/>
        </w:sectPr>
      </w:pPr>
    </w:p>
    <w:p>
      <w:pPr>
        <w:autoSpaceDN w:val="0"/>
        <w:tabs>
          <w:tab w:pos="1790" w:val="left"/>
        </w:tabs>
        <w:autoSpaceDE w:val="0"/>
        <w:widowControl/>
        <w:spacing w:line="269" w:lineRule="auto" w:before="0" w:after="0"/>
        <w:ind w:left="161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Involve former patients or peer navigators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walkthroughs and mock-ups.</w:t>
      </w:r>
    </w:p>
    <w:p>
      <w:pPr>
        <w:autoSpaceDN w:val="0"/>
        <w:autoSpaceDE w:val="0"/>
        <w:widowControl/>
        <w:spacing w:line="264" w:lineRule="auto" w:before="426" w:after="0"/>
        <w:ind w:left="125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6. Managing Evolving User Needs Without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Compromising Schedule</w:t>
      </w:r>
    </w:p>
    <w:p>
      <w:pPr>
        <w:autoSpaceDN w:val="0"/>
        <w:autoSpaceDE w:val="0"/>
        <w:widowControl/>
        <w:spacing w:line="266" w:lineRule="auto" w:before="152" w:after="0"/>
        <w:ind w:left="125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often evolve as clinical models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shift. Design must be flexible while maintaining schedule dis-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cipline. </w:t>
      </w:r>
    </w:p>
    <w:p>
      <w:pPr>
        <w:autoSpaceDN w:val="0"/>
        <w:autoSpaceDE w:val="0"/>
        <w:widowControl/>
        <w:spacing w:line="278" w:lineRule="auto" w:before="246" w:after="0"/>
        <w:ind w:left="125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</w:t>
      </w:r>
    </w:p>
    <w:p>
      <w:pPr>
        <w:autoSpaceDN w:val="0"/>
        <w:autoSpaceDE w:val="0"/>
        <w:widowControl/>
        <w:spacing w:line="278" w:lineRule="auto" w:before="238" w:after="0"/>
        <w:ind w:left="16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Utilize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universal room templates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future-proof design.</w:t>
      </w:r>
    </w:p>
    <w:p>
      <w:pPr>
        <w:autoSpaceDN w:val="0"/>
        <w:tabs>
          <w:tab w:pos="1790" w:val="left"/>
        </w:tabs>
        <w:autoSpaceDE w:val="0"/>
        <w:widowControl/>
        <w:spacing w:line="269" w:lineRule="auto" w:before="74" w:after="0"/>
        <w:ind w:left="16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Allow for deferred finish/fixture selections during later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stages.</w:t>
      </w:r>
    </w:p>
    <w:p>
      <w:pPr>
        <w:autoSpaceDN w:val="0"/>
        <w:tabs>
          <w:tab w:pos="1790" w:val="left"/>
        </w:tabs>
        <w:autoSpaceDE w:val="0"/>
        <w:widowControl/>
        <w:spacing w:line="269" w:lineRule="auto" w:before="70" w:after="292"/>
        <w:ind w:left="161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Plan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soft openings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pre-certification testing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 simulation.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90" w:space="0"/>
            <w:col w:w="7390" w:space="0"/>
          </w:cols>
          <w:docGrid w:linePitch="360"/>
        </w:sectPr>
      </w:pPr>
    </w:p>
    <w:p>
      <w:pPr>
        <w:autoSpaceDN w:val="0"/>
        <w:tabs>
          <w:tab w:pos="8640" w:val="left"/>
        </w:tabs>
        <w:autoSpaceDE w:val="0"/>
        <w:widowControl/>
        <w:spacing w:line="310" w:lineRule="auto" w:before="0" w:after="1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Best Practices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trauma-informed design checklists during schematic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DD reviews.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Incorporate soft finishes and curved forms to reduce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institutional feeling.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Validate design effectiveness through post-occupancy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evaluations.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Avoid over-standardization that ignores cultural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community-specific needs.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Don’t sacrifice design quality for cost; value engineer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strategically.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50" w:space="0"/>
            <w:col w:w="743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0" w:after="0"/>
        <w:ind w:left="16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Lock down schedule-critical decisions early.</w:t>
      </w:r>
    </w:p>
    <w:p>
      <w:pPr>
        <w:autoSpaceDN w:val="0"/>
        <w:tabs>
          <w:tab w:pos="1830" w:val="left"/>
        </w:tabs>
        <w:autoSpaceDE w:val="0"/>
        <w:widowControl/>
        <w:spacing w:line="269" w:lineRule="auto" w:before="74" w:after="0"/>
        <w:ind w:left="165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milestone-based design calendars with deliverables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linked to procurement.</w:t>
      </w:r>
    </w:p>
    <w:p>
      <w:pPr>
        <w:autoSpaceDN w:val="0"/>
        <w:tabs>
          <w:tab w:pos="1830" w:val="left"/>
        </w:tabs>
        <w:autoSpaceDE w:val="0"/>
        <w:widowControl/>
        <w:spacing w:line="269" w:lineRule="auto" w:before="74" w:after="0"/>
        <w:ind w:left="165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 permit submissions with actual construction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sequencing.</w:t>
      </w:r>
    </w:p>
    <w:p>
      <w:pPr>
        <w:autoSpaceDN w:val="0"/>
        <w:autoSpaceDE w:val="0"/>
        <w:widowControl/>
        <w:spacing w:line="264" w:lineRule="auto" w:before="426" w:after="0"/>
        <w:ind w:left="129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7. Owner Review Cycles and Document Control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Protocols</w:t>
      </w:r>
    </w:p>
    <w:p>
      <w:pPr>
        <w:autoSpaceDN w:val="0"/>
        <w:autoSpaceDE w:val="0"/>
        <w:widowControl/>
        <w:spacing w:line="266" w:lineRule="auto" w:before="152" w:after="810"/>
        <w:ind w:left="129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Thorough owner engagement is essential for success. Clear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roles, workflows, and systems reduce confusion and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decision-making.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50" w:space="0"/>
            <w:col w:w="743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146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Owner participates in all design milestone reviews (30%,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60%, 90%, 100%).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Reviews include input from operations, clinical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leadership, safety officers, and finance.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Final DD and CD packages must have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design decision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log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documented approvals.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Document Control Tools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Cloud-based platforms (Procore, PlanGrid, Newforma).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Role-based access and version control logs.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Change logs with justification memos for all scope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 revisions.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Risk Mitigation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Assign a dedicated document control lead or Owner’s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Advisor.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Track unresolved review comments and risk-ranking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potential issues.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a structured submittal and RFI review process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due date enforcement.</w:t>
      </w:r>
    </w:p>
    <w:p>
      <w:pPr>
        <w:autoSpaceDN w:val="0"/>
        <w:autoSpaceDE w:val="0"/>
        <w:widowControl/>
        <w:spacing w:line="259" w:lineRule="auto" w:before="424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From Documentation to Dignity –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Elevating Behavioral Health Through Design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Excellence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care design is not simply a technical mile-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stone—it is a moral and strategic responsibility that affects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lives, operations, and long-term system outcomes. Every wall,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window, and walkway in a behavioral health facility carries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potential to calm, to protect, to inspire. It is through thoughtful, 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390" w:space="0"/>
            <w:col w:w="745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research-backed design that we convert abstract values—safety,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dignity, recovery—into lived experiences.</w:t>
      </w:r>
    </w:p>
    <w:p>
      <w:pPr>
        <w:autoSpaceDN w:val="0"/>
        <w:autoSpaceDE w:val="0"/>
        <w:widowControl/>
        <w:spacing w:line="264" w:lineRule="auto" w:before="254" w:after="0"/>
        <w:ind w:left="12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behavioral health facilities are thoughtfully designed,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foster healing, elevate dignity, and serve as lasting assets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community. According to a 2023 study by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American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Institute of Architects (AIA)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64" w:lineRule="auto" w:before="74" w:after="0"/>
        <w:ind w:left="1790" w:right="144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Behavioral health projects that prioritize trauma-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informed, biophilic design see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30–50% improvement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patient satisfaction (AIA Health Facilities Research,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2023).</w:t>
      </w:r>
    </w:p>
    <w:p>
      <w:pPr>
        <w:autoSpaceDN w:val="0"/>
        <w:autoSpaceDE w:val="0"/>
        <w:widowControl/>
        <w:spacing w:line="264" w:lineRule="auto" w:before="74" w:after="0"/>
        <w:ind w:left="179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Facilities incorporating flexible design strategies report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25% improvement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long-term adaptability and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40%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reduction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renovation costs (AIA Design &amp;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Consensus Report, 2023).</w:t>
      </w:r>
    </w:p>
    <w:p>
      <w:pPr>
        <w:autoSpaceDN w:val="0"/>
        <w:autoSpaceDE w:val="0"/>
        <w:widowControl/>
        <w:spacing w:line="264" w:lineRule="auto" w:before="74" w:after="0"/>
        <w:ind w:left="179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Projects using interdisciplinary stakeholder design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coordination 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2.5 times more likely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meet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goals (AIA Integrated Project Delivery Guide,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2021).</w:t>
      </w:r>
    </w:p>
    <w:p>
      <w:pPr>
        <w:autoSpaceDN w:val="0"/>
        <w:autoSpaceDE w:val="0"/>
        <w:widowControl/>
        <w:spacing w:line="269" w:lineRule="auto" w:before="70" w:after="0"/>
        <w:ind w:left="125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Design-Build Institute of America (DBIA)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further 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ports:</w:t>
      </w:r>
    </w:p>
    <w:p>
      <w:pPr>
        <w:autoSpaceDN w:val="0"/>
        <w:autoSpaceDE w:val="0"/>
        <w:widowControl/>
        <w:spacing w:line="266" w:lineRule="auto" w:before="74" w:after="0"/>
        <w:ind w:left="1790" w:right="144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Projects with early Owner’s Advisor engagement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43% higher rates of on-time, on-budget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delivery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(DBIA State of Project Delivery Report, 2023).</w:t>
      </w:r>
    </w:p>
    <w:p>
      <w:pPr>
        <w:autoSpaceDN w:val="0"/>
        <w:autoSpaceDE w:val="0"/>
        <w:widowControl/>
        <w:spacing w:line="266" w:lineRule="auto" w:before="70" w:after="0"/>
        <w:ind w:left="179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Integrated design teams reduce change orders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up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50%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accelerate permitting and regulatory approvals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35%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(DBIA Design-Build Best Practices, 2023).</w:t>
      </w:r>
    </w:p>
    <w:p>
      <w:pPr>
        <w:autoSpaceDN w:val="0"/>
        <w:autoSpaceDE w:val="0"/>
        <w:widowControl/>
        <w:spacing w:line="264" w:lineRule="auto" w:before="74" w:after="0"/>
        <w:ind w:left="1790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Strategic planning and early-stage leadership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lifecycle cost control and project viability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28%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across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typologies (DBIA Healthcare Sector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Analysis, 2022).</w:t>
      </w:r>
    </w:p>
    <w:p>
      <w:pPr>
        <w:autoSpaceDN w:val="0"/>
        <w:autoSpaceDE w:val="0"/>
        <w:widowControl/>
        <w:spacing w:line="269" w:lineRule="auto" w:before="164" w:after="246"/>
        <w:ind w:left="125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importance of having a seasoned Owner’s Advisor cannot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overstated. According to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DBIA 2023 State of Project 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390" w:space="0"/>
            <w:col w:w="74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Delivery Report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Owner’s Representatives or Owner’s Ad-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visors who are integrated in the planning and design phases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 team coordination effectiveness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45%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while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creasing project risk exposure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38%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These professionals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scope clarity, budget discipline, stakeholder alignment,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regulatory readiness from day one.</w:t>
      </w:r>
    </w:p>
    <w:p>
      <w:pPr>
        <w:autoSpaceDN w:val="0"/>
        <w:autoSpaceDE w:val="0"/>
        <w:widowControl/>
        <w:spacing w:line="264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data tells a powerful story: design is not just about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pliance or aesthetics—it’s about performance, safety, and clin-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ical outcomes. Design decisions shape how patients feel,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staff work, and how communities interact with mental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The Lasting Impact of Design Leadership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Great behavioral health design is rooted in leadership—by ex-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perienced architects, clinical planners, Owner’s Advisors,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engineers who understand the stakes and align the built envi-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ronment with therapeutic goals. These professionals guide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phase with precision, empathy, and accountability.</w:t>
      </w:r>
    </w:p>
    <w:p>
      <w:pPr>
        <w:autoSpaceDN w:val="0"/>
        <w:autoSpaceDE w:val="0"/>
        <w:widowControl/>
        <w:spacing w:line="266" w:lineRule="auto" w:before="254" w:after="0"/>
        <w:ind w:left="0" w:right="12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facility that flows efficiently, adapts over time, calms the agi-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tated, and elevates the overlooked—that is the legacy of strong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 coordination.</w:t>
      </w:r>
    </w:p>
    <w:p>
      <w:pPr>
        <w:autoSpaceDN w:val="0"/>
        <w:autoSpaceDE w:val="0"/>
        <w:widowControl/>
        <w:spacing w:line="278" w:lineRule="auto" w:before="2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Design That Performs</w:t>
      </w:r>
    </w:p>
    <w:p>
      <w:pPr>
        <w:autoSpaceDN w:val="0"/>
        <w:autoSpaceDE w:val="0"/>
        <w:widowControl/>
        <w:spacing w:line="269" w:lineRule="auto" w:before="24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What distinguishes high-performing behavioral health design?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 is: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Evidence-Based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Drawing from research to drive form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function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Trauma-Informed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Softening sensory environments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reduce agitation and restore agency</w:t>
      </w:r>
    </w:p>
    <w:p>
      <w:pPr>
        <w:sectPr>
          <w:type w:val="continuous"/>
          <w:pgSz w:w="17280" w:h="12960"/>
          <w:pgMar w:top="500" w:right="1240" w:bottom="340" w:left="1260" w:header="720" w:footer="720" w:gutter="0"/>
          <w:cols w:num="2" w:equalWidth="0">
            <w:col w:w="7394" w:space="0"/>
            <w:col w:w="73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86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Biophilic and Natural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Harnessing daylight, fresh air,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green spaces to reduce cortisol and support circadian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wellness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0" w:after="0"/>
        <w:ind w:left="1606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Neurologically Attuned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Supporting attention, rest,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emotion regulation, and social interaction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0" w:after="0"/>
        <w:ind w:left="1606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Operationally Sound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Enhancing staff visibility,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workflow, infection control, and safety</w:t>
      </w:r>
    </w:p>
    <w:p>
      <w:pPr>
        <w:autoSpaceDN w:val="0"/>
        <w:autoSpaceDE w:val="0"/>
        <w:widowControl/>
        <w:spacing w:line="269" w:lineRule="auto" w:before="70" w:after="0"/>
        <w:ind w:left="1584" w:right="43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Culturally and Clinically Responsive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Reflecting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 values and evolving treatment models</w:t>
      </w:r>
    </w:p>
    <w:p>
      <w:pPr>
        <w:autoSpaceDN w:val="0"/>
        <w:autoSpaceDE w:val="0"/>
        <w:widowControl/>
        <w:spacing w:line="276" w:lineRule="auto" w:before="164" w:after="0"/>
        <w:ind w:left="1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When these priorities converge, the results are measurable: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0" w:after="0"/>
        <w:ind w:left="16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33% fewer patient safety incidents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(AIA Health Impact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Report, 2021)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0" w:after="0"/>
        <w:ind w:left="1606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22% higher staff retention in first year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(Center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Design Post-Occupancy Survey, 2022)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0" w:after="0"/>
        <w:ind w:left="160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20% fewer behavioral escalations in well-lit, calming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units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(Ulrich, 2020)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0" w:after="0"/>
        <w:ind w:left="160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Increased stakeholder trust and community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acceptance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1155CC"/>
          <w:sz w:val="24"/>
        </w:rPr>
        <w:t>DBIA, 2023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66" w:lineRule="auto" w:before="70" w:after="0"/>
        <w:ind w:left="1786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Greater operational readiness and reduced turnover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post-occupancy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(AIA Facility Performance Insights,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2023)</w:t>
      </w:r>
    </w:p>
    <w:p>
      <w:pPr>
        <w:autoSpaceDN w:val="0"/>
        <w:autoSpaceDE w:val="0"/>
        <w:widowControl/>
        <w:spacing w:line="278" w:lineRule="auto" w:before="426" w:after="0"/>
        <w:ind w:left="12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 Call to Design with Purpose</w:t>
      </w:r>
    </w:p>
    <w:p>
      <w:pPr>
        <w:autoSpaceDN w:val="0"/>
        <w:autoSpaceDE w:val="0"/>
        <w:widowControl/>
        <w:spacing w:line="264" w:lineRule="auto" w:before="152" w:after="960"/>
        <w:ind w:left="1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we move forward from Chapter 8 into the construction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execution phases, let us not forget that design is the heartbeat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behavioral health infrastructure. It sets the tone for 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future experience within the space—for patients struggling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stabilize, for nurses balancing care and crisis, and for families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searching for safety and hope.</w:t>
      </w:r>
    </w:p>
    <w:p>
      <w:pPr>
        <w:sectPr>
          <w:type w:val="nextColumn"/>
          <w:pgSz w:w="17280" w:h="12960"/>
          <w:pgMar w:top="500" w:right="1240" w:bottom="340" w:left="1260" w:header="720" w:footer="720" w:gutter="0"/>
          <w:cols w:num="2" w:equalWidth="0">
            <w:col w:w="7394" w:space="0"/>
            <w:col w:w="73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9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Best Practices for Behavioral Health Care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Great design is more than a blueprint. It is a blueprint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healing. Every thoughtful design decision—every window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placed with intention, every corner made safer, every space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soothes instead of startles—is a powerful step toward systemic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transformation in mental health care.</w:t>
      </w:r>
    </w:p>
    <w:p>
      <w:pPr>
        <w:autoSpaceDN w:val="0"/>
        <w:autoSpaceDE w:val="0"/>
        <w:widowControl/>
        <w:spacing w:line="266" w:lineRule="auto" w:before="254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behavioral health real estate, excellence in design is not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luxury—it is a necessity. Let us continue to design not just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buildings, but better futures.</w:t>
      </w:r>
    </w:p>
    <w:p>
      <w:pPr>
        <w:autoSpaceDN w:val="0"/>
        <w:tabs>
          <w:tab w:pos="2174" w:val="left"/>
        </w:tabs>
        <w:autoSpaceDE w:val="0"/>
        <w:widowControl/>
        <w:spacing w:line="269" w:lineRule="auto" w:before="494" w:after="0"/>
        <w:ind w:left="148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“We shape our buildings; thereafter they shape us.” —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Winston Churchill</w:t>
      </w:r>
    </w:p>
    <w:p>
      <w:pPr>
        <w:sectPr>
          <w:type w:val="continuous"/>
          <w:pgSz w:w="17280" w:h="12960"/>
          <w:pgMar w:top="502" w:right="1220" w:bottom="340" w:left="1260" w:header="720" w:footer="720" w:gutter="0"/>
          <w:cols w:num="2" w:equalWidth="0">
            <w:col w:w="7408" w:space="0"/>
            <w:col w:w="739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19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10</w:t>
      </w:r>
    </w:p>
    <w:p>
      <w:pPr>
        <w:autoSpaceDN w:val="0"/>
        <w:autoSpaceDE w:val="0"/>
        <w:widowControl/>
        <w:spacing w:line="264" w:lineRule="auto" w:before="138" w:after="0"/>
        <w:ind w:left="2304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Entitlements, Permitting, and </w:t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Approvals</w:t>
      </w:r>
    </w:p>
    <w:p>
      <w:pPr>
        <w:autoSpaceDN w:val="0"/>
        <w:tabs>
          <w:tab w:pos="2560" w:val="left"/>
          <w:tab w:pos="3110" w:val="left"/>
        </w:tabs>
        <w:autoSpaceDE w:val="0"/>
        <w:widowControl/>
        <w:spacing w:line="266" w:lineRule="auto" w:before="530" w:after="0"/>
        <w:ind w:left="1876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“Leadership is not about being in charge. It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is about taking care of those in your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charge.” — Simon Sinek</w:t>
      </w:r>
    </w:p>
    <w:p>
      <w:pPr>
        <w:autoSpaceDN w:val="0"/>
        <w:autoSpaceDE w:val="0"/>
        <w:widowControl/>
        <w:spacing w:line="278" w:lineRule="auto" w:before="368" w:after="0"/>
        <w:ind w:left="1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222" w:after="0"/>
        <w:ind w:left="1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Navigating Jurisdictional Requirements and Politics</w:t>
      </w:r>
    </w:p>
    <w:p>
      <w:pPr>
        <w:autoSpaceDN w:val="0"/>
        <w:autoSpaceDE w:val="0"/>
        <w:widowControl/>
        <w:spacing w:line="278" w:lineRule="auto" w:before="34" w:after="0"/>
        <w:ind w:left="1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State Health Department and AHJ Coordination</w:t>
      </w:r>
    </w:p>
    <w:p>
      <w:pPr>
        <w:autoSpaceDN w:val="0"/>
        <w:autoSpaceDE w:val="0"/>
        <w:widowControl/>
        <w:spacing w:line="278" w:lineRule="auto" w:before="34" w:after="0"/>
        <w:ind w:left="1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Timeline Tracking and Fast-Track Permitting Strategies</w:t>
      </w:r>
    </w:p>
    <w:p>
      <w:pPr>
        <w:autoSpaceDN w:val="0"/>
        <w:autoSpaceDE w:val="0"/>
        <w:widowControl/>
        <w:spacing w:line="278" w:lineRule="auto" w:before="34" w:after="0"/>
        <w:ind w:left="1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Environmental Assessments and Community Relations</w:t>
      </w:r>
    </w:p>
    <w:p>
      <w:pPr>
        <w:autoSpaceDN w:val="0"/>
        <w:autoSpaceDE w:val="0"/>
        <w:widowControl/>
        <w:spacing w:line="278" w:lineRule="auto" w:before="34" w:after="0"/>
        <w:ind w:left="14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Proactive Engagement to Prevent Costly Delays</w:t>
      </w:r>
    </w:p>
    <w:p>
      <w:pPr>
        <w:autoSpaceDN w:val="0"/>
        <w:autoSpaceDE w:val="0"/>
        <w:widowControl/>
        <w:spacing w:line="278" w:lineRule="auto" w:before="636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Overview</w:t>
      </w:r>
    </w:p>
    <w:p>
      <w:pPr>
        <w:autoSpaceDN w:val="0"/>
        <w:autoSpaceDE w:val="0"/>
        <w:widowControl/>
        <w:spacing w:line="264" w:lineRule="auto" w:before="152" w:after="1748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Entitlements, permitting, and approvals form the backbone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successful behavioral health facility development. This phase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where bold visions meet political realities, legal frameworks,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complex community dynamics. It is a space of both oppor-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tunity and risk—where strategic leadership, disciplined coordi-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nation, and communication mastery are paramount.</w:t>
      </w:r>
    </w:p>
    <w:p>
      <w:pPr>
        <w:sectPr>
          <w:type w:val="nextColumn"/>
          <w:pgSz w:w="17280" w:h="12960"/>
          <w:pgMar w:top="502" w:right="1220" w:bottom="340" w:left="1260" w:header="720" w:footer="720" w:gutter="0"/>
          <w:cols w:num="2" w:equalWidth="0">
            <w:col w:w="7408" w:space="0"/>
            <w:col w:w="7392" w:space="0"/>
          </w:cols>
          <w:docGrid w:linePitch="360"/>
        </w:sectPr>
      </w:pPr>
    </w:p>
    <w:p>
      <w:pPr>
        <w:autoSpaceDN w:val="0"/>
        <w:tabs>
          <w:tab w:pos="14460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153</w:t>
      </w:r>
    </w:p>
    <w:sectPr w:rsidR="00FC693F" w:rsidRPr="0006063C" w:rsidSect="00034616">
      <w:type w:val="continuous"/>
      <w:pgSz w:w="17280" w:h="12960"/>
      <w:pgMar w:top="502" w:right="1220" w:bottom="3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