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676" w:left="12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Examples of Successful Community Partnerships in California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102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46" w:lineRule="auto" w:before="0" w:after="164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Entitlements, Permitting, and Approvals151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Navigating Jurisdictional Requirements and Politics 152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53" w:lineRule="auto" w:before="0" w:after="16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State Health Department and AHJ Coordination153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Facility Programming and Conceptual Design - Creating Ther-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apeutic, Sustainable, and Technology-Integrated Environments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Aligning Clinical Needs with Built Environments110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Space Planning for Trauma-Informed Care and Safety111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Integrated Care Models and Functional Adjacencies112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auto" w:before="0" w:after="0"/>
        <w:ind w:left="12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Timeline Tracking and Fast-Track Permitting Strategies154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Environmental Assessments and Community Relations155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Proactive Engagement to Prevent Costly Delays156</w:t>
      </w:r>
    </w:p>
    <w:p>
      <w:pPr>
        <w:autoSpaceDN w:val="0"/>
        <w:autoSpaceDE w:val="0"/>
        <w:widowControl/>
        <w:spacing w:line="278" w:lineRule="auto" w:before="430" w:after="43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 III: Acceleration, Talent, Excellence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408" w:lineRule="auto" w:before="0" w:after="16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Early Cost Modeling and Phasing Strategies113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Chapter 11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Engaging Stakeholders in the Design Vision114</w:t>
      </w:r>
    </w:p>
    <w:p>
      <w:pPr>
        <w:autoSpaceDN w:val="0"/>
        <w:autoSpaceDE w:val="0"/>
        <w:widowControl/>
        <w:spacing w:line="362" w:lineRule="auto" w:before="43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Best Practices for Behavioral Health Care121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Design Documentation Best Practices for Complex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Coordination Between Disciplines for Constructability141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Infection Control, Security, Ligature Resistance, and Acces-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sibility142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Design for Healing, Treatment, and Recovery144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Managing Evolving User Needs Without Compromising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Schedule145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 Owner Review Cycles and Document Control Protocols145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43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Key Team Members, Teamwork, Mission, Vision, and Values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161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Best Practices of Successful Behavioral Health Real Estate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Development161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Power of Teamwork in Behavioral Health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166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Defining the Mission, Vision, and Values167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 Studies in Behavioral Health Development Excellence168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Top 100 Best Practices, Procedures, and Risk Mitigation Strat-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egies170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Importance of Expert Teamwork in Real Estate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ment: A Comprehensive Overview179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Elevating Behavioral Health Through High-Performance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Teaming187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10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Chapter 12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28" w:bottom="78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15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Top 20 Strategies for Successful Rapid Delivery of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Facility Development191</w:t>
      </w:r>
    </w:p>
    <w:p>
      <w:pPr>
        <w:autoSpaceDN w:val="0"/>
        <w:autoSpaceDE w:val="0"/>
        <w:widowControl/>
        <w:spacing w:line="276" w:lineRule="auto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Rapid Delivery Best Practices191</w:t>
      </w:r>
    </w:p>
    <w:p>
      <w:pPr>
        <w:autoSpaceDN w:val="0"/>
        <w:autoSpaceDE w:val="0"/>
        <w:widowControl/>
        <w:spacing w:line="269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Best Practices for Progressive Design-Build in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Facility Development198</w:t>
      </w:r>
    </w:p>
    <w:p>
      <w:pPr>
        <w:sectPr>
          <w:type w:val="continuous"/>
          <w:pgSz w:w="17280" w:h="12960"/>
          <w:pgMar w:top="502" w:right="1228" w:bottom="780" w:left="1260" w:header="720" w:footer="720" w:gutter="0"/>
          <w:cols w:num="2" w:equalWidth="0">
            <w:col w:w="7380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auto" w:before="0" w:after="164"/>
        <w:ind w:left="126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Procurement and Preconstruction249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1: Value Engineering with Purpose250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2: GMP Negotiations &amp; Bid Leveling Strategies251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Section 3: Vendor &amp; Specialty Consultant Procurement252</w:t>
      </w:r>
    </w:p>
    <w:p>
      <w:pPr>
        <w:sectPr>
          <w:type w:val="nextColumn"/>
          <w:pgSz w:w="17280" w:h="12960"/>
          <w:pgMar w:top="502" w:right="1228" w:bottom="780" w:left="1260" w:header="720" w:footer="720" w:gutter="0"/>
          <w:cols w:num="2" w:equalWidth="0">
            <w:col w:w="7380" w:space="0"/>
            <w:col w:w="74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96"/>
        <w:gridCol w:w="7396"/>
      </w:tblGrid>
      <w:tr>
        <w:trPr>
          <w:trHeight w:hRule="exact" w:val="68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Chapter 13</w:t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3744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4: Managing Procurement Timelines in Rapid Delivery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Models253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7280" w:h="12960"/>
          <w:pgMar w:top="502" w:right="1228" w:bottom="78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3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25 Experts on the Development Team: The Power of Expertise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Advisor: The Key to Project Success212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25 Professionals on the Development Team:213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Power of Teamwork in Real Estate Development: Uniting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25 Experts for Success221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Team Formation and Success228</w:t>
      </w:r>
    </w:p>
    <w:p>
      <w:pPr>
        <w:autoSpaceDN w:val="0"/>
        <w:autoSpaceDE w:val="0"/>
        <w:widowControl/>
        <w:spacing w:line="353" w:lineRule="auto" w:before="43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Professional Excellence in Behavioral Health Real Estate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velopment233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Defining Standards Of Quality234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The Power Of Teamwork: Collaboration In Action236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The Role Of Experienced Owner’s Advisors: Trusted Guides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240</w:t>
      </w:r>
    </w:p>
    <w:p>
      <w:pPr>
        <w:autoSpaceDN w:val="0"/>
        <w:autoSpaceDE w:val="0"/>
        <w:widowControl/>
        <w:spacing w:line="278" w:lineRule="auto" w:before="4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 IV: Permitting, Construction &amp; Closeout</w:t>
      </w:r>
    </w:p>
    <w:p>
      <w:pPr>
        <w:autoSpaceDN w:val="0"/>
        <w:autoSpaceDE w:val="0"/>
        <w:widowControl/>
        <w:spacing w:line="278" w:lineRule="auto" w:before="4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Chapter 15</w:t>
      </w:r>
    </w:p>
    <w:p>
      <w:pPr>
        <w:sectPr>
          <w:type w:val="continuous"/>
          <w:pgSz w:w="17280" w:h="12960"/>
          <w:pgMar w:top="502" w:right="1228" w:bottom="780" w:left="1260" w:header="720" w:footer="720" w:gutter="0"/>
          <w:cols w:num="2" w:equalWidth="0">
            <w:col w:w="7380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5: Ensuring Scope Clarity to Prevent Change Orders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254</w:t>
      </w:r>
    </w:p>
    <w:p>
      <w:pPr>
        <w:autoSpaceDN w:val="0"/>
        <w:autoSpaceDE w:val="0"/>
        <w:widowControl/>
        <w:spacing w:line="362" w:lineRule="auto" w:before="430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Management and Field Oversight257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Managing Construction with Behavioral Health Complexity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Mind259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Weekly Field Coordination and Look-Ahead Scheduling260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RFI and Submittal Processes Optimized for Rapid Delivery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261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Managing Quality, Safety, Inspections, and Milestone Track-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ing262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Coordinating with HCAI Inspector of Record (IOR)262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Documenting Progress and Avoiding Litigation Traps263</w:t>
      </w:r>
    </w:p>
    <w:p>
      <w:pPr>
        <w:autoSpaceDN w:val="0"/>
        <w:autoSpaceDE w:val="0"/>
        <w:widowControl/>
        <w:spacing w:line="372" w:lineRule="auto" w:before="430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Administration and Owner Engagement267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Keeping the Owner Informed: Reports, Tours, Decisions268</w:t>
      </w:r>
    </w:p>
    <w:p>
      <w:pPr>
        <w:sectPr>
          <w:type w:val="nextColumn"/>
          <w:pgSz w:w="17280" w:h="12960"/>
          <w:pgMar w:top="502" w:right="1228" w:bottom="780" w:left="1260" w:header="720" w:footer="720" w:gutter="0"/>
          <w:cols w:num="2" w:equalWidth="0">
            <w:col w:w="7380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870" w:left="1260" w:header="720" w:footer="720" w:gutter="0"/>
          <w:cols w:num="2" w:equalWidth="0">
            <w:col w:w="7380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358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Field Changes, Change Orders, and Scope Creep Prevention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269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Punch Lists, Inspections, and Regulatory Walkthroughs270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Ensuring a Culture of Care During Construction270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Managing Expectations for Substantial Completion271</w:t>
      </w:r>
    </w:p>
    <w:p>
      <w:pPr>
        <w:autoSpaceDN w:val="0"/>
        <w:autoSpaceDE w:val="0"/>
        <w:widowControl/>
        <w:spacing w:line="362" w:lineRule="auto" w:before="43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Commissioning, Closeout, and Activation273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Commissioning for Life-Safety and Behavioral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Health-Specific Systems274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Facility Commissioning for Life Safety and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Health-Specific Systems275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Transition-to-Operations Planning and Staff Readiness277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O&amp;M Manuals, Training, and Facility Performance278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Managing Warranties, Facilities Handoff, and 90-Day Tun-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ing279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 Thought: Commissioning With Purpose281</w:t>
      </w:r>
    </w:p>
    <w:p>
      <w:pPr>
        <w:autoSpaceDN w:val="0"/>
        <w:autoSpaceDE w:val="0"/>
        <w:widowControl/>
        <w:spacing w:line="394" w:lineRule="auto" w:before="43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Call to Action for Behavioral Health Infrastructure283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Expertise Matters284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What Makes a Project Work284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About the Author Brian Burnham Jones287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Glossary of Real Estate Development Terms291</w:t>
      </w:r>
    </w:p>
    <w:p>
      <w:pPr>
        <w:sectPr>
          <w:type w:val="continuous"/>
          <w:pgSz w:w="17280" w:h="12960"/>
          <w:pgMar w:top="502" w:right="1240" w:bottom="87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 for Behavioral Health Real Estate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in California305</w:t>
      </w:r>
    </w:p>
    <w:p>
      <w:pPr>
        <w:sectPr>
          <w:type w:val="nextColumn"/>
          <w:pgSz w:w="17280" w:h="12960"/>
          <w:pgMar w:top="502" w:right="1240" w:bottom="87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sectPr>
          <w:pgSz w:w="17280" w:h="12960"/>
          <w:pgMar w:top="0" w:right="1194" w:bottom="0" w:left="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14340" cy="8247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7280" w:h="12960"/>
          <w:pgMar w:top="0" w:right="1194" w:bottom="0" w:left="0" w:header="720" w:footer="720" w:gutter="0"/>
          <w:cols w:num="2" w:equalWidth="0">
            <w:col w:w="9278" w:space="0"/>
            <w:col w:w="680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9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Part 1: Setting The Vision</w:t>
      </w:r>
    </w:p>
    <w:p>
      <w:pPr>
        <w:autoSpaceDN w:val="0"/>
        <w:autoSpaceDE w:val="0"/>
        <w:widowControl/>
        <w:spacing w:line="264" w:lineRule="auto" w:before="686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Wellspring was written to empower professionals to create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that are clinically sound, financially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viable, and deeply responsive to the communities they serve.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It’s a guide for those who are ready to build not just faster—but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smarter, more intentionally, and in ways that truly serve pa-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tients, providers, and the public good.</w:t>
      </w:r>
    </w:p>
    <w:p>
      <w:pPr>
        <w:autoSpaceDN w:val="0"/>
        <w:autoSpaceDE w:val="0"/>
        <w:widowControl/>
        <w:spacing w:line="274" w:lineRule="auto" w:before="256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faith and gratitude,</w:t>
      </w:r>
    </w:p>
    <w:p>
      <w:pPr>
        <w:autoSpaceDN w:val="0"/>
        <w:autoSpaceDE w:val="0"/>
        <w:widowControl/>
        <w:spacing w:line="269" w:lineRule="auto" w:before="550" w:after="0"/>
        <w:ind w:left="622" w:right="316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Brian B. Jones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Founder &amp; CEO, BHSME.org</w:t>
      </w:r>
    </w:p>
    <w:p>
      <w:pPr>
        <w:autoSpaceDN w:val="0"/>
        <w:autoSpaceDE w:val="0"/>
        <w:widowControl/>
        <w:spacing w:line="274" w:lineRule="auto" w:before="256" w:after="0"/>
        <w:ind w:left="622" w:right="0" w:firstLine="0"/>
        <w:jc w:val="left"/>
      </w:pPr>
      <w:r>
        <w:rPr>
          <w:u w:val="single" w:color="205d9e"/>
          <w:rFonts w:ascii="TimesNewRomanPSMT" w:hAnsi="TimesNewRomanPSMT" w:eastAsia="TimesNewRomanPSMT"/>
          <w:b w:val="0"/>
          <w:i w:val="0"/>
          <w:color w:val="215E9E"/>
          <w:sz w:val="24"/>
        </w:rPr>
        <w:hyperlink r:id="rId10" w:history="1">
          <w:r>
            <w:rPr>
              <w:rStyle w:val="Hyperlink"/>
            </w:rPr>
            <w:t>www.bhsme.org</w:t>
          </w:r>
        </w:hyperlink>
      </w:r>
    </w:p>
    <w:p>
      <w:pPr>
        <w:autoSpaceDN w:val="0"/>
        <w:autoSpaceDE w:val="0"/>
        <w:widowControl/>
        <w:spacing w:line="274" w:lineRule="auto" w:before="3088" w:after="0"/>
        <w:ind w:left="0" w:right="30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</w:p>
    <w:p>
      <w:pPr>
        <w:sectPr>
          <w:type w:val="nextColumn"/>
          <w:pgSz w:w="17280" w:h="12960"/>
          <w:pgMar w:top="0" w:right="1194" w:bottom="0" w:left="0" w:header="720" w:footer="720" w:gutter="0"/>
          <w:cols w:num="2" w:equalWidth="0">
            <w:col w:w="9278" w:space="0"/>
            <w:col w:w="68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-15240</wp:posOffset>
            </wp:positionV>
            <wp:extent cx="5486400" cy="8267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0"/>
        <w:ind w:left="0" w:right="462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Introduction</w:t>
      </w:r>
    </w:p>
    <w:p>
      <w:pPr>
        <w:autoSpaceDN w:val="0"/>
        <w:autoSpaceDE w:val="0"/>
        <w:widowControl/>
        <w:spacing w:line="259" w:lineRule="auto" w:before="142" w:after="0"/>
        <w:ind w:left="846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8"/>
        </w:rPr>
        <w:t xml:space="preserve">The Wellspring: A Manual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of Best Practices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for Strategic Execution &amp; Rapid Delivery of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 Facility Development</w:t>
      </w:r>
    </w:p>
    <w:p>
      <w:pPr>
        <w:autoSpaceDN w:val="0"/>
        <w:autoSpaceDE w:val="0"/>
        <w:widowControl/>
        <w:spacing w:line="264" w:lineRule="auto" w:before="332" w:after="0"/>
        <w:ind w:left="8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Welcome to The Wellspring, a definitive guide for shaping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future of behavioral health infrastructure through intelligent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strategy, design excellence, and project execution.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manual is more than a set of guidelines—it is a field-test-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 framework for achieving the vision of world-class behavior-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health care environments delivered rapidly, affordably,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clinical precision.</w:t>
      </w:r>
    </w:p>
    <w:p>
      <w:pPr>
        <w:autoSpaceDN w:val="0"/>
        <w:autoSpaceDE w:val="0"/>
        <w:widowControl/>
        <w:spacing w:line="262" w:lineRule="auto" w:before="254" w:after="0"/>
        <w:ind w:left="8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a time when mental health needs are escalating across Cali-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fornia and the nation, our systems face a decisive question: can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build faster, smarter, and more compassionately? This book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responds with a resounding yes—if we follow best practices.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Backed by research from the American Institute of Architects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(AIA), the Design-Build Institute of America (DBIA),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leading institutions in healthcare planning, The Wellspring lays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 over 100 actionable strategies proven to increase project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rates, reduce change orders by up to 50%, and deliver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better patient and staff outcomes.</w:t>
      </w:r>
    </w:p>
    <w:p>
      <w:pPr>
        <w:autoSpaceDN w:val="0"/>
        <w:autoSpaceDE w:val="0"/>
        <w:widowControl/>
        <w:spacing w:line="262" w:lineRule="auto" w:before="254" w:after="564"/>
        <w:ind w:left="8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Whether you are a healthcare executive, developer, architect,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policy leader, or Owner’s Advisor, this manual provides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blueprint to guide your work—from early feasibility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facility activation. Drawing on decades of field experience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emerging research in trauma-informed design, biophilia,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delivery, and stakeholder engagement, The Well-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spring is your companion for creating behavioral health facil-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ities that heal communities, strengthen systems, and elevate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human dignity.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7302"/>
        <w:gridCol w:w="7302"/>
      </w:tblGrid>
      <w:tr>
        <w:trPr>
          <w:trHeight w:hRule="exact" w:val="46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2" w:after="0"/>
              <w:ind w:left="14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ii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14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iii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7280" w:h="12960"/>
      <w:pgMar w:top="492" w:right="1236" w:bottom="3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bhsme.org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