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76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72"/>
        </w:rPr>
        <w:t>THE WELLSPRING</w:t>
      </w:r>
    </w:p>
    <w:p>
      <w:pPr>
        <w:autoSpaceDN w:val="0"/>
        <w:tabs>
          <w:tab w:pos="148" w:val="left"/>
          <w:tab w:pos="294" w:val="left"/>
          <w:tab w:pos="974" w:val="left"/>
        </w:tabs>
        <w:autoSpaceDE w:val="0"/>
        <w:widowControl/>
        <w:spacing w:line="257" w:lineRule="auto" w:before="712" w:after="0"/>
        <w:ind w:left="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A Manual of Best Practices for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Strategic Execution &amp; Rapid </w:t>
      </w: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Delivery of Behavioral Health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>Facility Development</w:t>
      </w:r>
    </w:p>
    <w:p>
      <w:pPr>
        <w:autoSpaceDN w:val="0"/>
        <w:autoSpaceDE w:val="0"/>
        <w:widowControl/>
        <w:spacing w:line="307" w:lineRule="auto" w:before="7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The definitive guide for real estate professionals, healthcare leaders, </w:t>
      </w: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and project teams committed to delivering high-performance behavioral </w:t>
      </w: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health facilities—on time, on budget, and built for impact. This manual </w:t>
      </w: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delivers proven strategies, real-world insights, and tactical best practices 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to streamline planning, accelerate delivery, and ensure operational excel-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lence in every phase of development.</w:t>
      </w:r>
    </w:p>
    <w:p>
      <w:pPr>
        <w:autoSpaceDN w:val="0"/>
        <w:autoSpaceDE w:val="0"/>
        <w:widowControl/>
        <w:spacing w:line="276" w:lineRule="auto" w:before="242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>Brian B. Jones</w:t>
      </w:r>
    </w:p>
    <w:p>
      <w:pPr>
        <w:sectPr>
          <w:pgSz w:w="8640" w:h="12960"/>
          <w:pgMar w:top="998" w:right="1214" w:bottom="748" w:left="1260" w:header="720" w:footer="720" w:gutter="0"/>
          <w:cols/>
          <w:docGrid w:linePitch="360"/>
        </w:sectPr>
      </w:pPr>
    </w:p>
    <w:p>
      <w:pPr>
        <w:sectPr>
          <w:pgSz w:w="17280" w:h="12960"/>
          <w:pgMar w:top="0" w:right="124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86400" cy="822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7280" w:h="12960"/>
          <w:pgMar w:top="0" w:right="1240" w:bottom="0" w:left="0" w:header="720" w:footer="720" w:gutter="0"/>
          <w:cols w:num="2" w:equalWidth="0">
            <w:col w:w="9270" w:space="0"/>
            <w:col w:w="6770" w:space="0"/>
          </w:cols>
          <w:docGrid w:linePitch="360"/>
        </w:sectPr>
      </w:pPr>
    </w:p>
    <w:p>
      <w:pPr>
        <w:autoSpaceDN w:val="0"/>
        <w:autoSpaceDE w:val="0"/>
        <w:widowControl/>
        <w:spacing w:line="810" w:lineRule="exact" w:before="0" w:after="0"/>
        <w:ind w:left="0" w:right="199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60"/>
        </w:rPr>
        <w:t>Contents</w:t>
      </w:r>
    </w:p>
    <w:p>
      <w:pPr>
        <w:autoSpaceDN w:val="0"/>
        <w:autoSpaceDE w:val="0"/>
        <w:widowControl/>
        <w:spacing w:line="372" w:lineRule="auto" w:before="558" w:after="0"/>
        <w:ind w:left="6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Part 1: Setting The Vision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Introductioniii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Note from the Authorx</w:t>
      </w:r>
    </w:p>
    <w:p>
      <w:pPr>
        <w:autoSpaceDN w:val="0"/>
        <w:autoSpaceDE w:val="0"/>
        <w:widowControl/>
        <w:spacing w:line="350" w:lineRule="auto" w:before="430" w:after="0"/>
        <w:ind w:left="6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Foundations of Behavioral Health Real Estate Development1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Complexities of Behavioral Health Care Environments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Navigating Licensing, Care Models, and Regulatory Priorities3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Overview of Timelines, Funding Cycles, and Delivery Con-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straints4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Establishing the Project’s Mission, Values, and Measurable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Goals5</w:t>
      </w:r>
    </w:p>
    <w:p>
      <w:pPr>
        <w:autoSpaceDN w:val="0"/>
        <w:autoSpaceDE w:val="0"/>
        <w:widowControl/>
        <w:spacing w:line="401" w:lineRule="auto" w:before="430" w:after="0"/>
        <w:ind w:left="6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Planning &amp; Feasibility Analysis13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Market Studies and Needs Assessments14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Site Selection Criteria Specific to Behavioral Health16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Zoning, Access to Services, and Neighborhood Integration17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Zoning and Entitlements17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Preliminary Budgeting and Pro Forma Modeling18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Risk Identification and Mitigation Strategies19</w:t>
      </w:r>
    </w:p>
    <w:p>
      <w:pPr>
        <w:sectPr>
          <w:type w:val="nextColumn"/>
          <w:pgSz w:w="17280" w:h="12960"/>
          <w:pgMar w:top="0" w:right="1240" w:bottom="0" w:left="0" w:header="720" w:footer="720" w:gutter="0"/>
          <w:cols w:num="2" w:equalWidth="0">
            <w:col w:w="9270" w:space="0"/>
            <w:col w:w="67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676" w:left="1260" w:header="720" w:footer="720" w:gutter="0"/>
          <w:cols w:num="2" w:equalWidth="0">
            <w:col w:w="9270" w:space="0"/>
            <w:col w:w="677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Critical Role of Due Diligence in Behavioral Health Real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Estate Development20</w:t>
      </w:r>
    </w:p>
    <w:p>
      <w:pPr>
        <w:autoSpaceDN w:val="0"/>
        <w:autoSpaceDE w:val="0"/>
        <w:widowControl/>
        <w:spacing w:line="269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Power of Preparation: Know The 6 Phases of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auto" w:before="0" w:after="70"/>
        <w:ind w:left="126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Funding Sources and Capital Stacks72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Cost Estimating and Financial Contingency Planning73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Owner’s Reserve and Cash Flow Management74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Grant Compliance, Philanthropy, and Debt Structuring75</w:t>
      </w:r>
    </w:p>
    <w:p>
      <w:pPr>
        <w:sectPr>
          <w:type w:val="nextColumn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5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Fiduciary Best Practices and Risk Management76</w:t>
      </w:r>
    </w:p>
    <w:p>
      <w:pPr>
        <w:autoSpaceDN w:val="0"/>
        <w:autoSpaceDE w:val="0"/>
        <w:widowControl/>
        <w:spacing w:line="276" w:lineRule="auto" w:before="74" w:after="16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 Assembly and Leadership Structure43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Defining Core Team Roles44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284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Part II: From Concept Thru Permitting</w:t>
      </w:r>
    </w:p>
    <w:p>
      <w:pPr>
        <w:sectPr>
          <w:type w:val="nextColumn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406" w:lineRule="auto" w:before="0" w:after="1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Selection Criteria and Procurement Approaches54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Chapter 6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Contracting Strategies: Progressive Rapid Delivery, De-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sign-Build, GMAX55</w:t>
      </w:r>
    </w:p>
    <w:p>
      <w:pPr>
        <w:autoSpaceDN w:val="0"/>
        <w:autoSpaceDE w:val="0"/>
        <w:widowControl/>
        <w:spacing w:line="269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Representative vs. Owner’s Advisor Distinction: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Importance of Both!56</w:t>
      </w:r>
    </w:p>
    <w:p>
      <w:pPr>
        <w:autoSpaceDN w:val="0"/>
        <w:autoSpaceDE w:val="0"/>
        <w:widowControl/>
        <w:spacing w:line="269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Creating Collaborative Team Dynamics and Accountability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Models57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389" w:lineRule="auto" w:before="0" w:after="164"/>
        <w:ind w:left="126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Site Selection: Laying the Groundwork for Success79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Art and Science of Site Selection80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Site and Structure Due Diligence for Buildability81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Accessibility: Reaching Those Who Need Care Most82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Zoning Laws: Avoiding Regulatory Roadblocks82</w:t>
      </w:r>
    </w:p>
    <w:p>
      <w:pPr>
        <w:sectPr>
          <w:type w:val="nextColumn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26" w:lineRule="auto" w:before="0" w:after="16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Proximity to Healthcare Networks83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7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Advisor – Strategic Leadership at the Core61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Role of the Owner’s Advisor: A Multifaceted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Leader63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346" w:lineRule="auto" w:before="0" w:after="43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Conducting a Comprehensive Feasibility Study83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Due Diligence: The Essential Risk Mitigation Tool86</w:t>
      </w:r>
    </w:p>
    <w:p>
      <w:pPr>
        <w:sectPr>
          <w:type w:val="nextColumn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58" w:lineRule="auto" w:before="0" w:after="16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Profile: The Modern Owner’s Advisor66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Chapter 7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Case Studies in Action67</w:t>
      </w:r>
    </w:p>
    <w:p>
      <w:pPr>
        <w:autoSpaceDN w:val="0"/>
        <w:autoSpaceDE w:val="0"/>
        <w:widowControl/>
        <w:spacing w:line="372" w:lineRule="auto" w:before="43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Financing Behavioral Health Infrastructure71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Capital Planning and Early Feasibility72</w:t>
      </w:r>
    </w:p>
    <w:p>
      <w:pPr>
        <w:sectPr>
          <w:type w:val="continuous"/>
          <w:pgSz w:w="17280" w:h="12960"/>
          <w:pgMar w:top="502" w:right="1240" w:bottom="676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343" w:lineRule="auto" w:before="0" w:after="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Stakeholder Support 91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How to Understand and Address Community Needs96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Building Collaboration with Stakeholders, Community Fo-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rums, and Advisory Boards100</w:t>
      </w:r>
    </w:p>
    <w:sectPr w:rsidR="00FC693F" w:rsidRPr="0006063C" w:rsidSect="00034616">
      <w:type w:val="nextColumn"/>
      <w:pgSz w:w="17280" w:h="12960"/>
      <w:pgMar w:top="502" w:right="1240" w:bottom="676" w:left="1260" w:header="720" w:footer="720" w:gutter="0"/>
      <w:cols w:num="2" w:equalWidth="0">
        <w:col w:w="7380" w:space="0"/>
        <w:col w:w="7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