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agh-signal 交付说明</w:t>
      </w:r>
    </w:p>
    <w:p>
      <w:pPr>
        <w:spacing w:before="40" w:after="80"/>
      </w:pPr>
      <w:r>
        <w:t xml:space="preserve">本文是项目交付总览：做了什么、实测结果如何、怎么落地、还剩哪些需要你这边确认的事。</w:t>
      </w:r>
    </w:p>
    <w:p>
      <w:pPr>
        <w:spacing w:before="40" w:after="80"/>
      </w:pPr>
      <w:r>
        <w:t xml:space="preserve">项目定位：</w:t>
      </w:r>
      <w:r>
        <w:rPr>
          <w:b/>
        </w:rPr>
        <w:t xml:space="preserve">用 AGH 编排"仿真调用—参数寻优—边界工况验证—异常重试"闭环，做路口信号配时</w:t>
      </w:r>
      <w:r>
        <w:t xml:space="preserve">。</w:t>
      </w:r>
    </w:p>
    <w:p>
      <w:pPr>
        <w:spacing w:before="40" w:after="80"/>
      </w:pPr>
      <w:r>
        <w:t xml:space="preserve">参赛定位：2026 江苏省 AI+科学与工程创新实践黑客松（高校组），主赛道 B（数学计算与科研智能体），</w:t>
      </w:r>
    </w:p>
    <w:p>
      <w:pPr>
        <w:spacing w:before="40" w:after="80"/>
      </w:pPr>
      <w:r>
        <w:t xml:space="preserve">具体方向 B4（科研 Agent 与 Harness 工程），可加选 D4（环境能源与城市系统）。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一、交付物清单</w:t>
      </w:r>
    </w:p>
    <w:tbl>
      <w:tblPr>
        <w:tblStyle w:val="TableGrid"/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4500"/>
        <w:gridCol w:w="4500"/>
      </w:tblGrid>
      <w:tr>
        <w:tc>
          <w:tcPr>
            <w:tcW w:w="45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文件</w:t>
            </w:r>
          </w:p>
        </w:tc>
        <w:tc>
          <w:tcPr>
            <w:tcW w:w="45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内容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README.md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总览、目录结构、快速开始、命令表、已知限制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docs/01-项目方案.md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报名表填法、问题与价值、KPI、架构、模型与寻优、验证设计、10 天排期、风险降级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docs/02-AGH接入与证据.md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插件安装/信任/启用命令、会话取证脚本、排错表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docs/03-SUMO接入步骤.md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SUMO 安装、路网生成、相位映射核对、与解析模型对照的判定标准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docs/04-路演与视频脚本.md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3 分 40 秒视频分镜、8 页 PPT、提问预案、提交项对照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docs/05-交付说明.md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本文件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src/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7 个模块：model / scenarios / demand / optimize / verify / sumo / cli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plugin/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AGH 后端工具插件，注册 5 个 traffic_* 工具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tools/plugin-selftest.mjs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插件免模型自检（不需要 AGH、不需要模型）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configs/scenarios.json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6 个工况：正常、4 个边界、1 个失败样例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run-demo.ps1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Windows 一键流程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artifacts/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运行产物：寻优报告、验证报告、原始 JSON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agh-signal-package.zip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打包版，方便整体拷到 D 盘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40" w:after="80"/>
      </w:pPr>
      <w:r>
        <w:t xml:space="preserve">代码零外部依赖，用本机 Node 24 直接运行，不需要联网。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二、实测结果（本机实跑，非设想值）</w:t>
      </w:r>
    </w:p>
    <w:tbl>
      <w:tblPr>
        <w:tblStyle w:val="TableGrid"/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4500"/>
        <w:gridCol w:w="4500"/>
      </w:tblGrid>
      <w:tr>
        <w:tc>
          <w:tcPr>
            <w:tcW w:w="45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项目</w:t>
            </w:r>
          </w:p>
        </w:tc>
        <w:tc>
          <w:tcPr>
            <w:tcW w:w="4500" w:type="dxa"/>
            <w:shd w:val="clear" w:color="auto" w:fill="F2F2F2"/>
            <w:vAlign w:val="center"/>
          </w:tcPr>
          <w:p>
            <w:pPr>
              <w:spacing w:before="20" w:after="20"/>
            </w:pPr>
            <w:r>
              <w:rPr>
                <w:b/>
              </w:rPr>
              <w:t xml:space="preserve">结果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基准工况寻优（normal）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车均延误 </w:t>
            </w:r>
            <w:r>
              <w:rPr>
                <w:b/>
              </w:rPr>
              <w:t xml:space="preserve">22.02s → 16.70s（−24.16%）</w:t>
            </w:r>
            <w:r>
              <w:t xml:space="preserve">，评估 835 个可行方案，秒级完成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公平性方案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平均延误 +1.38%，换最差进口延误 20.57s → </w:t>
            </w:r>
            <w:r>
              <w:rPr>
                <w:b/>
              </w:rPr>
              <w:t xml:space="preserve">17.66s（−14.2%）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晚高峰（需求 ×1.3）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基准配时仍可行，重新寻优 27.10s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潮汐偏斜（北进口 ×1.6）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基准配时失效（最大饱和度 1.109 超限），重新寻优 28.43s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重车比例 12%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基准配时可行，重新寻优 16.95s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事故降容（北进口 −40%）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基准配时失效（最大饱和度 1.155），重新寻优 35.16s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过饱和失败样例（需求 ×2.0）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被正确拒绝：可行方案 0 个，原因完整输出（饱和度 1.521 超限、总流率比 Y ≥ 1）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自动验证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5 项全过：模型自洽性、与 Webster 交叉验证、复现性哈希、边界工况、失败路径</w:t>
            </w:r>
          </w:p>
        </w:tc>
      </w:tr>
      <w:tr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插件自检</w:t>
            </w:r>
          </w:p>
        </w:tc>
        <w:tc>
          <w:tcPr>
            <w:tcW w:w="4500" w:type="dxa"/>
            <w:vAlign w:val="center"/>
          </w:tcPr>
          <w:p>
            <w:pPr>
              <w:spacing w:before="20" w:after="20"/>
            </w:pPr>
            <w:r>
              <w:t xml:space="preserve">5 个工具免模型调用全部通过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40" w:after="80"/>
      </w:pPr>
      <w:r>
        <w:t xml:space="preserve">这些数字来自自动生成的文件，正好对应官方要求的"运行证据"：</w:t>
      </w:r>
    </w:p>
    <w:p>
      <w:pPr>
        <w:ind w:left="360"/>
        <w:spacing w:before="20" w:after="20"/>
      </w:pPr>
      <w:r>
        <w:t xml:space="preserve">• </w:t>
      </w:r>
      <w:r>
        <w:rPr>
          <w:rFonts w:ascii="Consolas" w:hAnsi="Consolas" w:eastAsia="Microsoft YaHei"/>
        </w:rPr>
        <w:t xml:space="preserve">artifacts/report-normal.md</w:t>
      </w:r>
      <w:r>
        <w:t xml:space="preserve"> —— 寻优报告（含基线对比表、Pareto 前沿）</w:t>
      </w:r>
    </w:p>
    <w:p>
      <w:pPr>
        <w:ind w:left="360"/>
        <w:spacing w:before="20" w:after="20"/>
      </w:pPr>
      <w:r>
        <w:t xml:space="preserve">• </w:t>
      </w:r>
      <w:r>
        <w:rPr>
          <w:rFonts w:ascii="Consolas" w:hAnsi="Consolas" w:eastAsia="Microsoft YaHei"/>
        </w:rPr>
        <w:t xml:space="preserve">artifacts/verification.md</w:t>
      </w:r>
      <w:r>
        <w:t xml:space="preserve"> —— 验证报告（含 5 项检查与边界工况明细）</w:t>
      </w:r>
    </w:p>
    <w:p>
      <w:pPr>
        <w:ind w:left="360"/>
        <w:spacing w:before="20" w:after="20"/>
      </w:pPr>
      <w:r>
        <w:t xml:space="preserve">• </w:t>
      </w:r>
      <w:r>
        <w:rPr>
          <w:rFonts w:ascii="Consolas" w:hAnsi="Consolas" w:eastAsia="Microsoft YaHei"/>
        </w:rPr>
        <w:t xml:space="preserve">artifacts/optimize-normal.json</w:t>
      </w:r>
      <w:r>
        <w:t xml:space="preserve">、</w:t>
      </w:r>
      <w:r>
        <w:rPr>
          <w:rFonts w:ascii="Consolas" w:hAnsi="Consolas" w:eastAsia="Microsoft YaHei"/>
        </w:rPr>
        <w:t xml:space="preserve">artifacts/verification.json</w:t>
      </w:r>
      <w:r>
        <w:t xml:space="preserve"> —— 机器可读原始数据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三、落地步骤</w:t>
      </w:r>
    </w:p>
    <w:p>
      <w:pPr>
        <w:pStyle w:val="Heading3"/>
      </w:pPr>
      <w:r>
        <w:t xml:space="preserve">1. 拷到 D 盘</w:t>
      </w:r>
    </w:p>
    <w:p>
      <w:pPr>
        <w:spacing w:before="40" w:after="80"/>
      </w:pPr>
      <w:r>
        <w:t xml:space="preserve">解压 </w:t>
      </w:r>
      <w:r>
        <w:rPr>
          <w:rFonts w:ascii="Consolas" w:hAnsi="Consolas" w:eastAsia="Microsoft YaHei"/>
        </w:rPr>
        <w:t xml:space="preserve">agh-signal-package.zip</w:t>
      </w:r>
      <w:r>
        <w:t xml:space="preserve"> 或直接复制目录，目标是 </w:t>
      </w:r>
      <w:r>
        <w:rPr>
          <w:rFonts w:ascii="Consolas" w:hAnsi="Consolas" w:eastAsia="Microsoft YaHei"/>
        </w:rPr>
        <w:t xml:space="preserve">D:\dev\agnes-project\agh-signal</w:t>
      </w:r>
      <w:r>
        <w:t xml:space="preserve">。</w:t>
      </w:r>
    </w:p>
    <w:p>
      <w:pPr>
        <w:pStyle w:val="Heading3"/>
      </w:pPr>
      <w:r>
        <w:t xml:space="preserve">2. 先跑通（不依赖 AGH，也不依赖网络）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Set-Location 'D:\dev\agnes-project\agh-signal'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src\cli.mjs selfcheck                    # 各工况最优配时一览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src\cli.mjs report --scenario normal     # 生成寻优报告与验证报告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tools\plugin-selftest.mjs                # 插件免模型自检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.\run-demo.ps1                                # 等价的一键流程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3. 接入 AGH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Set-Location 'D:\dev\agnes-project\agnes-harness'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$env:AGH_HOME = 'D:\dev\agnes-project\agh-home'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$env:AGNES_PROFILE = 'local-dev'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$env:AGH_SIGNAL_HOME = 'D:\dev\agnes-project\agh-signal'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daemon stop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.\packages\cli\dist\local\agnes.mjs serve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t xml:space="preserve">关键点：</w:t>
      </w:r>
      <w:r>
        <w:rPr>
          <w:rFonts w:ascii="Consolas" w:hAnsi="Consolas" w:eastAsia="Microsoft YaHei"/>
        </w:rPr>
        <w:t xml:space="preserve">AGH_SIGNAL_HOME</w:t>
      </w:r>
      <w:r>
        <w:t xml:space="preserve"> 必须对 daemon 进程可见，所以要在启动会话里设置并重启后台；</w:t>
      </w:r>
    </w:p>
    <w:p>
      <w:pPr>
        <w:spacing w:before="40" w:after="80"/>
      </w:pPr>
      <w:r>
        <w:t xml:space="preserve">插件靠这个变量定位 </w:t>
      </w:r>
      <w:r>
        <w:rPr>
          <w:rFonts w:ascii="Consolas" w:hAnsi="Consolas" w:eastAsia="Microsoft YaHei"/>
        </w:rPr>
        <w:t xml:space="preserve">src/cli.mjs</w:t>
      </w:r>
      <w:r>
        <w:t xml:space="preserve">。</w:t>
      </w:r>
    </w:p>
    <w:p>
      <w:pPr>
        <w:spacing w:before="40" w:after="80"/>
      </w:pPr>
      <w:r>
        <w:t xml:space="preserve">然后在另一个终端按 docs/02 第三节执行 </w:t>
      </w:r>
      <w:r>
        <w:rPr>
          <w:rFonts w:ascii="Consolas" w:hAnsi="Consolas" w:eastAsia="Microsoft YaHei"/>
        </w:rPr>
        <w:t xml:space="preserve">package inspect</w:t>
      </w:r>
      <w:r>
        <w:t xml:space="preserve"> → </w:t>
      </w:r>
      <w:r>
        <w:rPr>
          <w:rFonts w:ascii="Consolas" w:hAnsi="Consolas" w:eastAsia="Microsoft YaHei"/>
        </w:rPr>
        <w:t xml:space="preserve">install</w:t>
      </w:r>
      <w:r>
        <w:t xml:space="preserve"> → </w:t>
      </w:r>
      <w:r>
        <w:rPr>
          <w:rFonts w:ascii="Consolas" w:hAnsi="Consolas" w:eastAsia="Microsoft YaHei"/>
        </w:rPr>
        <w:t xml:space="preserve">package trust</w:t>
      </w:r>
      <w:r>
        <w:t xml:space="preserve"> →</w:t>
      </w:r>
    </w:p>
    <w:p>
      <w:pPr>
        <w:spacing w:before="40" w:after="80"/>
      </w:pPr>
      <w:r>
        <w:rPr>
          <w:rFonts w:ascii="Consolas" w:hAnsi="Consolas" w:eastAsia="Microsoft YaHei"/>
        </w:rPr>
        <w:t xml:space="preserve">package enable</w:t>
      </w:r>
      <w:r>
        <w:t xml:space="preserve"> → </w:t>
      </w:r>
      <w:r>
        <w:rPr>
          <w:rFonts w:ascii="Consolas" w:hAnsi="Consolas" w:eastAsia="Microsoft YaHei"/>
        </w:rPr>
        <w:t xml:space="preserve">package status</w:t>
      </w:r>
      <w:r>
        <w:t xml:space="preserve">（trust 或 enable 的失败原因会直接显示，按提示重取 integrity 即可）。</w:t>
      </w:r>
    </w:p>
    <w:p>
      <w:pPr>
        <w:spacing w:before="40" w:after="80"/>
      </w:pPr>
      <w:r>
        <w:t xml:space="preserve">装完不用重启，新能力在轮次边界生效。</w:t>
      </w:r>
    </w:p>
    <w:p>
      <w:pPr>
        <w:pStyle w:val="Heading3"/>
      </w:pPr>
      <w:r>
        <w:t xml:space="preserve">4. 产生运行证据</w:t>
      </w:r>
    </w:p>
    <w:p>
      <w:pPr>
        <w:spacing w:before="40" w:after="80"/>
      </w:pPr>
      <w:r>
        <w:t xml:space="preserve">按 docs/02 第五节的 6 步提示词在同一个 AGH 会话里依次跑：看工况 → 寻优 → 边界复核 →</w:t>
      </w:r>
    </w:p>
    <w:p>
      <w:pPr>
        <w:spacing w:before="40" w:after="80"/>
      </w:pPr>
      <w:r>
        <w:t xml:space="preserve">失败路径 → 出报告 → SUMO 交叉验证。每步的调用参数、返回 JSON 和你的判断都会留在会话记录里，</w:t>
      </w:r>
    </w:p>
    <w:p>
      <w:pPr>
        <w:spacing w:before="40" w:after="80"/>
      </w:pPr>
      <w:r>
        <w:t xml:space="preserve">可直接作为提交要的"AGH 执行记录 + 工具调用链 + Agnes 模型参与核心任务证据"。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四、还需要你这边确认的两件事</w:t>
      </w:r>
    </w:p>
    <w:p>
      <w:pPr>
        <w:pStyle w:val="Heading3"/>
      </w:pPr>
      <w:r>
        <w:t xml:space="preserve">1. SUMO 相位映射（唯一没在本机验证的部分）</w:t>
      </w:r>
    </w:p>
    <w:p>
      <w:pPr>
        <w:spacing w:before="40" w:after="80"/>
      </w:pPr>
      <w:r>
        <w:t xml:space="preserve">项目里的 SUMO 适配层（路网生成、车流生成、相位映射、tripinfo 指标解析、缺失时自动降级）已经写好，</w:t>
      </w:r>
    </w:p>
    <w:p>
      <w:pPr>
        <w:spacing w:before="40" w:after="80"/>
      </w:pPr>
      <w:r>
        <w:t xml:space="preserve">但这台机器没装 SUMO，我无法验证"相位映射是否对得上你的路网"。请按 docs/03 第二节核对一次：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src\cli.mjs sumo-check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src\cli.mjs sumo-sim --scenario normal --cycle 70 --green-ns 34</w:t>
      </w:r>
    </w:p>
    <w:p>
      <w:pPr>
        <w:pStyle w:val="Code"/>
        <w:shd w:val="clear" w:color="auto" w:fill="F5F5F5"/>
      </w:pPr>
      <w:r>
        <w:rPr>
          <w:rFonts w:ascii="Consolas" w:hAnsi="Consolas" w:eastAsia="Microsoft YaHei"/>
        </w:rPr>
        <w:t xml:space="preserve">node src\cli.mjs sumo-map</w:t>
      </w:r>
    </w:p>
    <w:p>
      <w:pPr>
        <w:spacing w:after="60"/>
      </w:pPr>
      <w:r>
        <w:t xml:space="preserve"/>
      </w:r>
    </w:p>
    <w:p>
      <w:pPr>
        <w:spacing w:before="40" w:after="80"/>
      </w:pPr>
      <w:r>
        <w:t xml:space="preserve">如果相位顺序不是默认约定，用 </w:t>
      </w:r>
      <w:r>
        <w:rPr>
          <w:rFonts w:ascii="Consolas" w:hAnsi="Consolas" w:eastAsia="Microsoft YaHei"/>
        </w:rPr>
        <w:t xml:space="preserve">$env:SIGNAL_LOOP_PHASE_GROUPS = 'EW,NS'</w:t>
      </w:r>
      <w:r>
        <w:t xml:space="preserve"> 覆盖后重跑。</w:t>
      </w:r>
    </w:p>
    <w:p>
      <w:pPr>
        <w:spacing w:before="40" w:after="80"/>
      </w:pPr>
      <w:r>
        <w:t xml:space="preserve">装不上也不影响主流程：其余命令照常工作，只是少了微观仿真这条交叉验证证据（需在作品说明里如实写明）。</w:t>
      </w:r>
    </w:p>
    <w:p>
      <w:pPr>
        <w:pStyle w:val="Heading3"/>
      </w:pPr>
      <w:r>
        <w:t xml:space="preserve">2. 数据口径</w:t>
      </w:r>
    </w:p>
    <w:p>
      <w:pPr>
        <w:spacing w:before="40" w:after="80"/>
      </w:pPr>
      <w:r>
        <w:t xml:space="preserve">工况里的流量目前是占位数（总需求约 2580 辆/小时），饱和流率用经验值。按排期在 10/6–10/7</w:t>
      </w:r>
    </w:p>
    <w:p>
      <w:pPr>
        <w:spacing w:before="40" w:after="80"/>
      </w:pPr>
      <w:r>
        <w:t xml:space="preserve">换成公开流量数据或你们实地计数，并在作品说明里标注数据来源——这一项直接关系到</w:t>
      </w:r>
    </w:p>
    <w:p>
      <w:pPr>
        <w:spacing w:before="40" w:after="80"/>
      </w:pPr>
      <w:r>
        <w:t xml:space="preserve">"问题价值与学科融合"那 20%。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t xml:space="preserve">五、下一步建议</w:t>
      </w:r>
    </w:p>
    <w:p>
      <w:pPr>
        <w:ind w:left="360"/>
        <w:spacing w:before="20" w:after="20"/>
      </w:pPr>
      <w:r>
        <w:t xml:space="preserve">1. 先把项目复制到 D 盘跑通第 2 步的三条命令，确认产物生成。</w:t>
      </w:r>
    </w:p>
    <w:p>
      <w:pPr>
        <w:ind w:left="360"/>
        <w:spacing w:before="20" w:after="20"/>
      </w:pPr>
      <w:r>
        <w:t xml:space="preserve">2. 再按第 3 步接进 AGH，用第 4 步的会话脚本留下第一批证据。</w:t>
      </w:r>
    </w:p>
    <w:p>
      <w:pPr>
        <w:ind w:left="360"/>
        <w:spacing w:before="20" w:after="20"/>
      </w:pPr>
      <w:r>
        <w:t xml:space="preserve">3. 抽半天时间装 SUMO、核对相位映射（docs/03），补上微观仿真对照表。</w:t>
      </w:r>
    </w:p>
    <w:p>
      <w:pPr>
        <w:ind w:left="360"/>
        <w:spacing w:before="20" w:after="20"/>
      </w:pPr>
      <w:r>
        <w:t xml:space="preserve">4. 把 docs/01 第一、二节的摘要与问题来源扩写成报名系统的正式文案，同时按 docs/04 准备视频与 PPT。</w:t>
      </w:r>
    </w:p>
    <w:p>
      <w:pPr>
        <w:spacing w:before="40" w:after="80"/>
      </w:pPr>
      <w:r>
        <w:t xml:space="preserve">提醒：报名 10/10 12:00 截止（报名后才算正式开始开发），作品提交 10/7–10/15 12:00，决赛 10/20。</w:t>
      </w:r>
    </w:p>
    <w:sectPr>
      <w:pgSz w:w="11906" w:h="16838"/>
      <w:pgMar w:top="1440" w:right="1418" w:bottom="1440" w:left="1418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1"/>
        <w:szCs w:val="21"/>
      </w:rPr>
    </w:rPrDefault>
    <w:pPrDefault>
      <w:pPr>
        <w:spacing w:after="80" w:line="300" w:lineRule="auto"/>
      </w:pPr>
    </w:pPrDefault>
  </w:docDefaults>
  <w:style w:type="paragraph" w:default="1" w:styleId="Normal">
    <w:name w:val="Normal"/>
  </w:style>
  <w:style w:type="paragraph" w:styleId="Heading1">
    <w:name w:val="heading 1"/>
    <w:pPr>
      <w:outlineLvl w:val="0"/>
      <w:spacing w:before="240" w:after="120"/>
    </w:pPr>
    <w:rPr>
      <w:b/>
      <w:sz w:val="34"/>
      <w:color w:val="1F3864"/>
    </w:rPr>
  </w:style>
  <w:style w:type="paragraph" w:styleId="Heading2">
    <w:name w:val="heading 2"/>
    <w:pPr>
      <w:outlineLvl w:val="1"/>
      <w:spacing w:before="200" w:after="100"/>
    </w:pPr>
    <w:rPr>
      <w:b/>
      <w:sz w:val="27"/>
      <w:color w:val="2E5395"/>
    </w:rPr>
  </w:style>
  <w:style w:type="paragraph" w:styleId="Heading3">
    <w:name w:val="heading 3"/>
    <w:pPr>
      <w:outlineLvl w:val="2"/>
      <w:spacing w:before="160" w:after="80"/>
    </w:pPr>
    <w:rPr>
      <w:b/>
      <w:sz w:val="24"/>
      <w:color w:val="2E5395"/>
    </w:rPr>
  </w:style>
  <w:style w:type="paragraph" w:styleId="Heading4">
    <w:name w:val="heading 4"/>
    <w:pPr>
      <w:outlineLvl w:val="3"/>
      <w:spacing w:before="140" w:after="60"/>
    </w:pPr>
    <w:rPr>
      <w:b/>
      <w:sz w:val="22"/>
    </w:rPr>
  </w:style>
  <w:style w:type="paragraph" w:styleId="Code">
    <w:name w:val="Code"/>
    <w:pPr>
      <w:spacing w:before="0" w:after="0" w:line="240" w:lineRule="auto"/>
      <w:ind w:left="240"/>
    </w:pPr>
    <w:rPr>
      <w:rFonts w:ascii="Consolas" w:hAnsi="Consolas" w:eastAsia="Microsoft YaHei"/>
      <w:sz w:val="19"/>
    </w:rPr>
  </w:style>
  <w:style w:type="paragraph" w:styleId="Quote">
    <w:name w:val="Quote"/>
    <w:pPr>
      <w:ind w:left="360"/>
    </w:pPr>
    <w:rPr>
      <w:i/>
      <w:color w:val="595959"/>
    </w:rPr>
  </w:style>
  <w:style w:type="table" w:styleId="TableGrid">
    <w:name w:val="Table Grid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agh-signal md2docx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05-交付说明</dc:title>
  <dc:creator>agh-signal</dc:creator>
  <dcterms:created xsi:type="dcterms:W3CDTF">2026-10-07T11:26:18Z</dcterms:created>
</cp:coreProperties>
</file>