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4C6A" w14:textId="77777777" w:rsidR="00E54C2B" w:rsidRPr="00E54C2B" w:rsidRDefault="00E54C2B" w:rsidP="00E54C2B">
      <w:pPr>
        <w:widowControl/>
        <w:spacing w:line="360" w:lineRule="atLeast"/>
        <w:jc w:val="left"/>
        <w:outlineLvl w:val="0"/>
        <w:rPr>
          <w:rFonts w:ascii="微软雅黑" w:eastAsia="微软雅黑" w:hAnsi="微软雅黑" w:cs="Arial"/>
          <w:color w:val="000000"/>
          <w:kern w:val="36"/>
          <w:sz w:val="28"/>
          <w:szCs w:val="28"/>
          <w14:ligatures w14:val="none"/>
        </w:rPr>
      </w:pPr>
      <w:r w:rsidRPr="00E54C2B">
        <w:rPr>
          <w:rFonts w:ascii="微软雅黑" w:eastAsia="微软雅黑" w:hAnsi="微软雅黑" w:cs="Arial"/>
          <w:color w:val="000000"/>
          <w:kern w:val="36"/>
          <w:sz w:val="28"/>
          <w:szCs w:val="28"/>
          <w14:ligatures w14:val="none"/>
        </w:rPr>
        <w:t>证券从业《金融市场基础知识》单选 1-40 题完整版（题干 + 答案 + 解析）</w:t>
      </w:r>
    </w:p>
    <w:p w14:paraId="34EB4DB5"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w:t>
      </w:r>
    </w:p>
    <w:p w14:paraId="4210F25E" w14:textId="6834ED6A"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下列关于证券公司的说法，错误的是（）。</w:t>
      </w:r>
    </w:p>
    <w:p w14:paraId="1F2EE34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证券公司，是指依照《公司法》和《证券法》设立的经营证券业务的有限责任公司或股份有限公司</w:t>
      </w:r>
    </w:p>
    <w:p w14:paraId="64D2008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世界各国对证券公司的划分和称呼不尽相同，英国、德国等一些国家和我国一样，将专营证券业务的金融机构称为证券公司</w:t>
      </w:r>
    </w:p>
    <w:p w14:paraId="676BC7F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证券公司本身也是证券市场重要的机构投资者</w:t>
      </w:r>
    </w:p>
    <w:p w14:paraId="2CE2FEB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证券公司是证券市场投融资服务的提供者，为证券发行人和投资者提供专业化的中介服务</w:t>
      </w:r>
    </w:p>
    <w:p w14:paraId="1B51630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1C4FF8A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解析：美国称券商为投资银行，英国、德国称为商人银行，并非和我国一样叫证券公司，B 错误；其余选项描述均正确。</w:t>
      </w:r>
    </w:p>
    <w:p w14:paraId="4301F51B"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w:t>
      </w:r>
    </w:p>
    <w:p w14:paraId="3D24E4A0" w14:textId="5184EC46"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证券投资基金是指通过发售（）来募集资金，形成独立财产。</w:t>
      </w:r>
    </w:p>
    <w:p w14:paraId="4B63A37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债券</w:t>
      </w:r>
    </w:p>
    <w:p w14:paraId="4883082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股票</w:t>
      </w:r>
    </w:p>
    <w:p w14:paraId="65DCF75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优先股</w:t>
      </w:r>
    </w:p>
    <w:p w14:paraId="690AAF4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基金份额</w:t>
      </w:r>
    </w:p>
    <w:p w14:paraId="59F2563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40E22A4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解析：基金依靠发售基金份额募集资金；股票代表所有权、债券代表债权，都不是基金募资载体。</w:t>
      </w:r>
    </w:p>
    <w:p w14:paraId="3F7D161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w:t>
      </w:r>
    </w:p>
    <w:p w14:paraId="3CC5A648" w14:textId="7369216D"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投服中心的主要职责不包括（）。</w:t>
      </w:r>
    </w:p>
    <w:p w14:paraId="0588F2E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进入涉嫌违法行为发生场所调查取证</w:t>
      </w:r>
    </w:p>
    <w:p w14:paraId="71DB13C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诉讼与支持诉讼</w:t>
      </w:r>
    </w:p>
    <w:p w14:paraId="7C91C7C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持股行权</w:t>
      </w:r>
    </w:p>
    <w:p w14:paraId="7FA9F01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纠纷调解</w:t>
      </w:r>
    </w:p>
    <w:p w14:paraId="356C714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答案：A</w:t>
      </w:r>
    </w:p>
    <w:p w14:paraId="1C41AEC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解析：进场调查取证属于证监会监管执法权限；投服中心职能为投资者教育、持股行权、纠纷调解、支持投资者诉讼。</w:t>
      </w:r>
    </w:p>
    <w:p w14:paraId="1EDB75F8"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4</w:t>
      </w:r>
    </w:p>
    <w:p w14:paraId="644964DD" w14:textId="2334574C"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下列关于债券当期收益率的说法，正确的是（）。</w:t>
      </w:r>
    </w:p>
    <w:p w14:paraId="6EAF4DD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当期收益率度量的是债券总利息收益占购买价格的百分比</w:t>
      </w:r>
    </w:p>
    <w:p w14:paraId="564A565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优点在于简单易算，零息债券也可以方便算当期收益</w:t>
      </w:r>
    </w:p>
    <w:p w14:paraId="7CDE758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能反映每单位投资能够获得的债券年利息收益，也能反映每单位投资的资本损益</w:t>
      </w:r>
    </w:p>
    <w:p w14:paraId="7D50CCC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缺点在于不同期限附息债券之间不能仅以当期收益率作为评判优劣的指标</w:t>
      </w:r>
    </w:p>
    <w:p w14:paraId="1FCC183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73C941C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解析：当期收益率 = 年利息 / 买入价，仅反映年度利息收益，不含资本利得；零息债券无利息无法计算；不同期限债券不能单凭当期收益率判断好坏，D 正确。</w:t>
      </w:r>
    </w:p>
    <w:p w14:paraId="0AEC722B"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5</w:t>
      </w:r>
    </w:p>
    <w:p w14:paraId="2BE48236" w14:textId="2A05CC76"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我国某大型金融机构通过发行金融债券进行直接融资，该金融债券的特点之一是（）。</w:t>
      </w:r>
    </w:p>
    <w:p w14:paraId="786419F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该金融债券表示的是银行等金融机构与金融债券持有者之间的债权债务关系</w:t>
      </w:r>
    </w:p>
    <w:p w14:paraId="3346374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该金融债券利率一般低于同期储蓄利率</w:t>
      </w:r>
    </w:p>
    <w:p w14:paraId="27C4AC4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一般不可用于抵押及转让</w:t>
      </w:r>
    </w:p>
    <w:p w14:paraId="3F125D8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一般需记名、可挂失</w:t>
      </w:r>
    </w:p>
    <w:p w14:paraId="3E9A412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答案：A</w:t>
      </w:r>
    </w:p>
    <w:p w14:paraId="3EC1875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解析：所有债券都代表发行人与持有人债权债务关系；金融债券利率高于存款，大多不记名、可自由抵押转让，BCD 错误。</w:t>
      </w:r>
    </w:p>
    <w:p w14:paraId="21714A0E"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6</w:t>
      </w:r>
    </w:p>
    <w:p w14:paraId="1232B8D4" w14:textId="3B819A24"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下列各项不属于委托指令内容为（）。</w:t>
      </w:r>
    </w:p>
    <w:p w14:paraId="3EE96A4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证券代码</w:t>
      </w:r>
    </w:p>
    <w:p w14:paraId="1B9E96F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买卖方向</w:t>
      </w:r>
    </w:p>
    <w:p w14:paraId="2E12103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委托方式</w:t>
      </w:r>
    </w:p>
    <w:p w14:paraId="060403D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委托价格</w:t>
      </w:r>
    </w:p>
    <w:p w14:paraId="63131E7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6F85E97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解析：委托指令必备要素：证券账号、证券代码、买卖方向、委托数量、委托价格；委托方式只是下单渠道，不属于指令交易内容。</w:t>
      </w:r>
    </w:p>
    <w:p w14:paraId="7F5A79AE"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7</w:t>
      </w:r>
    </w:p>
    <w:p w14:paraId="4CFB075D" w14:textId="760337A8"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下列关于金融市场风险敏感性分析的说法，错误的是（）。</w:t>
      </w:r>
    </w:p>
    <w:p w14:paraId="55565E1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敏感性分析将投资风险暴露与风险因子联系起来</w:t>
      </w:r>
    </w:p>
    <w:p w14:paraId="6D637F8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敏感性分析是全面的风险衡量方法</w:t>
      </w:r>
    </w:p>
    <w:p w14:paraId="1D1F3CB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敏感性分析关注的是投资价值的变化</w:t>
      </w:r>
    </w:p>
    <w:p w14:paraId="52695C5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敏感性分析将风险因子的变化视为外生的</w:t>
      </w:r>
    </w:p>
    <w:p w14:paraId="2F08A5B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79C9253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解析：敏感性分析属于静态、片面分析，仅单一变量变动测算，无法全面衡量整体市场风险，B 错误。</w:t>
      </w:r>
    </w:p>
    <w:p w14:paraId="34A62F8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8</w:t>
      </w:r>
    </w:p>
    <w:p w14:paraId="667A7235" w14:textId="747B2D6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资产支持证券的特点不包括（）。</w:t>
      </w:r>
    </w:p>
    <w:p w14:paraId="027C5A7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可以改变发起人的资产结构，改善资产质量</w:t>
      </w:r>
    </w:p>
    <w:p w14:paraId="77A80AD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将流动性较低的资产转化为具有较高流动的可交易证券</w:t>
      </w:r>
    </w:p>
    <w:p w14:paraId="04B55C2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以资产池为基础</w:t>
      </w:r>
    </w:p>
    <w:p w14:paraId="3C9D715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提高投资者的收益水平</w:t>
      </w:r>
    </w:p>
    <w:p w14:paraId="7F11749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5BB28CD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解析：资产证券化盘活低流动性底层资产、优化发行人报表，但不能保证、也不存在 “提高投资者收益” 的固定特点。</w:t>
      </w:r>
    </w:p>
    <w:p w14:paraId="6BD2C330"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9</w:t>
      </w:r>
    </w:p>
    <w:p w14:paraId="0F96FE87" w14:textId="3489AE8C"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证券竞价交易必须遵循的原则是（）。</w:t>
      </w:r>
    </w:p>
    <w:p w14:paraId="2EAF3EB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A 价格优先原则和数量优先原则</w:t>
      </w:r>
    </w:p>
    <w:p w14:paraId="1405926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价格优先原则和时间优先原则</w:t>
      </w:r>
    </w:p>
    <w:p w14:paraId="34CE3B6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时间优先原则和数量优先原则</w:t>
      </w:r>
    </w:p>
    <w:p w14:paraId="66CAC5C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客户优先原则和时间优先原则</w:t>
      </w:r>
    </w:p>
    <w:p w14:paraId="0C121C7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2DDACB6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解析：交易所竞价两大核心规则：价格优先、时间优先。</w:t>
      </w:r>
    </w:p>
    <w:p w14:paraId="3DBA4E3E"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10</w:t>
      </w:r>
    </w:p>
    <w:p w14:paraId="2F5864DC" w14:textId="20F9FA84"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下列不属于国债销售价格影响因素的是（）。</w:t>
      </w:r>
    </w:p>
    <w:p w14:paraId="6D22189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市场利率</w:t>
      </w:r>
    </w:p>
    <w:p w14:paraId="5015924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承销商承销国债的中标成本</w:t>
      </w:r>
    </w:p>
    <w:p w14:paraId="66995D5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流通市场中可比国债的收益率水平</w:t>
      </w:r>
    </w:p>
    <w:p w14:paraId="249FEC7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人民币汇率</w:t>
      </w:r>
    </w:p>
    <w:p w14:paraId="263F5AB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6788BF6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解析：国内普通国债销售定价受市场利率、承销成本、二级市场同期限国债收益率影响，人民币汇率不直接影响定价。</w:t>
      </w:r>
    </w:p>
    <w:p w14:paraId="0423BBD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11</w:t>
      </w:r>
    </w:p>
    <w:p w14:paraId="69EA16BF" w14:textId="310C62A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证券公司承担的信用风险在其整体风险承担中的占比要低于商业银行，这主要是由其（）结构特点决定的。</w:t>
      </w:r>
    </w:p>
    <w:p w14:paraId="54778FF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负债</w:t>
      </w:r>
    </w:p>
    <w:p w14:paraId="09DA531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盈利</w:t>
      </w:r>
    </w:p>
    <w:p w14:paraId="17B17B5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业务</w:t>
      </w:r>
    </w:p>
    <w:p w14:paraId="0ED542A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权益</w:t>
      </w:r>
    </w:p>
    <w:p w14:paraId="266A9AD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答案：C</w:t>
      </w:r>
    </w:p>
    <w:p w14:paraId="62C22CD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解析：银行核心业务是信贷，信用风险为主；券商核心业务为经纪、投行、自营，信用风险仅来自两融、股票质押等少数业务，由业务结构决定。</w:t>
      </w:r>
    </w:p>
    <w:p w14:paraId="4E3E7FE1"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12</w:t>
      </w:r>
    </w:p>
    <w:p w14:paraId="4EBCC3CA" w14:textId="4330C209"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下列关于股票退市制度的说法，错误的是（）。</w:t>
      </w:r>
    </w:p>
    <w:p w14:paraId="3AAFE92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股票退市包括主动退市和强制退市</w:t>
      </w:r>
    </w:p>
    <w:p w14:paraId="099190E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股票退市制度有利于健全资本市场功能</w:t>
      </w:r>
    </w:p>
    <w:p w14:paraId="306FFBA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科创板上市公司股票被终止上市的，均可申请重新上市</w:t>
      </w:r>
    </w:p>
    <w:p w14:paraId="53160F6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股票退市制度有利于增强市场主体活力，提高市场竞争力</w:t>
      </w:r>
    </w:p>
    <w:p w14:paraId="105AE00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09514A0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解析：科创板因重大违法强制退市的企业，永久不能申请重新上市，并非全部退市企业都可重新上市。</w:t>
      </w:r>
    </w:p>
    <w:p w14:paraId="0E92C8F1"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13</w:t>
      </w:r>
    </w:p>
    <w:p w14:paraId="30336E77" w14:textId="40909D4D"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下列关于股票基金的说法，错误的是（）。</w:t>
      </w:r>
    </w:p>
    <w:p w14:paraId="4021857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股票基金 90% 以上的基金资产投资于股票</w:t>
      </w:r>
    </w:p>
    <w:p w14:paraId="61096BC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股票基金的风险较高，但预期收益也高</w:t>
      </w:r>
    </w:p>
    <w:p w14:paraId="4178E42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股票基金是指以股票为主要投资对象的投资基金</w:t>
      </w:r>
    </w:p>
    <w:p w14:paraId="55D54F6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股票基金的投资目标侧重于追求资本利得和长期资本增值</w:t>
      </w:r>
    </w:p>
    <w:p w14:paraId="73534AA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答案：A</w:t>
      </w:r>
    </w:p>
    <w:p w14:paraId="5D64B42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解析：监管标准：80% 以上资产投资股票即为股票基金，不是 90%。</w:t>
      </w:r>
    </w:p>
    <w:p w14:paraId="7B6005D2"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14</w:t>
      </w:r>
    </w:p>
    <w:p w14:paraId="2DCC3856" w14:textId="06EF582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基金投资者可以通过办理（）业务，实现其变更办理基金业务销售网点的需要。</w:t>
      </w:r>
    </w:p>
    <w:p w14:paraId="0E99F63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份额冻结</w:t>
      </w:r>
    </w:p>
    <w:p w14:paraId="43874D9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份额转换</w:t>
      </w:r>
    </w:p>
    <w:p w14:paraId="38B8306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非交易过户</w:t>
      </w:r>
    </w:p>
    <w:p w14:paraId="0D25F97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份额转托管</w:t>
      </w:r>
    </w:p>
    <w:p w14:paraId="04E05BD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2E2F37F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解析：份额转托管专门用于将基金份额从一个销售渠道转移至另一渠道；份额转换是同管理人基金互转，非交易过户用于继承、赠与。</w:t>
      </w:r>
    </w:p>
    <w:p w14:paraId="6483E7A8"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15</w:t>
      </w:r>
    </w:p>
    <w:p w14:paraId="335B16D0" w14:textId="2714DCEE"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下列关于上市公司增发的说法，正确的是（）。</w:t>
      </w:r>
    </w:p>
    <w:p w14:paraId="4886E9E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优先配售比例无需在发行公告中披露</w:t>
      </w:r>
    </w:p>
    <w:p w14:paraId="7AC9040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原股东不享有优先配售权</w:t>
      </w:r>
    </w:p>
    <w:p w14:paraId="0CADA0E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可以部分或全部向原股东优先配售</w:t>
      </w:r>
    </w:p>
    <w:p w14:paraId="7C033FB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优先配售比例仅需在发行结果中披露</w:t>
      </w:r>
    </w:p>
    <w:p w14:paraId="23B15D3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66514D0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解析：公开增发可选择全部配售老股东、部分配售、不配售三种方式；配售比例必须提前在发行公告披露，原股东依法享有优先配售权。</w:t>
      </w:r>
    </w:p>
    <w:p w14:paraId="580628FE"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16</w:t>
      </w:r>
    </w:p>
    <w:p w14:paraId="7F5F6B5E" w14:textId="666C625C"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下列关于证券公司风险资本的说法，错误的是（）。</w:t>
      </w:r>
    </w:p>
    <w:p w14:paraId="0AA6DFD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证券公司可采用内部模型法等风险计量高级方法计算风险资本准备</w:t>
      </w:r>
    </w:p>
    <w:p w14:paraId="3EE6547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风险资本是证券公司持有的符合规定的净资本与负债之间的比率</w:t>
      </w:r>
    </w:p>
    <w:p w14:paraId="2543EBE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风险资本准备是证券公司在开展业务过程中，因市场风险等可能引起的非预期损失所需要的资本</w:t>
      </w:r>
    </w:p>
    <w:p w14:paraId="39BE6C2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风险资本是证券公司重要的风险控制指标</w:t>
      </w:r>
    </w:p>
    <w:p w14:paraId="5948604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48A22F2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解析：净资本 / 负债比率是风险覆盖率指标；风险资本是覆盖非预期损失的资本金，本身不是比率。</w:t>
      </w:r>
    </w:p>
    <w:p w14:paraId="10F8B1B5"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17</w:t>
      </w:r>
    </w:p>
    <w:p w14:paraId="2FC636DC" w14:textId="670663B2"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在金融衍生工具中，利率互换交易是根据（）计算利息。</w:t>
      </w:r>
    </w:p>
    <w:p w14:paraId="6233620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实际金额</w:t>
      </w:r>
    </w:p>
    <w:p w14:paraId="6845552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资金成本</w:t>
      </w:r>
    </w:p>
    <w:p w14:paraId="46E191F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名义本金</w:t>
      </w:r>
    </w:p>
    <w:p w14:paraId="56AA6D4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本金数额</w:t>
      </w:r>
    </w:p>
    <w:p w14:paraId="63300D5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457DCCA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解析：利率互换双方不交换本金，仅基于约定名义本金计算利息差额并交割。</w:t>
      </w:r>
    </w:p>
    <w:p w14:paraId="06210607"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18</w:t>
      </w:r>
    </w:p>
    <w:p w14:paraId="3BF0E879" w14:textId="7B2BA2AA"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下列不属于国外股票价格指数的是（）。</w:t>
      </w:r>
    </w:p>
    <w:p w14:paraId="2413510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富时指数</w:t>
      </w:r>
    </w:p>
    <w:p w14:paraId="141983E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B 沪深 300 指数</w:t>
      </w:r>
    </w:p>
    <w:p w14:paraId="31E59AB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道</w:t>
      </w:r>
      <w:r w:rsidRPr="00E54C2B">
        <w:rPr>
          <w:rFonts w:ascii="微软雅黑" w:eastAsia="微软雅黑" w:hAnsi="微软雅黑" w:cs="微软雅黑" w:hint="eastAsia"/>
          <w:color w:val="000000"/>
          <w:kern w:val="0"/>
          <w:sz w:val="28"/>
          <w:szCs w:val="28"/>
          <w14:ligatures w14:val="none"/>
        </w:rPr>
        <w:t>・</w:t>
      </w:r>
      <w:r w:rsidRPr="00E54C2B">
        <w:rPr>
          <w:rFonts w:ascii="微软雅黑" w:eastAsia="微软雅黑" w:hAnsi="微软雅黑" w:cs="宋体" w:hint="eastAsia"/>
          <w:color w:val="000000"/>
          <w:kern w:val="0"/>
          <w:sz w:val="28"/>
          <w:szCs w:val="28"/>
          <w14:ligatures w14:val="none"/>
        </w:rPr>
        <w:t>琼斯工业股价平均数</w:t>
      </w:r>
    </w:p>
    <w:p w14:paraId="506C627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标准普尔 500 指数</w:t>
      </w:r>
    </w:p>
    <w:p w14:paraId="690AA48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5857CB4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解析：沪深 300 是沪深交易所编制的国内 A 股指数；富时（英国）、道琼斯、标普 500（美国）均为境外指数。</w:t>
      </w:r>
    </w:p>
    <w:p w14:paraId="3B1F4282"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19</w:t>
      </w:r>
    </w:p>
    <w:p w14:paraId="39474088" w14:textId="540C4F6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证券承销是证券公司代理（）发行证券的行为。</w:t>
      </w:r>
    </w:p>
    <w:p w14:paraId="7D8369E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金融机构</w:t>
      </w:r>
    </w:p>
    <w:p w14:paraId="3583EF6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证券发行人</w:t>
      </w:r>
    </w:p>
    <w:p w14:paraId="218547A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商业银行</w:t>
      </w:r>
    </w:p>
    <w:p w14:paraId="111B5CD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投资银行</w:t>
      </w:r>
    </w:p>
    <w:p w14:paraId="61C659C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116F432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解析：承销定义：券商接受证券发行人委托代为销售证券，发行人包含政府、企业、金融机构等。</w:t>
      </w:r>
    </w:p>
    <w:p w14:paraId="746FB516"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20</w:t>
      </w:r>
    </w:p>
    <w:p w14:paraId="7C82F43D" w14:textId="774E7E1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下列关于优先股和债券之间异同的说法，错误的是（）。</w:t>
      </w:r>
    </w:p>
    <w:p w14:paraId="46E0D40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两者的根本区别在于法律属性不同</w:t>
      </w:r>
    </w:p>
    <w:p w14:paraId="3A33D55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优先股没有到期的概念，绝大多数债券需要到期还本付息</w:t>
      </w:r>
    </w:p>
    <w:p w14:paraId="718CEDB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优先股的股息收益不确定性大于债券</w:t>
      </w:r>
    </w:p>
    <w:p w14:paraId="468816F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优先股的股息、债券的利息一般都来自于税前利润</w:t>
      </w:r>
    </w:p>
    <w:p w14:paraId="6DE4DB76" w14:textId="33BE7DF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7FC43BB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解析：债券利息可税前扣除抵税；优先股股息只能从税后净利润发放，D 错误。</w:t>
      </w:r>
    </w:p>
    <w:p w14:paraId="2634EE3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21</w:t>
      </w:r>
    </w:p>
    <w:p w14:paraId="57A3C078" w14:textId="274A5CBD"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下列关于金融市场的说法，正确的是（）。</w:t>
      </w:r>
    </w:p>
    <w:p w14:paraId="401BAB8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金融市场只是交易金融资产的市场</w:t>
      </w:r>
    </w:p>
    <w:p w14:paraId="00908ED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金融市场既是要素市场，也是产品市场</w:t>
      </w:r>
    </w:p>
    <w:p w14:paraId="44C4D9C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金融市场并不是创造金融资产的市场</w:t>
      </w:r>
    </w:p>
    <w:p w14:paraId="4EE34A9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金融市场既有有形的固定交易场所，同时还有通过各种通信手段形成的庞大的无形市场</w:t>
      </w:r>
    </w:p>
    <w:p w14:paraId="00B130A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28A3B66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解析：金融市场兼具创造、交易金融资产功能，只属于要素市场；分为有形交易所、场外无形线上市场，D 正确。</w:t>
      </w:r>
    </w:p>
    <w:p w14:paraId="2B9886ED"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22</w:t>
      </w:r>
    </w:p>
    <w:p w14:paraId="157CEF5B" w14:textId="2DF2AE04"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在交易对手信用风险管理方面，净额结算使得交易商可以使用有限的资本支撑起较大的交易规模，使整个市场（）的增长慢于整个市场的市值增长。</w:t>
      </w:r>
    </w:p>
    <w:p w14:paraId="74F7293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信用风险敞口</w:t>
      </w:r>
    </w:p>
    <w:p w14:paraId="48F44F0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净额资金敞口</w:t>
      </w:r>
    </w:p>
    <w:p w14:paraId="5F8871F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资本敞口</w:t>
      </w:r>
    </w:p>
    <w:p w14:paraId="10891A4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流动性敞口</w:t>
      </w:r>
    </w:p>
    <w:p w14:paraId="76C2C25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答案：A</w:t>
      </w:r>
    </w:p>
    <w:p w14:paraId="28A5FFD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解析：净额结算抵消对手方合约债权债务，压缩整体信用风险敞口，风险敞口增速低于市场市值扩张速度。</w:t>
      </w:r>
    </w:p>
    <w:p w14:paraId="035571C5"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23</w:t>
      </w:r>
    </w:p>
    <w:p w14:paraId="7FFA33AE" w14:textId="520AA805"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在我国经济高质量发展阶段，增强金融服务实体经济能力的举措不包括（）。</w:t>
      </w:r>
    </w:p>
    <w:p w14:paraId="3C9DA55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有序资金 “脱虚向实”</w:t>
      </w:r>
    </w:p>
    <w:p w14:paraId="06DD6A4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补齐各类金融市场短板</w:t>
      </w:r>
    </w:p>
    <w:p w14:paraId="7743E86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鼓励以交易技术和风险管理能力为主要目的的金融创新</w:t>
      </w:r>
    </w:p>
    <w:p w14:paraId="0338C9B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提升间接融资比重</w:t>
      </w:r>
    </w:p>
    <w:p w14:paraId="349F076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53ED0FA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解析：国家政策导向为提高直接融资比重，降低银行间接融资依赖，D 不属于服务实体举措。</w:t>
      </w:r>
    </w:p>
    <w:p w14:paraId="487D9052"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24</w:t>
      </w:r>
    </w:p>
    <w:p w14:paraId="141664CC" w14:textId="7DDC961D"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下列项目当中不属于我国发行的普通国债的是（）。</w:t>
      </w:r>
    </w:p>
    <w:p w14:paraId="3A2592C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储蓄国债（电子式）</w:t>
      </w:r>
    </w:p>
    <w:p w14:paraId="4E7C4CE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长期建设国债</w:t>
      </w:r>
    </w:p>
    <w:p w14:paraId="11A03D9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记账式国债</w:t>
      </w:r>
    </w:p>
    <w:p w14:paraId="4B67E91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储蓄国债（凭证式）</w:t>
      </w:r>
    </w:p>
    <w:p w14:paraId="6C657D9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0C8F846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解析：普通国债三类：记账式、凭证式储蓄国债、电子式储蓄国债；长期建设国债属于专项建设债券，不属于普通国债。</w:t>
      </w:r>
    </w:p>
    <w:p w14:paraId="78D699E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25</w:t>
      </w:r>
    </w:p>
    <w:p w14:paraId="5BDB7894" w14:textId="1277CF9F"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存托凭证主要在（）的环境下应运而生。</w:t>
      </w:r>
    </w:p>
    <w:p w14:paraId="0DADA63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资本本土化</w:t>
      </w:r>
    </w:p>
    <w:p w14:paraId="59CDC39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资本市场国际化</w:t>
      </w:r>
    </w:p>
    <w:p w14:paraId="45D5B2F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投资多元化</w:t>
      </w:r>
    </w:p>
    <w:p w14:paraId="323F037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机构多样化</w:t>
      </w:r>
    </w:p>
    <w:p w14:paraId="367501B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41CF8B4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解析：存托凭证为跨境跨国投资、境外企业跨境上市设计，适配资本市场国际化场景。</w:t>
      </w:r>
    </w:p>
    <w:p w14:paraId="521E9BF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26</w:t>
      </w:r>
    </w:p>
    <w:p w14:paraId="7B528B5A" w14:textId="1964CE9F"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不属于私募投资基金特点的是（）。</w:t>
      </w:r>
    </w:p>
    <w:p w14:paraId="28B8EB1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投资额度有较大的灵活性</w:t>
      </w:r>
    </w:p>
    <w:p w14:paraId="5920954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组合投资方式具有不可逆性</w:t>
      </w:r>
    </w:p>
    <w:p w14:paraId="520B5AD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投资具有相对较强的自主性</w:t>
      </w:r>
    </w:p>
    <w:p w14:paraId="18A8139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分散投资</w:t>
      </w:r>
    </w:p>
    <w:p w14:paraId="03035D0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33145D4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解析：公募基金强制分散投资；私募基金多集中投资，门槛灵活、封闭持有、投资自主。</w:t>
      </w:r>
    </w:p>
    <w:p w14:paraId="2F4AA205"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27</w:t>
      </w:r>
    </w:p>
    <w:p w14:paraId="5D3659A7" w14:textId="4B5764A8"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根据《证券法》，下列可以作为诉讼代表人，按照 “明示退出、默示加入” 的原则依法为受害投资者提起民事损害赔偿诉讼的是（）。</w:t>
      </w:r>
    </w:p>
    <w:p w14:paraId="091A529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证券交易所</w:t>
      </w:r>
    </w:p>
    <w:p w14:paraId="51DEDBB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B 投资者保护机构</w:t>
      </w:r>
    </w:p>
    <w:p w14:paraId="6DA0078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律师事务所</w:t>
      </w:r>
    </w:p>
    <w:p w14:paraId="2F4D65D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证券投资基金公司</w:t>
      </w:r>
    </w:p>
    <w:p w14:paraId="4747B70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25445E0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解析：中证投服中心（投资者保护机构）法定拥有代表人集体诉讼资格，适用明示退出、默示加入规则。</w:t>
      </w:r>
    </w:p>
    <w:p w14:paraId="4AD91DDF"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28</w:t>
      </w:r>
    </w:p>
    <w:p w14:paraId="065BC53D" w14:textId="72BD520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我国的基金管理费、基金托管费及基金销售服务费均是按照前一日（）的一定比例逐日计提，按月支付。</w:t>
      </w:r>
    </w:p>
    <w:p w14:paraId="09AA64B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基金赎回额</w:t>
      </w:r>
    </w:p>
    <w:p w14:paraId="68E78D9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基金申购额</w:t>
      </w:r>
    </w:p>
    <w:p w14:paraId="1630898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基金资产净值</w:t>
      </w:r>
    </w:p>
    <w:p w14:paraId="5F19543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基金总份额</w:t>
      </w:r>
    </w:p>
    <w:p w14:paraId="69C1919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41FAF0C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解析：公募三项固定费用统一以前一交易日基金资产净值为计提基数，每日计提、按月结算。</w:t>
      </w:r>
    </w:p>
    <w:p w14:paraId="52F3A822"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29</w:t>
      </w:r>
    </w:p>
    <w:p w14:paraId="6885EFC6" w14:textId="6400BDF1"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下列关于私募基金的说法，错误的是（）。</w:t>
      </w:r>
    </w:p>
    <w:p w14:paraId="754C6D7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有明确的对投资者的细化、识别和评估的方法</w:t>
      </w:r>
    </w:p>
    <w:p w14:paraId="100FAB8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信息披露要真实、准确、完整地披露投资者作出投资决策所需要的主要信息</w:t>
      </w:r>
    </w:p>
    <w:p w14:paraId="4434DA8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完善私募基金投资者适当性管理制度</w:t>
      </w:r>
    </w:p>
    <w:p w14:paraId="3AB0172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D 募集说明书语言专业复杂，符合从业人员的理解能力</w:t>
      </w:r>
    </w:p>
    <w:p w14:paraId="1075102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75F991F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解析：私募募集说明书要求语言简明通俗，便于合格投资者读懂，不能堆砌晦涩专业术语。</w:t>
      </w:r>
    </w:p>
    <w:p w14:paraId="02619CDB"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30</w:t>
      </w:r>
    </w:p>
    <w:p w14:paraId="75CB353A" w14:textId="0B83B9DE"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下列关于北交所上市公司向特定对象发行股票的条件，错误的是（）。</w:t>
      </w:r>
    </w:p>
    <w:p w14:paraId="0FC5F0B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合法规范经营，如实履行信息披露义务</w:t>
      </w:r>
    </w:p>
    <w:p w14:paraId="37AFF2E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具有独立、稳定经营能力，不存在对持续经营有重大不利影响的情形</w:t>
      </w:r>
    </w:p>
    <w:p w14:paraId="74061C4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上市时除董事高管人员最近半年内未受到北交所公开谴责</w:t>
      </w:r>
    </w:p>
    <w:p w14:paraId="2978790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具备健全且运行良好的组织机构</w:t>
      </w:r>
    </w:p>
    <w:p w14:paraId="0DC817A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503F284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解析：北交所定增要求董监高最近 12 个月未被交易所公开谴责，不是半年。</w:t>
      </w:r>
    </w:p>
    <w:p w14:paraId="21F9B6EA"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31</w:t>
      </w:r>
    </w:p>
    <w:p w14:paraId="03EAF78B" w14:textId="577E420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在证券账户管理基本原则中，（）是指只有国家法律允许进行证券交易的自然人和法人才能开立证券账户。</w:t>
      </w:r>
    </w:p>
    <w:p w14:paraId="68273C6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真实性</w:t>
      </w:r>
    </w:p>
    <w:p w14:paraId="4444278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规范性</w:t>
      </w:r>
    </w:p>
    <w:p w14:paraId="05AC910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合法性</w:t>
      </w:r>
    </w:p>
    <w:p w14:paraId="4843809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一致性</w:t>
      </w:r>
    </w:p>
    <w:p w14:paraId="60AA228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答案：C</w:t>
      </w:r>
    </w:p>
    <w:p w14:paraId="79FAD1C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解析：合法性原则限定开户主体必须是法律允许参与证券交易的自然人、法人；真实性指身份信息真实。</w:t>
      </w:r>
    </w:p>
    <w:p w14:paraId="264DD4F9"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32</w:t>
      </w:r>
    </w:p>
    <w:p w14:paraId="12F011AD" w14:textId="21B7F238"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下列不属于基金服务机构的是（）。</w:t>
      </w:r>
    </w:p>
    <w:p w14:paraId="1EE2DCB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基金评价机构</w:t>
      </w:r>
    </w:p>
    <w:p w14:paraId="0039005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基金销售机构</w:t>
      </w:r>
    </w:p>
    <w:p w14:paraId="25CDD5A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基金监管机构</w:t>
      </w:r>
    </w:p>
    <w:p w14:paraId="64894FC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基金份额登记机构</w:t>
      </w:r>
    </w:p>
    <w:p w14:paraId="02C6D97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219279D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解析：销售、登记、评价机构属于市场化基金配套服务机构；证监会是行政监管机构，不属于服务机构。</w:t>
      </w:r>
    </w:p>
    <w:p w14:paraId="0B58D007"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33</w:t>
      </w:r>
    </w:p>
    <w:p w14:paraId="69315962" w14:textId="28D4027F"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证券公司为客户提供证券代理买卖业务收取的费用是（）。</w:t>
      </w:r>
    </w:p>
    <w:p w14:paraId="253EF15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投顾费</w:t>
      </w:r>
    </w:p>
    <w:p w14:paraId="7ABCC62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佣金</w:t>
      </w:r>
    </w:p>
    <w:p w14:paraId="3709DD0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印花税</w:t>
      </w:r>
    </w:p>
    <w:p w14:paraId="1071CEF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过户费</w:t>
      </w:r>
    </w:p>
    <w:p w14:paraId="791E40C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18A925E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解析：佣金是券商代理买卖证券的中介服务费；印花税归税务，过户费归登记结算公司，投顾费是单独咨询服务费。</w:t>
      </w:r>
    </w:p>
    <w:p w14:paraId="2C21087C"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34</w:t>
      </w:r>
    </w:p>
    <w:p w14:paraId="0A4F3B8A" w14:textId="687085CB"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下列关于证券市场投资者的说法，错误的是（）。</w:t>
      </w:r>
    </w:p>
    <w:p w14:paraId="1CABE358"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众多的证券市场投资者保证了证券发行和交易的连续性，是推动证券市场价格形成和流动性的根本动力</w:t>
      </w:r>
    </w:p>
    <w:p w14:paraId="093D620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证券市场各类投资者的目的各不相同，有些偏重于长期投资，有些则偏重于短线交易</w:t>
      </w:r>
    </w:p>
    <w:p w14:paraId="12E5EC0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证券市场投资者是证券市场的资金供给者</w:t>
      </w:r>
    </w:p>
    <w:p w14:paraId="199C815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证券市场投资者，是指仅以取得和资本收益为目的，购买并持有有价证券，承担证券投资风险并行使证券权利的主体</w:t>
      </w:r>
    </w:p>
    <w:p w14:paraId="241AB44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2F83FC0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解析：投资者投资目的不只有资本增值，还有战略持股、套期保值等，“仅以资本收益” 表述片面。</w:t>
      </w:r>
    </w:p>
    <w:p w14:paraId="7568CE17"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35</w:t>
      </w:r>
    </w:p>
    <w:p w14:paraId="50B74CFA" w14:textId="3FC9BDC6"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银行间债券市场的参与主体不包括（）。</w:t>
      </w:r>
    </w:p>
    <w:p w14:paraId="2311002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证券公司</w:t>
      </w:r>
    </w:p>
    <w:p w14:paraId="5E3F3F7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农村信用联社</w:t>
      </w:r>
    </w:p>
    <w:p w14:paraId="3B71AE2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交易所</w:t>
      </w:r>
    </w:p>
    <w:p w14:paraId="133257A0"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商业银行</w:t>
      </w:r>
    </w:p>
    <w:p w14:paraId="0D583F9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0D8D1D2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解析：银行间债券是场外机构市场，交易所是场内交易场所，不属于该市场参与主体。</w:t>
      </w:r>
    </w:p>
    <w:p w14:paraId="79A39CE8"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36</w:t>
      </w:r>
    </w:p>
    <w:p w14:paraId="14C75E47" w14:textId="3982268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我国证券投资基金行业的监管主体是（）。</w:t>
      </w:r>
    </w:p>
    <w:p w14:paraId="3F78962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A 中国证券业协会</w:t>
      </w:r>
    </w:p>
    <w:p w14:paraId="1024E6C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中国证监会</w:t>
      </w:r>
    </w:p>
    <w:p w14:paraId="72B72CB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中国人民银行</w:t>
      </w:r>
    </w:p>
    <w:p w14:paraId="783C994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中国证券投资基金业协会</w:t>
      </w:r>
    </w:p>
    <w:p w14:paraId="47D0A58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w:t>
      </w:r>
    </w:p>
    <w:p w14:paraId="2A6B5EE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解析：证监会是基金行业行政监管主体；基金业协会、证券业协会为自律组织。</w:t>
      </w:r>
    </w:p>
    <w:p w14:paraId="74246722"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37</w:t>
      </w:r>
    </w:p>
    <w:p w14:paraId="33956B6E" w14:textId="510CDB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根据《证券法》，下列关于证券服务机构法律责任的说法，正确的是（）。</w:t>
      </w:r>
    </w:p>
    <w:p w14:paraId="064719F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财务顾问机构为上市公司收购制作的文件有虚假记载给他人造成损失的，无论是否存在过错，应当与委托人承担连带赔偿责任</w:t>
      </w:r>
    </w:p>
    <w:p w14:paraId="70BC5C71"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律师事务所为证券发行出具的文件有误导性陈述，因过错给他人造成损失的，应当承担补充赔偿责任</w:t>
      </w:r>
    </w:p>
    <w:p w14:paraId="053345F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会计师事务所为证券上市出具的文件有虚假记载，给他人造成损失，能够证明自己没有过错的，不应当与委托人承担连带赔偿责任</w:t>
      </w:r>
    </w:p>
    <w:p w14:paraId="1B10431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资信评级机构为上交所债券出具的评级报告有重大遗漏，无法证明自己没有过错的，应独立承担全部赔偿责任</w:t>
      </w:r>
    </w:p>
    <w:p w14:paraId="59EA96D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w:t>
      </w:r>
    </w:p>
    <w:p w14:paraId="17A93C2D"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解析：证券服务机构适用过错推定责任：能举证自身无过错，无需承担连带赔偿；存在过错则与发行人连带，而非补充、独立全额赔偿。</w:t>
      </w:r>
    </w:p>
    <w:p w14:paraId="5276592C"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38</w:t>
      </w:r>
    </w:p>
    <w:p w14:paraId="2147CA1F" w14:textId="754C3693"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下列关于首次公开发行的说法，错误的是（）。</w:t>
      </w:r>
    </w:p>
    <w:p w14:paraId="5A21D8A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通过首次公开发行，发行人成为上市公众公司</w:t>
      </w:r>
    </w:p>
    <w:p w14:paraId="5F80A2B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通过首次公开发行，发行人完成了股份有限公司的设立或改制</w:t>
      </w:r>
    </w:p>
    <w:p w14:paraId="64EFBEA4"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首次公开发行是发行人在满足必须具备的条件，并经证券监管机构审核、注册后，通过证券承销机构面向社会公众公开发行股票并在证券交易所上市的过程</w:t>
      </w:r>
    </w:p>
    <w:p w14:paraId="5C718A3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首次公开发行，是指拟上市公司首次面向特定投资者公开发行股票募集资金并上市的行为</w:t>
      </w:r>
    </w:p>
    <w:p w14:paraId="0ACF7A3B"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答案：D</w:t>
      </w:r>
    </w:p>
    <w:p w14:paraId="5490E9A5"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解析：IPO 是面向不特定社会公众发行；面向特定投资者属于非公开发行，不属于首次公开发行。</w:t>
      </w:r>
    </w:p>
    <w:p w14:paraId="56605254"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39（多选）</w:t>
      </w:r>
    </w:p>
    <w:p w14:paraId="4843563A" w14:textId="07D69726"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我国证券交易所现行竞价方式有（）。</w:t>
      </w:r>
    </w:p>
    <w:p w14:paraId="5A4FD69F"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招标竞价</w:t>
      </w:r>
    </w:p>
    <w:p w14:paraId="43E96CA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拍卖竞价</w:t>
      </w:r>
    </w:p>
    <w:p w14:paraId="6CFA02C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连续竞价</w:t>
      </w:r>
    </w:p>
    <w:p w14:paraId="4E4A8542"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集合竞价</w:t>
      </w:r>
    </w:p>
    <w:p w14:paraId="1BE7088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答案：CD</w:t>
      </w:r>
    </w:p>
    <w:p w14:paraId="093EC477"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解析：沪深交易所两种竞价模式：集合竞价（开盘、收盘集中撮合）、连续竞价（盘中实时撮合）。</w:t>
      </w:r>
    </w:p>
    <w:p w14:paraId="4803BD28" w14:textId="77777777" w:rsidR="00E54C2B" w:rsidRPr="00E54C2B" w:rsidRDefault="00E54C2B" w:rsidP="00E54C2B">
      <w:pPr>
        <w:widowControl/>
        <w:spacing w:line="360" w:lineRule="atLeast"/>
        <w:jc w:val="left"/>
        <w:outlineLvl w:val="1"/>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40（多选）</w:t>
      </w:r>
    </w:p>
    <w:p w14:paraId="527C7CA6" w14:textId="4E71361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lastRenderedPageBreak/>
        <w:t>地方政府一般债券的发行主体可以有（）。</w:t>
      </w:r>
    </w:p>
    <w:p w14:paraId="0CC6D356"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A 地级市政府</w:t>
      </w:r>
    </w:p>
    <w:p w14:paraId="42A6345A"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B 省政府</w:t>
      </w:r>
    </w:p>
    <w:p w14:paraId="7D333DAE"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C 自治区政府</w:t>
      </w:r>
    </w:p>
    <w:p w14:paraId="31D22603"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D 直辖市政府</w:t>
      </w:r>
    </w:p>
    <w:p w14:paraId="660906D9"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答案：BCD</w:t>
      </w:r>
    </w:p>
    <w:p w14:paraId="035890CC" w14:textId="77777777" w:rsidR="00E54C2B" w:rsidRPr="00E54C2B" w:rsidRDefault="00E54C2B" w:rsidP="00E54C2B">
      <w:pPr>
        <w:widowControl/>
        <w:spacing w:line="360" w:lineRule="atLeast"/>
        <w:jc w:val="left"/>
        <w:rPr>
          <w:rFonts w:ascii="微软雅黑" w:eastAsia="微软雅黑" w:hAnsi="微软雅黑" w:cs="Arial"/>
          <w:color w:val="000000"/>
          <w:kern w:val="0"/>
          <w:sz w:val="28"/>
          <w:szCs w:val="28"/>
          <w14:ligatures w14:val="none"/>
        </w:rPr>
      </w:pPr>
      <w:r w:rsidRPr="00E54C2B">
        <w:rPr>
          <w:rFonts w:ascii="微软雅黑" w:eastAsia="微软雅黑" w:hAnsi="微软雅黑" w:cs="Arial"/>
          <w:color w:val="000000"/>
          <w:kern w:val="0"/>
          <w:sz w:val="28"/>
          <w:szCs w:val="28"/>
          <w14:ligatures w14:val="none"/>
        </w:rPr>
        <w:t>解析：法律规定仅省级人民政府（省、自治区、直辖市）可发行地方政府债券，地级市无发行权限。</w:t>
      </w:r>
    </w:p>
    <w:p w14:paraId="6448894A" w14:textId="77777777" w:rsidR="00AB198B" w:rsidRPr="00E54C2B" w:rsidRDefault="00AB198B">
      <w:pPr>
        <w:rPr>
          <w:rFonts w:ascii="微软雅黑" w:eastAsia="微软雅黑" w:hAnsi="微软雅黑" w:hint="eastAsia"/>
          <w:sz w:val="28"/>
          <w:szCs w:val="28"/>
        </w:rPr>
      </w:pPr>
    </w:p>
    <w:sectPr w:rsidR="00AB198B" w:rsidRPr="00E54C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36"/>
    <w:rsid w:val="004D0417"/>
    <w:rsid w:val="00A94D1D"/>
    <w:rsid w:val="00AB198B"/>
    <w:rsid w:val="00C70736"/>
    <w:rsid w:val="00CE4039"/>
    <w:rsid w:val="00E35795"/>
    <w:rsid w:val="00E54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56218D-6853-4286-BB7F-4225F8C5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07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7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7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7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7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07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7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7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07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7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7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7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736"/>
    <w:rPr>
      <w:rFonts w:cstheme="majorBidi"/>
      <w:color w:val="0F4761" w:themeColor="accent1" w:themeShade="BF"/>
      <w:sz w:val="28"/>
      <w:szCs w:val="28"/>
    </w:rPr>
  </w:style>
  <w:style w:type="character" w:customStyle="1" w:styleId="50">
    <w:name w:val="标题 5 字符"/>
    <w:basedOn w:val="a0"/>
    <w:link w:val="5"/>
    <w:uiPriority w:val="9"/>
    <w:semiHidden/>
    <w:rsid w:val="00C70736"/>
    <w:rPr>
      <w:rFonts w:cstheme="majorBidi"/>
      <w:color w:val="0F4761" w:themeColor="accent1" w:themeShade="BF"/>
      <w:sz w:val="24"/>
      <w:szCs w:val="24"/>
    </w:rPr>
  </w:style>
  <w:style w:type="character" w:customStyle="1" w:styleId="60">
    <w:name w:val="标题 6 字符"/>
    <w:basedOn w:val="a0"/>
    <w:link w:val="6"/>
    <w:uiPriority w:val="9"/>
    <w:semiHidden/>
    <w:rsid w:val="00C70736"/>
    <w:rPr>
      <w:rFonts w:cstheme="majorBidi"/>
      <w:b/>
      <w:bCs/>
      <w:color w:val="0F4761" w:themeColor="accent1" w:themeShade="BF"/>
    </w:rPr>
  </w:style>
  <w:style w:type="character" w:customStyle="1" w:styleId="70">
    <w:name w:val="标题 7 字符"/>
    <w:basedOn w:val="a0"/>
    <w:link w:val="7"/>
    <w:uiPriority w:val="9"/>
    <w:semiHidden/>
    <w:rsid w:val="00C70736"/>
    <w:rPr>
      <w:rFonts w:cstheme="majorBidi"/>
      <w:b/>
      <w:bCs/>
      <w:color w:val="595959" w:themeColor="text1" w:themeTint="A6"/>
    </w:rPr>
  </w:style>
  <w:style w:type="character" w:customStyle="1" w:styleId="80">
    <w:name w:val="标题 8 字符"/>
    <w:basedOn w:val="a0"/>
    <w:link w:val="8"/>
    <w:uiPriority w:val="9"/>
    <w:semiHidden/>
    <w:rsid w:val="00C70736"/>
    <w:rPr>
      <w:rFonts w:cstheme="majorBidi"/>
      <w:color w:val="595959" w:themeColor="text1" w:themeTint="A6"/>
    </w:rPr>
  </w:style>
  <w:style w:type="character" w:customStyle="1" w:styleId="90">
    <w:name w:val="标题 9 字符"/>
    <w:basedOn w:val="a0"/>
    <w:link w:val="9"/>
    <w:uiPriority w:val="9"/>
    <w:semiHidden/>
    <w:rsid w:val="00C70736"/>
    <w:rPr>
      <w:rFonts w:eastAsiaTheme="majorEastAsia" w:cstheme="majorBidi"/>
      <w:color w:val="595959" w:themeColor="text1" w:themeTint="A6"/>
    </w:rPr>
  </w:style>
  <w:style w:type="paragraph" w:styleId="a3">
    <w:name w:val="Title"/>
    <w:basedOn w:val="a"/>
    <w:next w:val="a"/>
    <w:link w:val="a4"/>
    <w:uiPriority w:val="10"/>
    <w:qFormat/>
    <w:rsid w:val="00C707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7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7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7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736"/>
    <w:pPr>
      <w:spacing w:before="160" w:after="160"/>
      <w:jc w:val="center"/>
    </w:pPr>
    <w:rPr>
      <w:i/>
      <w:iCs/>
      <w:color w:val="404040" w:themeColor="text1" w:themeTint="BF"/>
    </w:rPr>
  </w:style>
  <w:style w:type="character" w:customStyle="1" w:styleId="a8">
    <w:name w:val="引用 字符"/>
    <w:basedOn w:val="a0"/>
    <w:link w:val="a7"/>
    <w:uiPriority w:val="29"/>
    <w:rsid w:val="00C70736"/>
    <w:rPr>
      <w:i/>
      <w:iCs/>
      <w:color w:val="404040" w:themeColor="text1" w:themeTint="BF"/>
    </w:rPr>
  </w:style>
  <w:style w:type="paragraph" w:styleId="a9">
    <w:name w:val="List Paragraph"/>
    <w:basedOn w:val="a"/>
    <w:uiPriority w:val="34"/>
    <w:qFormat/>
    <w:rsid w:val="00C70736"/>
    <w:pPr>
      <w:ind w:left="720"/>
      <w:contextualSpacing/>
    </w:pPr>
  </w:style>
  <w:style w:type="character" w:styleId="aa">
    <w:name w:val="Intense Emphasis"/>
    <w:basedOn w:val="a0"/>
    <w:uiPriority w:val="21"/>
    <w:qFormat/>
    <w:rsid w:val="00C70736"/>
    <w:rPr>
      <w:i/>
      <w:iCs/>
      <w:color w:val="0F4761" w:themeColor="accent1" w:themeShade="BF"/>
    </w:rPr>
  </w:style>
  <w:style w:type="paragraph" w:styleId="ab">
    <w:name w:val="Intense Quote"/>
    <w:basedOn w:val="a"/>
    <w:next w:val="a"/>
    <w:link w:val="ac"/>
    <w:uiPriority w:val="30"/>
    <w:qFormat/>
    <w:rsid w:val="00C70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736"/>
    <w:rPr>
      <w:i/>
      <w:iCs/>
      <w:color w:val="0F4761" w:themeColor="accent1" w:themeShade="BF"/>
    </w:rPr>
  </w:style>
  <w:style w:type="character" w:styleId="ad">
    <w:name w:val="Intense Reference"/>
    <w:basedOn w:val="a0"/>
    <w:uiPriority w:val="32"/>
    <w:qFormat/>
    <w:rsid w:val="00C707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居成 王</dc:creator>
  <cp:keywords/>
  <dc:description/>
  <cp:lastModifiedBy>居成 王</cp:lastModifiedBy>
  <cp:revision>3</cp:revision>
  <cp:lastPrinted>2026-06-27T05:43:00Z</cp:lastPrinted>
  <dcterms:created xsi:type="dcterms:W3CDTF">2026-06-27T05:41:00Z</dcterms:created>
  <dcterms:modified xsi:type="dcterms:W3CDTF">2026-06-27T05:43:00Z</dcterms:modified>
</cp:coreProperties>
</file>