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库岸滑坡—水体耦合失稳与防治工程述评</w:t>
      </w:r>
    </w:p>
    <w:p>
      <w:pPr>
        <w:jc w:val="center"/>
      </w:pPr>
      <w:r>
        <w:rPr>
          <w:sz w:val="22"/>
        </w:rPr>
        <w:t>地质滑坡领域文献资料 · 工程综述（三）</w:t>
      </w:r>
    </w:p>
    <w:p/>
    <w:p>
      <w:pPr>
        <w:pStyle w:val="Heading1"/>
      </w:pPr>
      <w:r>
        <w:t>摘要</w:t>
      </w:r>
    </w:p>
    <w:p>
      <w:r>
        <w:t>水库蓄水后，库岸斜坡受水位波动、浸润线变化、渗透压力及波浪冲刷共同影响，易诱发老滑坡复活与新滑坡形成。本文评述库岸滑坡变形阶段划分、稳定性分析方法及排水、支挡、锚固、抗滑桩等防治工程措施的适用条件。</w:t>
      </w:r>
    </w:p>
    <w:p>
      <w:pPr>
        <w:pStyle w:val="Heading1"/>
      </w:pPr>
      <w:r>
        <w:t>1 库岸滑坡类型</w:t>
      </w:r>
    </w:p>
    <w:p>
      <w:r>
        <w:t>按成因可分为：蓄水诱发型、水位骤降型、浪蚀型、地震—库水耦合型。按物质组成可分为土质滑坡、岩质滑坡与堆积层滑坡。三峡库区、溪洛渡—向家坝库区是我国库岸滑坡研究与工程治理的重点区域。</w:t>
      </w:r>
    </w:p>
    <w:p>
      <w:pPr>
        <w:pStyle w:val="Heading1"/>
      </w:pPr>
      <w:r>
        <w:t>2 水体—坡体耦合机理</w:t>
      </w:r>
    </w:p>
    <w:p>
      <w:r>
        <w:t>蓄水后：坡脚浸润线抬升，抗滑力下降；浮托力与渗透压力增大。</w:t>
        <w:br/>
        <w:t>水位骤降：坡体内部渗透压力滞后于库水位，形成向坡外渗流梯度，易触发滑坡。</w:t>
        <w:br/>
        <w:t>数值模拟常采用 SEEP/W 与 SLOPE/W、FLAC3D 等软件进行渗流—稳定性联合分析。</w:t>
      </w:r>
    </w:p>
    <w:p>
      <w:pPr>
        <w:pStyle w:val="Heading1"/>
      </w:pPr>
      <w:r>
        <w:t>3 稳定性评价方法</w:t>
      </w:r>
    </w:p>
    <w:p>
      <w:r>
        <w:t>极限平衡法（Bishop、Spencer 等）、强度折减法及可靠度分析广泛应用于库岸滑坡。评价需考虑库水位变幅、暴雨工况、地震工况的组合，并关注滑带土残余强度参数选取对安全系数 Fs 的敏感性。</w:t>
      </w:r>
    </w:p>
    <w:p>
      <w:pPr>
        <w:pStyle w:val="Heading1"/>
      </w:pPr>
      <w:r>
        <w:t>4 防治工程措施</w:t>
      </w:r>
    </w:p>
    <w:p>
      <w:r>
        <w:t>（1）地表排水与仰斜排水孔：降低孔隙水压力。</w:t>
        <w:br/>
        <w:t>（2）重力式挡墙、抗滑桩：提高抗滑力。</w:t>
        <w:br/>
        <w:t>（3）预应力锚索：加固岩质库岸与高陡边坡。</w:t>
        <w:br/>
        <w:t>（4）护岸与防浪结构：减轻浪蚀与冲刷。</w:t>
        <w:br/>
        <w:t>工程布置应兼顾蓄水运行、生态景观与长期监测需求。</w:t>
      </w:r>
    </w:p>
    <w:p>
      <w:pPr>
        <w:pStyle w:val="Heading1"/>
      </w:pPr>
      <w:r>
        <w:t>5 管理与监测</w:t>
      </w:r>
    </w:p>
    <w:p>
      <w:r>
        <w:t>建立库岸滑坡数据库，实施分级分类管理；布设地下水位计、渗压计、位移计与视频监控；将防治工程纳入水库调度与应急抢险预案。</w:t>
      </w:r>
    </w:p>
    <w:p>
      <w:pPr>
        <w:pStyle w:val="Heading1"/>
      </w:pPr>
      <w:r>
        <w:t>参考文献（节选）</w:t>
      </w:r>
    </w:p>
    <w:p>
      <w:r>
        <w:t>[1] Schuster R L, Alford D. Upland landslide response to the 2008 Wenchuan earthquake. Landslides, 2008.</w:t>
        <w:br/>
        <w:t>[2] 王士天等. 三峡库区滑坡研究与防治. 地质出版社相关专著.</w:t>
        <w:br/>
        <w:t>[3] Londe P. The Malpasset Dam failure. Engineering Geology, 1987.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