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b/>
          <w:bCs/>
          <w:color w:val="1F3864"/>
          <w:sz w:val="48"/>
          <w:szCs w:val="48"/>
        </w:rPr>
        <w:t xml:space="preserve">Data Analysis Report (EDA)</w:t>
      </w:r>
    </w:p>
    <w:p>
      <w:pPr>
        <w:spacing w:after="40"/>
        <w:jc w:val="center"/>
      </w:pPr>
      <w:r>
        <w:rPr>
          <w:color w:val="595959"/>
          <w:sz w:val="24"/>
          <w:szCs w:val="24"/>
        </w:rPr>
        <w:t xml:space="preserve">Automated Regression Engine + UI for Brand × Channel Volume Sales Modeling</w:t>
      </w:r>
    </w:p>
    <w:p>
      <w:pPr>
        <w:spacing w:after="40"/>
        <w:jc w:val="center"/>
      </w:pPr>
      <w:r>
        <w:rPr>
          <w:color w:val="595959"/>
          <w:sz w:val="21"/>
          <w:szCs w:val="21"/>
        </w:rPr>
        <w:t xml:space="preserve">Big Chalk Analytics × Northwestern MSDS Capstone — Summer 2026</w:t>
      </w:r>
    </w:p>
    <w:p>
      <w:pPr>
        <w:pBdr>
          <w:bottom w:val="single" w:color="1F3864" w:sz="6" w:space="8"/>
        </w:pBdr>
        <w:spacing w:after="240"/>
        <w:jc w:val="center"/>
      </w:pPr>
      <w:r>
        <w:rPr>
          <w:color w:val="595959"/>
          <w:sz w:val="19"/>
          <w:szCs w:val="19"/>
        </w:rPr>
        <w:t xml:space="preserve">Team: Feifan Liu · Boqi Niu · Jiahao Li      Faculty: Abid Ali      Sponsor contact: Alex Hathcock      July 14, 2026</w:t>
      </w:r>
    </w:p>
    <w:p>
      <w:pPr>
        <w:pStyle w:val="Heading1"/>
        <w:spacing w:after="120" w:before="280"/>
      </w:pPr>
      <w:r>
        <w:rPr>
          <w:b/>
          <w:bCs/>
          <w:color w:val="1F3864"/>
          <w:sz w:val="26"/>
          <w:szCs w:val="26"/>
        </w:rPr>
        <w:t xml:space="preserve">1. Introduction and Dataset Overview</w:t>
      </w:r>
    </w:p>
    <w:p>
      <w:pPr>
        <w:spacing w:after="120" w:line="276"/>
      </w:pPr>
      <w:r>
        <w:rPr>
          <w:sz w:val="21"/>
          <w:szCs w:val="21"/>
        </w:rPr>
        <w:t xml:space="preserve">This report presents our exploratory analysis of the sponsor-provided dataset (Anonymized Data for Project.xlsx), the data gaps we found, the risks those gaps carry, and their impact on the final deliverable — an automated regression engine that models weekly Volume Sales for every Brand × Retailer-Channel combination, wrapped in an analyst-facing dashboard.</w:t>
      </w:r>
    </w:p>
    <w:p>
      <w:pPr>
        <w:spacing w:after="120" w:line="276"/>
      </w:pPr>
      <w:r>
        <w:rPr>
          <w:sz w:val="21"/>
          <w:szCs w:val="21"/>
        </w:rPr>
        <w:t xml:space="preserve">The workbook contains a General Data Dictionary tab plus one tab per brand (Brand 1–10). The grain is one row per Channel (Geography) × Brand (Product) × Week: 156 week-ending dates spanning January 2023 – December 2025, up to nine channels per brand, and 12,391 rows in total. Columns per brand range from 96 to 148 (the dictionary's nominal 113 is only an average — an early, useful discovery: nothing about the layout can be hard-coded). Predictors span own price, category and competitive price, own distribution (ACV, items per store, total points of distribution), trade execution (Weighted Weeks by merchandising condition), 12 media-spend channels, ~18 macroeconomic series, trend and seasonality indices, and Competitor 1–6 distribution/trade measures.</w:t>
      </w:r>
    </w:p>
    <w:p>
      <w:pPr>
        <w:pStyle w:val="Heading1"/>
        <w:spacing w:after="120" w:before="280"/>
      </w:pPr>
      <w:r>
        <w:rPr>
          <w:b/>
          <w:bCs/>
          <w:color w:val="1F3864"/>
          <w:sz w:val="26"/>
          <w:szCs w:val="26"/>
        </w:rPr>
        <w:t xml:space="preserve">2. Descriptive Statistics</w:t>
      </w:r>
    </w:p>
    <w:p>
      <w:pPr>
        <w:spacing w:after="120" w:line="276"/>
      </w:pPr>
      <w:r>
        <w:rPr>
          <w:sz w:val="21"/>
          <w:szCs w:val="21"/>
        </w:rPr>
        <w:t xml:space="preserve">Weekly Volume Sales by brand (all channels pooled; volumes in units):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800"/>
        <w:gridCol w:w="700"/>
        <w:gridCol w:w="1140"/>
        <w:gridCol w:w="760"/>
        <w:gridCol w:w="1070"/>
        <w:gridCol w:w="1070"/>
        <w:gridCol w:w="1200"/>
        <w:gridCol w:w="700"/>
        <w:gridCol w:w="750"/>
      </w:tblGrid>
      <w:tr>
        <w:trPr>
          <w:tblHeader/>
        </w:trPr>
        <w:tc>
          <w:tcPr>
            <w:tcW w:type="dxa" w:w="117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Brand</w:t>
            </w:r>
          </w:p>
        </w:tc>
        <w:tc>
          <w:tcPr>
            <w:tcW w:type="dxa" w:w="8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Rows</w:t>
            </w:r>
          </w:p>
        </w:tc>
        <w:tc>
          <w:tcPr>
            <w:tcW w:type="dxa" w:w="7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Cols</w:t>
            </w:r>
          </w:p>
        </w:tc>
        <w:tc>
          <w:tcPr>
            <w:tcW w:type="dxa" w:w="114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Channels</w:t>
            </w:r>
          </w:p>
        </w:tc>
        <w:tc>
          <w:tcPr>
            <w:tcW w:type="dxa" w:w="76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Weeks</w:t>
            </w:r>
          </w:p>
        </w:tc>
        <w:tc>
          <w:tcPr>
            <w:tcW w:type="dxa" w:w="107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Mean</w:t>
            </w:r>
          </w:p>
        </w:tc>
        <w:tc>
          <w:tcPr>
            <w:tcW w:type="dxa" w:w="107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Median</w:t>
            </w:r>
          </w:p>
        </w:tc>
        <w:tc>
          <w:tcPr>
            <w:tcW w:type="dxa" w:w="12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Max</w:t>
            </w:r>
          </w:p>
        </w:tc>
        <w:tc>
          <w:tcPr>
            <w:tcW w:type="dxa" w:w="7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CV</w:t>
            </w:r>
          </w:p>
        </w:tc>
        <w:tc>
          <w:tcPr>
            <w:tcW w:type="dxa" w:w="75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Skew</w:t>
            </w:r>
          </w:p>
        </w:tc>
      </w:tr>
      <w:tr>
        <w:tc>
          <w:tcPr>
            <w:tcW w:type="dxa" w:w="11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Brand 1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1,248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113</w:t>
            </w:r>
          </w:p>
        </w:tc>
        <w:tc>
          <w:tcPr>
            <w:tcW w:type="dxa" w:w="11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7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156</w:t>
            </w:r>
          </w:p>
        </w:tc>
        <w:tc>
          <w:tcPr>
            <w:tcW w:type="dxa" w:w="10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18,726</w:t>
            </w:r>
          </w:p>
        </w:tc>
        <w:tc>
          <w:tcPr>
            <w:tcW w:type="dxa" w:w="10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5,144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188,175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1.46</w:t>
            </w:r>
          </w:p>
        </w:tc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2.11</w:t>
            </w:r>
          </w:p>
        </w:tc>
      </w:tr>
      <w:tr>
        <w:tc>
          <w:tcPr>
            <w:tcW w:type="dxa" w:w="1170"/>
            <w:shd w:fill="F2F4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Brand 2</w:t>
            </w:r>
          </w:p>
        </w:tc>
        <w:tc>
          <w:tcPr>
            <w:tcW w:type="dxa" w:w="800"/>
            <w:shd w:fill="F2F4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1,248</w:t>
            </w:r>
          </w:p>
        </w:tc>
        <w:tc>
          <w:tcPr>
            <w:tcW w:type="dxa" w:w="700"/>
            <w:shd w:fill="F2F4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107</w:t>
            </w:r>
          </w:p>
        </w:tc>
        <w:tc>
          <w:tcPr>
            <w:tcW w:type="dxa" w:w="1140"/>
            <w:shd w:fill="F2F4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760"/>
            <w:shd w:fill="F2F4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156</w:t>
            </w:r>
          </w:p>
        </w:tc>
        <w:tc>
          <w:tcPr>
            <w:tcW w:type="dxa" w:w="1070"/>
            <w:shd w:fill="F2F4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40,915</w:t>
            </w:r>
          </w:p>
        </w:tc>
        <w:tc>
          <w:tcPr>
            <w:tcW w:type="dxa" w:w="1070"/>
            <w:shd w:fill="F2F4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27,460</w:t>
            </w:r>
          </w:p>
        </w:tc>
        <w:tc>
          <w:tcPr>
            <w:tcW w:type="dxa" w:w="1200"/>
            <w:shd w:fill="F2F4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261,874</w:t>
            </w:r>
          </w:p>
        </w:tc>
        <w:tc>
          <w:tcPr>
            <w:tcW w:type="dxa" w:w="700"/>
            <w:shd w:fill="F2F4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1.19</w:t>
            </w:r>
          </w:p>
        </w:tc>
        <w:tc>
          <w:tcPr>
            <w:tcW w:type="dxa" w:w="750"/>
            <w:shd w:fill="F2F4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1.71</w:t>
            </w:r>
          </w:p>
        </w:tc>
      </w:tr>
      <w:tr>
        <w:tc>
          <w:tcPr>
            <w:tcW w:type="dxa" w:w="11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Brand 3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1,248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118</w:t>
            </w:r>
          </w:p>
        </w:tc>
        <w:tc>
          <w:tcPr>
            <w:tcW w:type="dxa" w:w="11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7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156</w:t>
            </w:r>
          </w:p>
        </w:tc>
        <w:tc>
          <w:tcPr>
            <w:tcW w:type="dxa" w:w="10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641,877</w:t>
            </w:r>
          </w:p>
        </w:tc>
        <w:tc>
          <w:tcPr>
            <w:tcW w:type="dxa" w:w="10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434,897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4,168,135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1.22</w:t>
            </w:r>
          </w:p>
        </w:tc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1.57</w:t>
            </w:r>
          </w:p>
        </w:tc>
      </w:tr>
      <w:tr>
        <w:tc>
          <w:tcPr>
            <w:tcW w:type="dxa" w:w="1170"/>
            <w:shd w:fill="F2F4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Brand 4</w:t>
            </w:r>
          </w:p>
        </w:tc>
        <w:tc>
          <w:tcPr>
            <w:tcW w:type="dxa" w:w="800"/>
            <w:shd w:fill="F2F4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1,248</w:t>
            </w:r>
          </w:p>
        </w:tc>
        <w:tc>
          <w:tcPr>
            <w:tcW w:type="dxa" w:w="700"/>
            <w:shd w:fill="F2F4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128</w:t>
            </w:r>
          </w:p>
        </w:tc>
        <w:tc>
          <w:tcPr>
            <w:tcW w:type="dxa" w:w="1140"/>
            <w:shd w:fill="F2F4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760"/>
            <w:shd w:fill="F2F4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156</w:t>
            </w:r>
          </w:p>
        </w:tc>
        <w:tc>
          <w:tcPr>
            <w:tcW w:type="dxa" w:w="1070"/>
            <w:shd w:fill="F2F4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187,387</w:t>
            </w:r>
          </w:p>
        </w:tc>
        <w:tc>
          <w:tcPr>
            <w:tcW w:type="dxa" w:w="1070"/>
            <w:shd w:fill="F2F4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75,295</w:t>
            </w:r>
          </w:p>
        </w:tc>
        <w:tc>
          <w:tcPr>
            <w:tcW w:type="dxa" w:w="1200"/>
            <w:shd w:fill="F2F4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1,138,940</w:t>
            </w:r>
          </w:p>
        </w:tc>
        <w:tc>
          <w:tcPr>
            <w:tcW w:type="dxa" w:w="700"/>
            <w:shd w:fill="F2F4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1.25</w:t>
            </w:r>
          </w:p>
        </w:tc>
        <w:tc>
          <w:tcPr>
            <w:tcW w:type="dxa" w:w="750"/>
            <w:shd w:fill="F2F4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1.51</w:t>
            </w:r>
          </w:p>
        </w:tc>
      </w:tr>
      <w:tr>
        <w:tc>
          <w:tcPr>
            <w:tcW w:type="dxa" w:w="11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Brand 5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1,248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123</w:t>
            </w:r>
          </w:p>
        </w:tc>
        <w:tc>
          <w:tcPr>
            <w:tcW w:type="dxa" w:w="11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7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156</w:t>
            </w:r>
          </w:p>
        </w:tc>
        <w:tc>
          <w:tcPr>
            <w:tcW w:type="dxa" w:w="10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13,690</w:t>
            </w:r>
          </w:p>
        </w:tc>
        <w:tc>
          <w:tcPr>
            <w:tcW w:type="dxa" w:w="10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3,854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74,790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1.45</w:t>
            </w:r>
          </w:p>
        </w:tc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1.38</w:t>
            </w:r>
          </w:p>
        </w:tc>
      </w:tr>
      <w:tr>
        <w:tc>
          <w:tcPr>
            <w:tcW w:type="dxa" w:w="1170"/>
            <w:shd w:fill="F2F4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Brand 6</w:t>
            </w:r>
          </w:p>
        </w:tc>
        <w:tc>
          <w:tcPr>
            <w:tcW w:type="dxa" w:w="800"/>
            <w:shd w:fill="F2F4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1,248</w:t>
            </w:r>
          </w:p>
        </w:tc>
        <w:tc>
          <w:tcPr>
            <w:tcW w:type="dxa" w:w="700"/>
            <w:shd w:fill="F2F4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101</w:t>
            </w:r>
          </w:p>
        </w:tc>
        <w:tc>
          <w:tcPr>
            <w:tcW w:type="dxa" w:w="1140"/>
            <w:shd w:fill="F2F4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 (+1 #N/A)</w:t>
            </w:r>
          </w:p>
        </w:tc>
        <w:tc>
          <w:tcPr>
            <w:tcW w:type="dxa" w:w="760"/>
            <w:shd w:fill="F2F4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156</w:t>
            </w:r>
          </w:p>
        </w:tc>
        <w:tc>
          <w:tcPr>
            <w:tcW w:type="dxa" w:w="1070"/>
            <w:shd w:fill="F2F4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45,345</w:t>
            </w:r>
          </w:p>
        </w:tc>
        <w:tc>
          <w:tcPr>
            <w:tcW w:type="dxa" w:w="1070"/>
            <w:shd w:fill="F2F4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6,526</w:t>
            </w:r>
          </w:p>
        </w:tc>
        <w:tc>
          <w:tcPr>
            <w:tcW w:type="dxa" w:w="1200"/>
            <w:shd w:fill="F2F4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220,023</w:t>
            </w:r>
          </w:p>
        </w:tc>
        <w:tc>
          <w:tcPr>
            <w:tcW w:type="dxa" w:w="700"/>
            <w:shd w:fill="F2F4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1.37</w:t>
            </w:r>
          </w:p>
        </w:tc>
        <w:tc>
          <w:tcPr>
            <w:tcW w:type="dxa" w:w="750"/>
            <w:shd w:fill="F2F4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1.23</w:t>
            </w:r>
          </w:p>
        </w:tc>
      </w:tr>
      <w:tr>
        <w:tc>
          <w:tcPr>
            <w:tcW w:type="dxa" w:w="11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Brand 7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1,248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129</w:t>
            </w:r>
          </w:p>
        </w:tc>
        <w:tc>
          <w:tcPr>
            <w:tcW w:type="dxa" w:w="11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7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156</w:t>
            </w:r>
          </w:p>
        </w:tc>
        <w:tc>
          <w:tcPr>
            <w:tcW w:type="dxa" w:w="10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28,275</w:t>
            </w:r>
          </w:p>
        </w:tc>
        <w:tc>
          <w:tcPr>
            <w:tcW w:type="dxa" w:w="10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10,600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178,286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1.38</w:t>
            </w:r>
          </w:p>
        </w:tc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1.47</w:t>
            </w:r>
          </w:p>
        </w:tc>
      </w:tr>
      <w:tr>
        <w:tc>
          <w:tcPr>
            <w:tcW w:type="dxa" w:w="1170"/>
            <w:shd w:fill="F2F4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Brand 8</w:t>
            </w:r>
          </w:p>
        </w:tc>
        <w:tc>
          <w:tcPr>
            <w:tcW w:type="dxa" w:w="800"/>
            <w:shd w:fill="F2F4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1,248</w:t>
            </w:r>
          </w:p>
        </w:tc>
        <w:tc>
          <w:tcPr>
            <w:tcW w:type="dxa" w:w="700"/>
            <w:shd w:fill="F2F4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148</w:t>
            </w:r>
          </w:p>
        </w:tc>
        <w:tc>
          <w:tcPr>
            <w:tcW w:type="dxa" w:w="1140"/>
            <w:shd w:fill="F2F4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760"/>
            <w:shd w:fill="F2F4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156</w:t>
            </w:r>
          </w:p>
        </w:tc>
        <w:tc>
          <w:tcPr>
            <w:tcW w:type="dxa" w:w="1070"/>
            <w:shd w:fill="F2F4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60,725</w:t>
            </w:r>
          </w:p>
        </w:tc>
        <w:tc>
          <w:tcPr>
            <w:tcW w:type="dxa" w:w="1070"/>
            <w:shd w:fill="F2F4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33,707</w:t>
            </w:r>
          </w:p>
        </w:tc>
        <w:tc>
          <w:tcPr>
            <w:tcW w:type="dxa" w:w="1200"/>
            <w:shd w:fill="F2F4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352,629</w:t>
            </w:r>
          </w:p>
        </w:tc>
        <w:tc>
          <w:tcPr>
            <w:tcW w:type="dxa" w:w="700"/>
            <w:shd w:fill="F2F4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1.26</w:t>
            </w:r>
          </w:p>
        </w:tc>
        <w:tc>
          <w:tcPr>
            <w:tcW w:type="dxa" w:w="750"/>
            <w:shd w:fill="F2F4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1.57</w:t>
            </w:r>
          </w:p>
        </w:tc>
      </w:tr>
      <w:tr>
        <w:tc>
          <w:tcPr>
            <w:tcW w:type="dxa" w:w="11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Brand 9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1,159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127</w:t>
            </w:r>
          </w:p>
        </w:tc>
        <w:tc>
          <w:tcPr>
            <w:tcW w:type="dxa" w:w="11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7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156</w:t>
            </w:r>
          </w:p>
        </w:tc>
        <w:tc>
          <w:tcPr>
            <w:tcW w:type="dxa" w:w="10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43,010</w:t>
            </w:r>
          </w:p>
        </w:tc>
        <w:tc>
          <w:tcPr>
            <w:tcW w:type="dxa" w:w="10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9,607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289,359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1.30</w:t>
            </w:r>
          </w:p>
        </w:tc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1.49</w:t>
            </w:r>
          </w:p>
        </w:tc>
      </w:tr>
      <w:tr>
        <w:tc>
          <w:tcPr>
            <w:tcW w:type="dxa" w:w="1170"/>
            <w:shd w:fill="F2F4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Brand 10</w:t>
            </w:r>
          </w:p>
        </w:tc>
        <w:tc>
          <w:tcPr>
            <w:tcW w:type="dxa" w:w="800"/>
            <w:shd w:fill="F2F4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1,248</w:t>
            </w:r>
          </w:p>
        </w:tc>
        <w:tc>
          <w:tcPr>
            <w:tcW w:type="dxa" w:w="700"/>
            <w:shd w:fill="F2F4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96</w:t>
            </w:r>
          </w:p>
        </w:tc>
        <w:tc>
          <w:tcPr>
            <w:tcW w:type="dxa" w:w="1140"/>
            <w:shd w:fill="F2F4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760"/>
            <w:shd w:fill="F2F4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156</w:t>
            </w:r>
          </w:p>
        </w:tc>
        <w:tc>
          <w:tcPr>
            <w:tcW w:type="dxa" w:w="1070"/>
            <w:shd w:fill="F2F4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121,618</w:t>
            </w:r>
          </w:p>
        </w:tc>
        <w:tc>
          <w:tcPr>
            <w:tcW w:type="dxa" w:w="1070"/>
            <w:shd w:fill="F2F4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62,401</w:t>
            </w:r>
          </w:p>
        </w:tc>
        <w:tc>
          <w:tcPr>
            <w:tcW w:type="dxa" w:w="1200"/>
            <w:shd w:fill="F2F4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683,533</w:t>
            </w:r>
          </w:p>
        </w:tc>
        <w:tc>
          <w:tcPr>
            <w:tcW w:type="dxa" w:w="700"/>
            <w:shd w:fill="F2F4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1.20</w:t>
            </w:r>
          </w:p>
        </w:tc>
        <w:tc>
          <w:tcPr>
            <w:tcW w:type="dxa" w:w="750"/>
            <w:shd w:fill="F2F4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1.73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sz w:val="21"/>
          <w:szCs w:val="21"/>
        </w:rPr>
        <w:t xml:space="preserve">Scale varies ~50× across brands </w:t>
      </w:r>
      <w:r>
        <w:rPr>
          <w:sz w:val="21"/>
          <w:szCs w:val="21"/>
        </w:rPr>
        <w:t xml:space="preserve">(Brand 5 mean ≈ 13.7K vs Brand 3 ≈ 642K weekly units) and further across channels within a brand. One global model is untenable — supporting the per-slice modeling design.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sz w:val="21"/>
          <w:szCs w:val="21"/>
        </w:rPr>
        <w:t xml:space="preserve">Every brand is strongly right-skewed </w:t>
      </w:r>
      <w:r>
        <w:rPr>
          <w:sz w:val="21"/>
          <w:szCs w:val="21"/>
        </w:rPr>
        <w:t xml:space="preserve">(skew 1.2–2.1, CV 1.19–1.46): most weeks sit near a modest base with occasional large promotional spikes. Mean ≫ median throughout.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sz w:val="21"/>
          <w:szCs w:val="21"/>
        </w:rPr>
        <w:t xml:space="preserve">Data are remarkably complete </w:t>
      </w:r>
      <w:r>
        <w:rPr>
          <w:sz w:val="21"/>
          <w:szCs w:val="21"/>
        </w:rPr>
        <w:t xml:space="preserve">at the cell level: zero missing values in 9 of 10 sheets. The exception is Brand 6, where 99 rows carry #N/A in Geography (an entire pseudo-channel of unusable rows, handled by exclusion).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sz w:val="21"/>
          <w:szCs w:val="21"/>
        </w:rPr>
        <w:t xml:space="preserve">Brand 9 has 1,159 rows </w:t>
      </w:r>
      <w:r>
        <w:rPr>
          <w:sz w:val="21"/>
          <w:szCs w:val="21"/>
        </w:rPr>
        <w:t xml:space="preserve">instead of 1,248 — one channel's history is truncated, consistent with a later launch (see coverage analysis, §4).</w:t>
      </w:r>
    </w:p>
    <w:p>
      <w:pPr>
        <w:pStyle w:val="Heading1"/>
        <w:spacing w:after="120" w:before="280"/>
      </w:pPr>
      <w:r>
        <w:rPr>
          <w:b/>
          <w:bCs/>
          <w:color w:val="1F3864"/>
          <w:sz w:val="26"/>
          <w:szCs w:val="26"/>
        </w:rPr>
        <w:t xml:space="preserve">3. Target Behavior: Trend, Seasonality, Distribution</w:t>
      </w:r>
    </w:p>
    <w:p>
      <w:pPr>
        <w:spacing w:after="120" w:line="276"/>
      </w:pPr>
      <w:r>
        <w:rPr>
          <w:sz w:val="21"/>
          <w:szCs w:val="21"/>
        </w:rPr>
        <w:t xml:space="preserve">We profile the target on the deepest slice (Brand 1 × Channel 1) and then generalize. Weekly volume shows a declining multi-year trend punctuated by sharp promotional spikes, a New-Year seasonal peak, and a visibly weaker 2025: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227134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7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Figure 1 — Volume Sales over time, Brand 1 × Channel 1: declining trend, promotional spikes, weak Q4 2025.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227134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7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Figure 2 — Seasonality profile: systematic within-year pattern justifying the Seasonality_Index / week-number predictors.</w:t>
      </w:r>
    </w:p>
    <w:p>
      <w:pPr>
        <w:spacing w:after="40" w:before="120"/>
        <w:jc w:val="center"/>
      </w:pPr>
      <w:r>
        <w:drawing>
          <wp:inline distT="0" distB="0" distL="0" distR="0">
            <wp:extent cx="5014913" cy="278606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4913" cy="278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Figure 3 — Weekly volume distribution: right-skewed with a long promotional tail.</w:t>
      </w:r>
    </w:p>
    <w:p>
      <w:pPr>
        <w:spacing w:after="40" w:before="120"/>
        <w:jc w:val="center"/>
      </w:pPr>
      <w:r>
        <w:drawing>
          <wp:inline distT="0" distB="0" distL="0" distR="0">
            <wp:extent cx="5786438" cy="244316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6438" cy="2443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Figure 4 — Distribution by brand (log scale, non-zero weeks): every brand shows the same skew shape at very different scales.</w:t>
      </w:r>
    </w:p>
    <w:p>
      <w:pPr>
        <w:spacing w:after="120" w:line="276"/>
      </w:pPr>
      <w:r>
        <w:rPr>
          <w:sz w:val="21"/>
          <w:szCs w:val="21"/>
        </w:rPr>
        <w:t xml:space="preserve">Two modeling consequences follow. First, the promotional spikes are exactly what the trade-execution predictors (Feature, Display, Price Reductions Weighted Weeks) exist to explain — they are signal, not outliers to be removed. Second, the visibly lower 2025 level for some slices previews the structural-change risk quantified in §5.</w:t>
      </w:r>
    </w:p>
    <w:p>
      <w:pPr>
        <w:pStyle w:val="Heading1"/>
        <w:spacing w:after="120" w:before="280"/>
      </w:pPr>
      <w:r>
        <w:rPr>
          <w:b/>
          <w:bCs/>
          <w:color w:val="1F3864"/>
          <w:sz w:val="26"/>
          <w:szCs w:val="26"/>
        </w:rPr>
        <w:t xml:space="preserve">4. Predictor Relationships and the Leakage Finding</w:t>
      </w:r>
    </w:p>
    <w:p>
      <w:pPr>
        <w:spacing w:after="40" w:before="120"/>
        <w:jc w:val="center"/>
      </w:pPr>
      <w:r>
        <w:drawing>
          <wp:inline distT="0" distB="0" distL="0" distR="0">
            <wp:extent cx="5572125" cy="4457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Figure 5 — Top candidate predictors by |correlation| with Volume Sales, Brand 1 × Channel 1 (after leakage exclusion).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sz w:val="21"/>
          <w:szCs w:val="21"/>
        </w:rPr>
        <w:t xml:space="preserve">Target leakage — the most important EDA finding. </w:t>
      </w:r>
      <w:r>
        <w:rPr>
          <w:sz w:val="21"/>
          <w:szCs w:val="21"/>
        </w:rPr>
        <w:t xml:space="preserve">The columns most correlated with Volume Sales are its own algebraic decompositions: Dollar Sales (= price × volume) and every “Volume/Dollar Sales by merch condition” column. Including any of them yields inflated, meaningless fit. All target-decomposition columns are excluded as predictors, enforced dynamically for whichever target is chosen.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sz w:val="21"/>
          <w:szCs w:val="21"/>
        </w:rPr>
        <w:t xml:space="preserve">Legitimate drivers correlate sensibly: </w:t>
      </w:r>
      <w:r>
        <w:rPr>
          <w:sz w:val="21"/>
          <w:szCs w:val="21"/>
        </w:rPr>
        <w:t xml:space="preserve">trade display execution (r ≈ +0.75), seasonality, and distribution depth lead; own price and competitor activity correlate negatively — matching business priors and seeding the sign-constraint table.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sz w:val="21"/>
          <w:szCs w:val="21"/>
        </w:rPr>
        <w:t xml:space="preserve">Collinearity is pervasive: </w:t>
      </w:r>
      <w:r>
        <w:rPr>
          <w:sz w:val="21"/>
          <w:szCs w:val="21"/>
        </w:rPr>
        <w:t xml:space="preserve">distribution measures track each other, macro series share trends, media spends are co-scheduled. VIF-based pruning is required before any regression is interpretable; pairwise checks alone would miss multi-variable redundancy.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sz w:val="21"/>
          <w:szCs w:val="21"/>
        </w:rPr>
        <w:t xml:space="preserve">Media spend needs adstock: </w:t>
      </w:r>
      <w:r>
        <w:rPr>
          <w:sz w:val="21"/>
          <w:szCs w:val="21"/>
        </w:rPr>
        <w:t xml:space="preserve">raw weekly spend is spiky and its instantaneous correlation with volume is weak or even negative; the dictionary and sponsor confirm advertising carryover should be modeled via geometric adstock (normalized so totals are preserved, per-media decay).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sz w:val="21"/>
          <w:szCs w:val="21"/>
        </w:rPr>
        <w:t xml:space="preserve">Naming quirks: </w:t>
      </w:r>
      <w:r>
        <w:rPr>
          <w:sz w:val="21"/>
          <w:szCs w:val="21"/>
        </w:rPr>
        <w:t xml:space="preserve">Brand 2's media columns are prefixed “Brand 0210_*” and one column is literally named 0 (a numeric header that crashed sheet parsing once — now a regression test). Column sets differ per brand, so all variable mapping is config-driven.</w:t>
      </w:r>
    </w:p>
    <w:p>
      <w:pPr>
        <w:pStyle w:val="Heading1"/>
        <w:spacing w:after="120" w:before="280"/>
      </w:pPr>
      <w:r>
        <w:rPr>
          <w:b/>
          <w:bCs/>
          <w:color w:val="1F3864"/>
          <w:sz w:val="26"/>
          <w:szCs w:val="26"/>
        </w:rPr>
        <w:t xml:space="preserve">5. Coverage and Data Gaps</w:t>
      </w:r>
    </w:p>
    <w:p>
      <w:pPr>
        <w:spacing w:after="120" w:line="276"/>
      </w:pPr>
      <w:r>
        <w:rPr>
          <w:sz w:val="21"/>
          <w:szCs w:val="21"/>
        </w:rPr>
        <w:t xml:space="preserve">Cell-level completeness hides the real gaps, which are structural — some Brand × Channel slices simply have little or no sales history:</w:t>
      </w:r>
    </w:p>
    <w:p>
      <w:pPr>
        <w:spacing w:after="40" w:before="120"/>
        <w:jc w:val="center"/>
      </w:pPr>
      <w:r>
        <w:drawing>
          <wp:inline distT="0" distB="0" distL="0" distR="0">
            <wp:extent cx="5786438" cy="270033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6438" cy="2700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Figure 6 — Weeks with non-zero Volume Sales per slice (max 156). “—” = channel absent from the sheet.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0"/>
        <w:gridCol w:w="1450"/>
        <w:gridCol w:w="5700"/>
      </w:tblGrid>
      <w:tr>
        <w:trPr>
          <w:tblHeader/>
        </w:trPr>
        <w:tc>
          <w:tcPr>
            <w:tcW w:type="dxa" w:w="221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  <w:tc>
          <w:tcPr>
            <w:tcW w:type="dxa" w:w="145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  <w:tc>
          <w:tcPr>
            <w:tcW w:type="dxa" w:w="57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All-zero target</w:t>
            </w:r>
          </w:p>
        </w:tc>
        <w:tc>
          <w:tcPr>
            <w:tcW w:type="dxa" w:w="1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 of 82 slices</w:t>
            </w:r>
          </w:p>
        </w:tc>
        <w:tc>
          <w:tcPr>
            <w:tcW w:type="dxa" w:w="5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Brand 5 × Ch6, Brand 7 × Ch6 — brand not sold in the channel; no model is possible (engine skips with reason)</w:t>
            </w:r>
          </w:p>
        </w:tc>
      </w:tr>
      <w:tr>
        <w:tc>
          <w:tcPr>
            <w:tcW w:type="dxa" w:w="2210"/>
            <w:shd w:fill="F2F4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 history</w:t>
            </w:r>
          </w:p>
        </w:tc>
        <w:tc>
          <w:tcPr>
            <w:tcW w:type="dxa" w:w="1450"/>
            <w:shd w:fill="F2F4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 slices</w:t>
            </w:r>
          </w:p>
        </w:tc>
        <w:tc>
          <w:tcPr>
            <w:tcW w:type="dxa" w:w="5700"/>
            <w:shd w:fill="F2F4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Brand 1 × Ch6 (24 non-zero wks), Brand 1 × Ch8 (25), Brand 2 × Ch5 (28), Brand 2 × Ch8 (25) — far below the 104-week modeling window</w:t>
            </w:r>
          </w:p>
        </w:tc>
      </w:tr>
      <w:tr>
        <w:tc>
          <w:tcPr>
            <w:tcW w:type="dxa" w:w="22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Partial history</w:t>
            </w:r>
          </w:p>
        </w:tc>
        <w:tc>
          <w:tcPr>
            <w:tcW w:type="dxa" w:w="1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 slices</w:t>
            </w:r>
          </w:p>
        </w:tc>
        <w:tc>
          <w:tcPr>
            <w:tcW w:type="dxa" w:w="5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Brand 1 × Ch9 (131), Brand 2 × Ch9 (131), Brand 6 × Ch6 (109), Brand 6 × Ch9 (104), Brand 9 × Ch6 (67) — launches or distribution changes mid-series</w:t>
            </w:r>
          </w:p>
        </w:tc>
      </w:tr>
      <w:tr>
        <w:tc>
          <w:tcPr>
            <w:tcW w:type="dxa" w:w="2210"/>
            <w:shd w:fill="F2F4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Channel absent</w:t>
            </w:r>
          </w:p>
        </w:tc>
        <w:tc>
          <w:tcPr>
            <w:tcW w:type="dxa" w:w="1450"/>
            <w:shd w:fill="F2F4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Brands 3–10</w:t>
            </w:r>
          </w:p>
        </w:tc>
        <w:tc>
          <w:tcPr>
            <w:tcW w:type="dxa" w:w="5700"/>
            <w:shd w:fill="F2F4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Channel 8 exists only for Brands 1–2; other brands carry 8 channels, not 9</w:t>
            </w:r>
          </w:p>
        </w:tc>
      </w:tr>
      <w:tr>
        <w:tc>
          <w:tcPr>
            <w:tcW w:type="dxa" w:w="22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Unusable rows</w:t>
            </w:r>
          </w:p>
        </w:tc>
        <w:tc>
          <w:tcPr>
            <w:tcW w:type="dxa" w:w="1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Brand 6</w:t>
            </w:r>
          </w:p>
        </w:tc>
        <w:tc>
          <w:tcPr>
            <w:tcW w:type="dxa" w:w="5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99 rows with #N/A Geography (no channel key) — excluded</w:t>
            </w:r>
          </w:p>
        </w:tc>
      </w:tr>
      <w:tr>
        <w:tc>
          <w:tcPr>
            <w:tcW w:type="dxa" w:w="2210"/>
            <w:shd w:fill="F2F4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Unobserved events</w:t>
            </w:r>
          </w:p>
        </w:tc>
        <w:tc>
          <w:tcPr>
            <w:tcW w:type="dxa" w:w="1450"/>
            <w:shd w:fill="F2F4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Unknown</w:t>
            </w:r>
          </w:p>
        </w:tc>
        <w:tc>
          <w:tcPr>
            <w:tcW w:type="dxa" w:w="5700"/>
            <w:shd w:fill="F2F4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columns record delistings, recalls, supply disruptions, or assortment resets — e.g., the suspected late-2025 Brand 1 event (§6)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1F3864"/>
          <w:sz w:val="26"/>
          <w:szCs w:val="26"/>
        </w:rPr>
        <w:t xml:space="preserve">6. Risks and Impact on the Final Project</w:t>
      </w:r>
    </w:p>
    <w:p>
      <w:pPr>
        <w:spacing w:after="120" w:line="276"/>
      </w:pPr>
      <w:r>
        <w:rPr>
          <w:sz w:val="21"/>
          <w:szCs w:val="21"/>
        </w:rPr>
        <w:t xml:space="preserve">Each gap maps to a concrete risk and a design decision already reflected in the engine: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80"/>
        <w:gridCol w:w="34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Risk (from gap)</w:t>
            </w:r>
          </w:p>
        </w:tc>
        <w:tc>
          <w:tcPr>
            <w:tcW w:type="dxa" w:w="328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 if unmanaged</w:t>
            </w:r>
          </w:p>
        </w:tc>
        <w:tc>
          <w:tcPr>
            <w:tcW w:type="dxa" w:w="348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Mitigation in the final project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Modeling on all-zero or near-empty slices</w:t>
            </w:r>
          </w:p>
        </w:tc>
        <w:tc>
          <w:tcPr>
            <w:tcW w:type="dxa" w:w="3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Nonsense models presented as valid; analyst trust destroyed</w:t>
            </w:r>
          </w:p>
        </w:tc>
        <w:tc>
          <w:tcPr>
            <w:tcW w:type="dxa" w:w="34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Engine skips all-zero slices with an explicit reason; short-history slices flagged in the batch overview rather than silently fitted</w:t>
            </w:r>
          </w:p>
        </w:tc>
      </w:tr>
      <w:tr>
        <w:tc>
          <w:tcPr>
            <w:tcW w:type="dxa" w:w="2600"/>
            <w:shd w:fill="F2F4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Short/partial histories leave too few effective observations</w:t>
            </w:r>
          </w:p>
        </w:tc>
        <w:tc>
          <w:tcPr>
            <w:tcW w:type="dxa" w:w="3280"/>
            <w:shd w:fill="F2F4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Unstable coefficients, huge standard errors on ~25-week slices</w:t>
            </w:r>
          </w:p>
        </w:tc>
        <w:tc>
          <w:tcPr>
            <w:tcW w:type="dxa" w:w="3480"/>
            <w:shd w:fill="F2F4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104-week set-year window with minimum-data checks; such slices reported as low-confidence, candidates for pooling or exclusion after sponsor input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Structural change absent from predictors (suspected Brand 1 late-2025 delisting)</w:t>
            </w:r>
          </w:p>
        </w:tc>
        <w:tc>
          <w:tcPr>
            <w:tcW w:type="dxa" w:w="3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Systematic over-prediction: our case study saw 73% holdout MAPE, all errors biased high</w:t>
            </w:r>
          </w:p>
        </w:tc>
        <w:tc>
          <w:tcPr>
            <w:tcW w:type="dxa" w:w="34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Force-variable workflow recovers part of the signal (73% → 32% by forcing ACV distribution); 8 high-MAPE slices flagged to sponsor; event-dummy overlay scoped as an extension</w:t>
            </w:r>
          </w:p>
        </w:tc>
      </w:tr>
      <w:tr>
        <w:tc>
          <w:tcPr>
            <w:tcW w:type="dxa" w:w="2600"/>
            <w:shd w:fill="F2F4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Target leakage via decomposition columns</w:t>
            </w:r>
          </w:p>
        </w:tc>
        <w:tc>
          <w:tcPr>
            <w:tcW w:type="dxa" w:w="3280"/>
            <w:shd w:fill="F2F4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Spectacular but fake in-sample fit; model teaches nothing causal</w:t>
            </w:r>
          </w:p>
        </w:tc>
        <w:tc>
          <w:tcPr>
            <w:tcW w:type="dxa" w:w="3480"/>
            <w:shd w:fill="F2F4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Dynamic exclusion of all decompositions of the chosen target, enforced in code, not by hand-maintained lists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Heterogeneous layouts across brands (96–148 cols, renamed media, numeric headers)</w:t>
            </w:r>
          </w:p>
        </w:tc>
        <w:tc>
          <w:tcPr>
            <w:tcW w:type="dxa" w:w="3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Pipeline breaks on every new client file</w:t>
            </w:r>
          </w:p>
        </w:tc>
        <w:tc>
          <w:tcPr>
            <w:tcW w:type="dxa" w:w="34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Config-table variable mapping; auto-detection of sheets/targets; validated against a synthetic alien-format workbook</w:t>
            </w:r>
          </w:p>
        </w:tc>
      </w:tr>
      <w:tr>
        <w:tc>
          <w:tcPr>
            <w:tcW w:type="dxa" w:w="2600"/>
            <w:shd w:fill="F2F4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Skew and 50× scale differences across slices</w:t>
            </w:r>
          </w:p>
        </w:tc>
        <w:tc>
          <w:tcPr>
            <w:tcW w:type="dxa" w:w="3280"/>
            <w:shd w:fill="F2F4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single pooled model would be dominated by large slices</w:t>
            </w:r>
          </w:p>
        </w:tc>
        <w:tc>
          <w:tcPr>
            <w:tcW w:type="dxa" w:w="3480"/>
            <w:shd w:fill="F2F4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One model per Brand × Channel; MAPE computed on non-zero actuals; fit judged per slice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1F3864"/>
          <w:sz w:val="26"/>
          <w:szCs w:val="26"/>
        </w:rPr>
        <w:t xml:space="preserve">7. Conclusions</w:t>
      </w:r>
    </w:p>
    <w:p>
      <w:pPr>
        <w:spacing w:after="120" w:line="276"/>
      </w:pPr>
      <w:r>
        <w:rPr>
          <w:sz w:val="21"/>
          <w:szCs w:val="21"/>
        </w:rPr>
        <w:t xml:space="preserve">The dataset is unusually clean at the cell level but structurally uneven: 71 of 82 slices carry full 156-week histories and support the standard modeling window, 9 need flagged, reduced-confidence treatment, and 2 cannot be modeled at all. The dominant analytical risks are target leakage (solved by construction), collinearity (solved by VIF pruning), and unrecorded structural events (partially mitigated by the analyst-override workflow; fully solvable only with sponsor knowledge of the events). These findings directly shaped the engine's design — per-slice models, config-driven variable mapping, minimum-data guards, and human-in-the-loop overrides — and none of the identified gaps threatens the project's ability to deliver its core scope.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fed5d7f4a0fbccd7249bd1fa7f6152c73950dcb.png"/><Relationship Id="rId9" Type="http://schemas.openxmlformats.org/officeDocument/2006/relationships/image" Target="media/a55d994c582395623c211caf93a77d463ea91ae4.png"/><Relationship Id="rId10" Type="http://schemas.openxmlformats.org/officeDocument/2006/relationships/image" Target="media/fdc934b9456657b6457cc53d8260770ff35906d8.png"/><Relationship Id="rId11" Type="http://schemas.openxmlformats.org/officeDocument/2006/relationships/image" Target="media/aef5b261afa4caaed92455c88bc66ff99db52af8.png"/><Relationship Id="rId12" Type="http://schemas.openxmlformats.org/officeDocument/2006/relationships/image" Target="media/614ca8da62bb10b3158a2e319b6aec12920a73d2.png"/><Relationship Id="rId13" Type="http://schemas.openxmlformats.org/officeDocument/2006/relationships/image" Target="media/d1904a222802e2c3531aff1b761f63c5f2ec8889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2026-07-14T18:20:09.451Z</dcterms:created>
  <dcterms:modified xsi:type="dcterms:W3CDTF">2026-07-14T18:20:09.452Z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