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8"/>
          <w:szCs w:val="48"/>
        </w:rPr>
        <w:t xml:space="preserve">Project Plan</w:t>
      </w:r>
    </w:p>
    <w:p>
      <w:pPr>
        <w:spacing w:after="40"/>
        <w:jc w:val="center"/>
      </w:pPr>
      <w:r>
        <w:rPr>
          <w:color w:val="595959"/>
          <w:sz w:val="24"/>
          <w:szCs w:val="24"/>
        </w:rPr>
        <w:t xml:space="preserve">Automated Regression Engine + UI for Brand × Channel Volume Sales Modeling</w:t>
      </w:r>
    </w:p>
    <w:p>
      <w:pPr>
        <w:spacing w:after="40"/>
        <w:jc w:val="center"/>
      </w:pPr>
      <w:r>
        <w:rPr>
          <w:color w:val="595959"/>
          <w:sz w:val="21"/>
          <w:szCs w:val="21"/>
        </w:rPr>
        <w:t xml:space="preserve">Big Chalk Analytics × Northwestern MSDS Capstone — Summer 2026</w:t>
      </w:r>
    </w:p>
    <w:p>
      <w:pPr>
        <w:pBdr>
          <w:bottom w:val="single" w:color="1F3864" w:sz="6" w:space="8"/>
        </w:pBdr>
        <w:spacing w:after="240"/>
        <w:jc w:val="center"/>
      </w:pPr>
      <w:r>
        <w:rPr>
          <w:color w:val="595959"/>
          <w:sz w:val="19"/>
          <w:szCs w:val="19"/>
        </w:rPr>
        <w:t xml:space="preserve">Team: Feifan Liu · Boqi Niu · Jiahao Li      Faculty: Abid Ali      Sponsor contact: Alex Hathcock      July 14, 2026</w:t>
      </w:r>
    </w:p>
    <w:p>
      <w:pPr>
        <w:pStyle w:val="Heading1"/>
        <w:spacing w:after="120" w:before="280"/>
      </w:pPr>
      <w:r>
        <w:rPr>
          <w:b/>
          <w:bCs/>
          <w:color w:val="1F3864"/>
          <w:sz w:val="26"/>
          <w:szCs w:val="26"/>
        </w:rPr>
        <w:t xml:space="preserve">1. Project Overview</w:t>
      </w:r>
    </w:p>
    <w:p>
      <w:pPr>
        <w:spacing w:after="120" w:line="276"/>
      </w:pPr>
      <w:r>
        <w:rPr>
          <w:sz w:val="21"/>
          <w:szCs w:val="21"/>
        </w:rPr>
        <w:t xml:space="preserve">Big Chalk Analytics, a marketing-analytics consultancy based in Evanston, IL, supports a national CPG manufacturer that sells many niche products across up to nine retailer channels. Modeling volume sales for every brand and channel by hand does not scale. Our capstone project builds an automated regression engine that constructs a volume-sales model for every Brand × Retailer-Channel combination — with predictors spanning trade, distribution, price, media (adstocked), competition, macroeconomics, and seasonality — and wraps it in a dashboard that lets a non-technical analyst upload data, run all models, inspect diagnostics and contribution (“due-to”) reports, and manually override variable selection and coefficient bounds before finalizing.</w:t>
      </w:r>
    </w:p>
    <w:p>
      <w:pPr>
        <w:spacing w:after="120" w:line="276"/>
      </w:pPr>
      <w:r>
        <w:rPr>
          <w:sz w:val="21"/>
          <w:szCs w:val="21"/>
        </w:rPr>
        <w:t xml:space="preserve">The dataset is three years (Jan 2023 – Dec 2025, 156 weeks) of weekly data for 10 anonymized brands across up to 9 channels, roughly 113 columns per brand, at a Channel × Brand × Week grain.</w:t>
      </w:r>
    </w:p>
    <w:p>
      <w:pPr>
        <w:pStyle w:val="Heading2"/>
        <w:spacing w:after="100" w:before="200"/>
      </w:pPr>
      <w:r>
        <w:rPr>
          <w:b/>
          <w:bCs/>
          <w:color w:val="1F3864"/>
          <w:sz w:val="22"/>
          <w:szCs w:val="22"/>
        </w:rPr>
        <w:t xml:space="preserve">1.1 Objectives and success criteria</w:t>
      </w:r>
    </w:p>
    <w:p>
      <w:pPr>
        <w:pStyle w:val="ListParagraph"/>
        <w:numPr>
          <w:ilvl w:val="0"/>
          <w:numId w:val="2"/>
        </w:numPr>
        <w:spacing w:after="60" w:line="276"/>
      </w:pPr>
      <w:r>
        <w:rPr>
          <w:sz w:val="21"/>
          <w:szCs w:val="21"/>
        </w:rPr>
        <w:t xml:space="preserve">Automatically build a defensible regression model for every Brand × Channel slice (82 combinations in the pilot dataset), with sign- and bound-constrained coefficients, VIF screening, and time-based holdout validation.</w:t>
      </w:r>
    </w:p>
    <w:p>
      <w:pPr>
        <w:pStyle w:val="ListParagraph"/>
        <w:numPr>
          <w:ilvl w:val="0"/>
          <w:numId w:val="2"/>
        </w:numPr>
        <w:spacing w:after="60" w:line="276"/>
      </w:pPr>
      <w:r>
        <w:rPr>
          <w:sz w:val="21"/>
          <w:szCs w:val="21"/>
        </w:rPr>
        <w:t xml:space="preserve">Support analyst overrides: force or exclude variables, set coefficient bounds, and re-run — the “client-mandated variable” workflow the sponsor requires.</w:t>
      </w:r>
    </w:p>
    <w:p>
      <w:pPr>
        <w:pStyle w:val="ListParagraph"/>
        <w:numPr>
          <w:ilvl w:val="0"/>
          <w:numId w:val="2"/>
        </w:numPr>
        <w:spacing w:after="60" w:line="276"/>
      </w:pPr>
      <w:r>
        <w:rPr>
          <w:sz w:val="21"/>
          <w:szCs w:val="21"/>
        </w:rPr>
        <w:t xml:space="preserve">Report coefficients, fit metrics, t-stats, VIF, and yearly contribution decompositions (due-tos) per model.</w:t>
      </w:r>
    </w:p>
    <w:p>
      <w:pPr>
        <w:pStyle w:val="ListParagraph"/>
        <w:numPr>
          <w:ilvl w:val="0"/>
          <w:numId w:val="2"/>
        </w:numPr>
        <w:spacing w:after="60" w:line="276"/>
      </w:pPr>
      <w:r>
        <w:rPr>
          <w:sz w:val="21"/>
          <w:szCs w:val="21"/>
        </w:rPr>
        <w:t xml:space="preserve">Deliver a dashboard covering data upload → model design → batch run → drill-down → manual re-run, usable on a new client datafile without code changes.</w:t>
      </w:r>
    </w:p>
    <w:p>
      <w:pPr>
        <w:pStyle w:val="ListParagraph"/>
        <w:numPr>
          <w:ilvl w:val="0"/>
          <w:numId w:val="2"/>
        </w:numPr>
        <w:spacing w:after="60" w:line="276"/>
      </w:pPr>
      <w:r>
        <w:rPr>
          <w:sz w:val="21"/>
          <w:szCs w:val="21"/>
        </w:rPr>
        <w:t xml:space="preserve">Quality bar: batch completes in minutes, models achieve reasonable fit (median R² ≈ 0.9 and median holdout MAPE ≈ 10% on the pilot data), and every methodological choice is documented and defensible to the sponsor.</w:t>
      </w:r>
    </w:p>
    <w:p>
      <w:pPr>
        <w:pStyle w:val="Heading1"/>
        <w:spacing w:after="120" w:before="280"/>
      </w:pPr>
      <w:r>
        <w:rPr>
          <w:b/>
          <w:bCs/>
          <w:color w:val="1F3864"/>
          <w:sz w:val="26"/>
          <w:szCs w:val="26"/>
        </w:rPr>
        <w:t xml:space="preserve">2. Scope</w:t>
      </w:r>
    </w:p>
    <w:p>
      <w:pPr>
        <w:pStyle w:val="Heading2"/>
        <w:spacing w:after="100" w:before="200"/>
      </w:pPr>
      <w:r>
        <w:rPr>
          <w:b/>
          <w:bCs/>
          <w:color w:val="1F3864"/>
          <w:sz w:val="22"/>
          <w:szCs w:val="22"/>
        </w:rPr>
        <w:t xml:space="preserve">2.1 In scope</w:t>
      </w:r>
    </w:p>
    <w:p>
      <w:pPr>
        <w:pStyle w:val="ListParagraph"/>
        <w:numPr>
          <w:ilvl w:val="0"/>
          <w:numId w:val="2"/>
        </w:numPr>
        <w:spacing w:after="60" w:line="276"/>
      </w:pPr>
      <w:r>
        <w:rPr>
          <w:sz w:val="21"/>
          <w:szCs w:val="21"/>
        </w:rPr>
        <w:t xml:space="preserve">Data ingestion and validation for Excel workbooks at the Channel × Brand × Week grain, with product sheets and modeling targets auto-detected.</w:t>
      </w:r>
    </w:p>
    <w:p>
      <w:pPr>
        <w:pStyle w:val="ListParagraph"/>
        <w:numPr>
          <w:ilvl w:val="0"/>
          <w:numId w:val="2"/>
        </w:numPr>
        <w:spacing w:after="60" w:line="276"/>
      </w:pPr>
      <w:r>
        <w:rPr>
          <w:sz w:val="21"/>
          <w:szCs w:val="21"/>
        </w:rPr>
        <w:t xml:space="preserve">Feature engineering per the sponsor's conventions: normalized adstock transforms with per-media decay rates, config-table variable mapping (family, expected sign, bounds, role: auto / force / exclude).</w:t>
      </w:r>
    </w:p>
    <w:p>
      <w:pPr>
        <w:pStyle w:val="ListParagraph"/>
        <w:numPr>
          <w:ilvl w:val="0"/>
          <w:numId w:val="2"/>
        </w:numPr>
        <w:spacing w:after="60" w:line="276"/>
      </w:pPr>
      <w:r>
        <w:rPr>
          <w:sz w:val="21"/>
          <w:szCs w:val="21"/>
        </w:rPr>
        <w:t xml:space="preserve">Automated model selection (forward stepwise with VIF pruning) and bounded least-squares estimation; configurable target and modeling window (104-week set-year with tail holdout).</w:t>
      </w:r>
    </w:p>
    <w:p>
      <w:pPr>
        <w:pStyle w:val="ListParagraph"/>
        <w:numPr>
          <w:ilvl w:val="0"/>
          <w:numId w:val="2"/>
        </w:numPr>
        <w:spacing w:after="60" w:line="276"/>
      </w:pPr>
      <w:r>
        <w:rPr>
          <w:sz w:val="21"/>
          <w:szCs w:val="21"/>
        </w:rPr>
        <w:t xml:space="preserve">Batch execution across all Brand × Channel combinations with a consolidated summary and failure flags.</w:t>
      </w:r>
    </w:p>
    <w:p>
      <w:pPr>
        <w:pStyle w:val="ListParagraph"/>
        <w:numPr>
          <w:ilvl w:val="0"/>
          <w:numId w:val="2"/>
        </w:numPr>
        <w:spacing w:after="60" w:line="276"/>
      </w:pPr>
      <w:r>
        <w:rPr>
          <w:sz w:val="21"/>
          <w:szCs w:val="21"/>
        </w:rPr>
        <w:t xml:space="preserve">Dash-based UI: run &amp; diagnostics, per-variable controls, contribution reporting, and batch overview with drill-down.</w:t>
      </w:r>
    </w:p>
    <w:p>
      <w:pPr>
        <w:pStyle w:val="ListParagraph"/>
        <w:numPr>
          <w:ilvl w:val="0"/>
          <w:numId w:val="2"/>
        </w:numPr>
        <w:spacing w:after="60" w:line="276"/>
      </w:pPr>
      <w:r>
        <w:rPr>
          <w:sz w:val="21"/>
          <w:szCs w:val="21"/>
        </w:rPr>
        <w:t xml:space="preserve">Course deliverables: project plan, testing plan, EDA report, design document, status reports, final report and presentation.</w:t>
      </w:r>
    </w:p>
    <w:p>
      <w:pPr>
        <w:pStyle w:val="Heading2"/>
        <w:spacing w:after="100" w:before="200"/>
      </w:pPr>
      <w:r>
        <w:rPr>
          <w:b/>
          <w:bCs/>
          <w:color w:val="1F3864"/>
          <w:sz w:val="22"/>
          <w:szCs w:val="22"/>
        </w:rPr>
        <w:t xml:space="preserve">2.2 Out of scope</w:t>
      </w:r>
    </w:p>
    <w:p>
      <w:pPr>
        <w:pStyle w:val="ListParagraph"/>
        <w:numPr>
          <w:ilvl w:val="0"/>
          <w:numId w:val="2"/>
        </w:numPr>
        <w:spacing w:after="60" w:line="276"/>
      </w:pPr>
      <w:r>
        <w:rPr>
          <w:sz w:val="21"/>
          <w:szCs w:val="21"/>
        </w:rPr>
        <w:t xml:space="preserve">Production deployment and hosting at Big Chalk (packaging guidance will be documented; hosting decisions rest with the sponsor).</w:t>
      </w:r>
    </w:p>
    <w:p>
      <w:pPr>
        <w:pStyle w:val="ListParagraph"/>
        <w:numPr>
          <w:ilvl w:val="0"/>
          <w:numId w:val="2"/>
        </w:numPr>
        <w:spacing w:after="60" w:line="276"/>
      </w:pPr>
      <w:r>
        <w:rPr>
          <w:sz w:val="21"/>
          <w:szCs w:val="21"/>
        </w:rPr>
        <w:t xml:space="preserve">Non-regression model families (e.g., ML forecasters) as the final deliverable — the sponsor requires interpretable, constraint-capable regression.</w:t>
      </w:r>
    </w:p>
    <w:p>
      <w:pPr>
        <w:pStyle w:val="ListParagraph"/>
        <w:numPr>
          <w:ilvl w:val="0"/>
          <w:numId w:val="2"/>
        </w:numPr>
        <w:spacing w:after="60" w:line="276"/>
      </w:pPr>
      <w:r>
        <w:rPr>
          <w:sz w:val="21"/>
          <w:szCs w:val="21"/>
        </w:rPr>
        <w:t xml:space="preserve">Data acquisition or cleaning beyond the anonymized files provided by the sponsor.</w:t>
      </w:r>
    </w:p>
    <w:p>
      <w:pPr>
        <w:pStyle w:val="ListParagraph"/>
        <w:numPr>
          <w:ilvl w:val="0"/>
          <w:numId w:val="2"/>
        </w:numPr>
        <w:spacing w:after="60" w:line="276"/>
      </w:pPr>
      <w:r>
        <w:rPr>
          <w:sz w:val="21"/>
          <w:szCs w:val="21"/>
        </w:rPr>
        <w:t xml:space="preserve">Event-overlay modeling for unrecorded market shocks (flagged as a possible extension, pending sponsor input).</w:t>
      </w:r>
    </w:p>
    <w:p>
      <w:pPr>
        <w:pStyle w:val="Heading1"/>
        <w:spacing w:after="120" w:before="280"/>
      </w:pPr>
      <w:r>
        <w:rPr>
          <w:b/>
          <w:bCs/>
          <w:color w:val="1F3864"/>
          <w:sz w:val="26"/>
          <w:szCs w:val="26"/>
        </w:rPr>
        <w:t xml:space="preserve">3. Team, Roles, and Responsibilities</w:t>
      </w:r>
    </w:p>
    <w:p>
      <w:pPr>
        <w:spacing w:after="120" w:line="276"/>
      </w:pPr>
      <w:r>
        <w:rPr>
          <w:sz w:val="21"/>
          <w:szCs w:val="21"/>
        </w:rPr>
        <w:t xml:space="preserve">The team operates on a shared-ownership model: all three members co-own each phase and its deliverables, with the lead role rotating so that every member drives at least one major phase and one written deliverable. This keeps knowledge distributed and removes single points of failure on a three-person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shd w:fill="1F3864" w:val="clear"/>
            <w:tcMar>
              <w:top w:type="dxa" w:w="60"/>
              <w:left w:type="dxa" w:w="100"/>
              <w:bottom w:type="dxa" w:w="60"/>
              <w:right w:type="dxa" w:w="100"/>
            </w:tcMar>
          </w:tcPr>
          <w:p>
            <w:pPr>
              <w:spacing w:after="0" w:line="252"/>
            </w:pPr>
            <w:r>
              <w:rPr>
                <w:b/>
                <w:bCs/>
                <w:color w:val="FFFFFF"/>
                <w:sz w:val="19"/>
                <w:szCs w:val="19"/>
              </w:rPr>
              <w:t xml:space="preserve">Role</w:t>
            </w:r>
          </w:p>
        </w:tc>
        <w:tc>
          <w:tcPr>
            <w:tcW w:type="dxa" w:w="4680"/>
            <w:shd w:fill="1F3864" w:val="clear"/>
            <w:tcMar>
              <w:top w:type="dxa" w:w="60"/>
              <w:left w:type="dxa" w:w="100"/>
              <w:bottom w:type="dxa" w:w="60"/>
              <w:right w:type="dxa" w:w="100"/>
            </w:tcMar>
          </w:tcPr>
          <w:p>
            <w:pPr>
              <w:spacing w:after="0" w:line="252"/>
            </w:pPr>
            <w:r>
              <w:rPr>
                <w:b/>
                <w:bCs/>
                <w:color w:val="FFFFFF"/>
                <w:sz w:val="19"/>
                <w:szCs w:val="19"/>
              </w:rPr>
              <w:t xml:space="preserve">Responsibilities</w:t>
            </w:r>
          </w:p>
        </w:tc>
        <w:tc>
          <w:tcPr>
            <w:tcW w:type="dxa" w:w="2340"/>
            <w:shd w:fill="1F3864" w:val="clear"/>
            <w:tcMar>
              <w:top w:type="dxa" w:w="60"/>
              <w:left w:type="dxa" w:w="100"/>
              <w:bottom w:type="dxa" w:w="60"/>
              <w:right w:type="dxa" w:w="100"/>
            </w:tcMar>
          </w:tcPr>
          <w:p>
            <w:pPr>
              <w:spacing w:after="0" w:line="252"/>
            </w:pPr>
            <w:r>
              <w:rPr>
                <w:b/>
                <w:bCs/>
                <w:color w:val="FFFFFF"/>
                <w:sz w:val="19"/>
                <w:szCs w:val="19"/>
              </w:rPr>
              <w:t xml:space="preserve">Assigned to</w:t>
            </w:r>
          </w:p>
        </w:tc>
      </w:tr>
      <w:tr>
        <w:tc>
          <w:tcPr>
            <w:tcW w:type="dxa" w:w="2340"/>
            <w:tcMar>
              <w:top w:type="dxa" w:w="60"/>
              <w:left w:type="dxa" w:w="100"/>
              <w:bottom w:type="dxa" w:w="60"/>
              <w:right w:type="dxa" w:w="100"/>
            </w:tcMar>
          </w:tcPr>
          <w:p>
            <w:pPr>
              <w:spacing w:after="0" w:line="252"/>
            </w:pPr>
            <w:r>
              <w:rPr>
                <w:b w:val="false"/>
                <w:bCs w:val="false"/>
                <w:color w:val="000000"/>
                <w:sz w:val="19"/>
                <w:szCs w:val="19"/>
              </w:rPr>
              <w:t xml:space="preserve">Phase lead (rotating)</w:t>
            </w:r>
          </w:p>
        </w:tc>
        <w:tc>
          <w:tcPr>
            <w:tcW w:type="dxa" w:w="4680"/>
            <w:tcMar>
              <w:top w:type="dxa" w:w="60"/>
              <w:left w:type="dxa" w:w="100"/>
              <w:bottom w:type="dxa" w:w="60"/>
              <w:right w:type="dxa" w:w="100"/>
            </w:tcMar>
          </w:tcPr>
          <w:p>
            <w:pPr>
              <w:spacing w:after="0" w:line="252"/>
            </w:pPr>
            <w:r>
              <w:rPr>
                <w:b w:val="false"/>
                <w:bCs w:val="false"/>
                <w:color w:val="000000"/>
                <w:sz w:val="19"/>
                <w:szCs w:val="19"/>
              </w:rPr>
              <w:t xml:space="preserve">Drives the active phase: sets weekly goals, integrates work, owns the phase deliverable draft</w:t>
            </w:r>
          </w:p>
        </w:tc>
        <w:tc>
          <w:tcPr>
            <w:tcW w:type="dxa" w:w="2340"/>
            <w:tcMar>
              <w:top w:type="dxa" w:w="60"/>
              <w:left w:type="dxa" w:w="100"/>
              <w:bottom w:type="dxa" w:w="60"/>
              <w:right w:type="dxa" w:w="100"/>
            </w:tcMar>
          </w:tcPr>
          <w:p>
            <w:pPr>
              <w:spacing w:after="0" w:line="252"/>
            </w:pPr>
            <w:r>
              <w:rPr>
                <w:b w:val="false"/>
                <w:bCs w:val="false"/>
                <w:color w:val="000000"/>
                <w:sz w:val="19"/>
                <w:szCs w:val="19"/>
              </w:rPr>
              <w:t xml:space="preserve">Rotates — Feifan Liu, Boqi Niu, Jiahao Li</w:t>
            </w:r>
          </w:p>
        </w:tc>
      </w:tr>
      <w:tr>
        <w:tc>
          <w:tcPr>
            <w:tcW w:type="dxa" w:w="2340"/>
            <w:shd w:fill="F2F4F8" w:val="clear"/>
            <w:tcMar>
              <w:top w:type="dxa" w:w="60"/>
              <w:left w:type="dxa" w:w="100"/>
              <w:bottom w:type="dxa" w:w="60"/>
              <w:right w:type="dxa" w:w="100"/>
            </w:tcMar>
          </w:tcPr>
          <w:p>
            <w:pPr>
              <w:spacing w:after="0" w:line="252"/>
            </w:pPr>
            <w:r>
              <w:rPr>
                <w:b w:val="false"/>
                <w:bCs w:val="false"/>
                <w:color w:val="000000"/>
                <w:sz w:val="19"/>
                <w:szCs w:val="19"/>
              </w:rPr>
              <w:t xml:space="preserve">Engineering &amp; code review</w:t>
            </w:r>
          </w:p>
        </w:tc>
        <w:tc>
          <w:tcPr>
            <w:tcW w:type="dxa" w:w="4680"/>
            <w:shd w:fill="F2F4F8" w:val="clear"/>
            <w:tcMar>
              <w:top w:type="dxa" w:w="60"/>
              <w:left w:type="dxa" w:w="100"/>
              <w:bottom w:type="dxa" w:w="60"/>
              <w:right w:type="dxa" w:w="100"/>
            </w:tcMar>
          </w:tcPr>
          <w:p>
            <w:pPr>
              <w:spacing w:after="0" w:line="252"/>
            </w:pPr>
            <w:r>
              <w:rPr>
                <w:b w:val="false"/>
                <w:bCs w:val="false"/>
                <w:color w:val="000000"/>
                <w:sz w:val="19"/>
                <w:szCs w:val="19"/>
              </w:rPr>
              <w:t xml:space="preserve">Pipeline and UI code quality; every merge reviewed by a second member</w:t>
            </w:r>
          </w:p>
        </w:tc>
        <w:tc>
          <w:tcPr>
            <w:tcW w:type="dxa" w:w="2340"/>
            <w:shd w:fill="F2F4F8" w:val="clear"/>
            <w:tcMar>
              <w:top w:type="dxa" w:w="60"/>
              <w:left w:type="dxa" w:w="100"/>
              <w:bottom w:type="dxa" w:w="60"/>
              <w:right w:type="dxa" w:w="100"/>
            </w:tcMar>
          </w:tcPr>
          <w:p>
            <w:pPr>
              <w:spacing w:after="0" w:line="252"/>
            </w:pPr>
            <w:r>
              <w:rPr>
                <w:b w:val="false"/>
                <w:bCs w:val="false"/>
                <w:color w:val="000000"/>
                <w:sz w:val="19"/>
                <w:szCs w:val="19"/>
              </w:rPr>
              <w:t xml:space="preserve">Shared (all)</w:t>
            </w:r>
          </w:p>
        </w:tc>
      </w:tr>
      <w:tr>
        <w:tc>
          <w:tcPr>
            <w:tcW w:type="dxa" w:w="2340"/>
            <w:tcMar>
              <w:top w:type="dxa" w:w="60"/>
              <w:left w:type="dxa" w:w="100"/>
              <w:bottom w:type="dxa" w:w="60"/>
              <w:right w:type="dxa" w:w="100"/>
            </w:tcMar>
          </w:tcPr>
          <w:p>
            <w:pPr>
              <w:spacing w:after="0" w:line="252"/>
            </w:pPr>
            <w:r>
              <w:rPr>
                <w:b w:val="false"/>
                <w:bCs w:val="false"/>
                <w:color w:val="000000"/>
                <w:sz w:val="19"/>
                <w:szCs w:val="19"/>
              </w:rPr>
              <w:t xml:space="preserve">Modeling &amp; validation</w:t>
            </w:r>
          </w:p>
        </w:tc>
        <w:tc>
          <w:tcPr>
            <w:tcW w:type="dxa" w:w="4680"/>
            <w:tcMar>
              <w:top w:type="dxa" w:w="60"/>
              <w:left w:type="dxa" w:w="100"/>
              <w:bottom w:type="dxa" w:w="60"/>
              <w:right w:type="dxa" w:w="100"/>
            </w:tcMar>
          </w:tcPr>
          <w:p>
            <w:pPr>
              <w:spacing w:after="0" w:line="252"/>
            </w:pPr>
            <w:r>
              <w:rPr>
                <w:b w:val="false"/>
                <w:bCs w:val="false"/>
                <w:color w:val="000000"/>
                <w:sz w:val="19"/>
                <w:szCs w:val="19"/>
              </w:rPr>
              <w:t xml:space="preserve">Method choices, diagnostics, holdout validation, sponsor methodology alignment</w:t>
            </w:r>
          </w:p>
        </w:tc>
        <w:tc>
          <w:tcPr>
            <w:tcW w:type="dxa" w:w="2340"/>
            <w:tcMar>
              <w:top w:type="dxa" w:w="60"/>
              <w:left w:type="dxa" w:w="100"/>
              <w:bottom w:type="dxa" w:w="60"/>
              <w:right w:type="dxa" w:w="100"/>
            </w:tcMar>
          </w:tcPr>
          <w:p>
            <w:pPr>
              <w:spacing w:after="0" w:line="252"/>
            </w:pPr>
            <w:r>
              <w:rPr>
                <w:b w:val="false"/>
                <w:bCs w:val="false"/>
                <w:color w:val="000000"/>
                <w:sz w:val="19"/>
                <w:szCs w:val="19"/>
              </w:rPr>
              <w:t xml:space="preserve">Shared (all)</w:t>
            </w:r>
          </w:p>
        </w:tc>
      </w:tr>
      <w:tr>
        <w:tc>
          <w:tcPr>
            <w:tcW w:type="dxa" w:w="2340"/>
            <w:shd w:fill="F2F4F8" w:val="clear"/>
            <w:tcMar>
              <w:top w:type="dxa" w:w="60"/>
              <w:left w:type="dxa" w:w="100"/>
              <w:bottom w:type="dxa" w:w="60"/>
              <w:right w:type="dxa" w:w="100"/>
            </w:tcMar>
          </w:tcPr>
          <w:p>
            <w:pPr>
              <w:spacing w:after="0" w:line="252"/>
            </w:pPr>
            <w:r>
              <w:rPr>
                <w:b w:val="false"/>
                <w:bCs w:val="false"/>
                <w:color w:val="000000"/>
                <w:sz w:val="19"/>
                <w:szCs w:val="19"/>
              </w:rPr>
              <w:t xml:space="preserve">Documentation &amp; findings</w:t>
            </w:r>
          </w:p>
        </w:tc>
        <w:tc>
          <w:tcPr>
            <w:tcW w:type="dxa" w:w="4680"/>
            <w:shd w:fill="F2F4F8" w:val="clear"/>
            <w:tcMar>
              <w:top w:type="dxa" w:w="60"/>
              <w:left w:type="dxa" w:w="100"/>
              <w:bottom w:type="dxa" w:w="60"/>
              <w:right w:type="dxa" w:w="100"/>
            </w:tcMar>
          </w:tcPr>
          <w:p>
            <w:pPr>
              <w:spacing w:after="0" w:line="252"/>
            </w:pPr>
            <w:r>
              <w:rPr>
                <w:b w:val="false"/>
                <w:bCs w:val="false"/>
                <w:color w:val="000000"/>
                <w:sz w:val="19"/>
                <w:szCs w:val="19"/>
              </w:rPr>
              <w:t xml:space="preserve">Living findings document, README, course deliverables</w:t>
            </w:r>
          </w:p>
        </w:tc>
        <w:tc>
          <w:tcPr>
            <w:tcW w:type="dxa" w:w="2340"/>
            <w:shd w:fill="F2F4F8" w:val="clear"/>
            <w:tcMar>
              <w:top w:type="dxa" w:w="60"/>
              <w:left w:type="dxa" w:w="100"/>
              <w:bottom w:type="dxa" w:w="60"/>
              <w:right w:type="dxa" w:w="100"/>
            </w:tcMar>
          </w:tcPr>
          <w:p>
            <w:pPr>
              <w:spacing w:after="0" w:line="252"/>
            </w:pPr>
            <w:r>
              <w:rPr>
                <w:b w:val="false"/>
                <w:bCs w:val="false"/>
                <w:color w:val="000000"/>
                <w:sz w:val="19"/>
                <w:szCs w:val="19"/>
              </w:rPr>
              <w:t xml:space="preserve">Shared (all)</w:t>
            </w:r>
          </w:p>
        </w:tc>
      </w:tr>
      <w:tr>
        <w:tc>
          <w:tcPr>
            <w:tcW w:type="dxa" w:w="2340"/>
            <w:tcMar>
              <w:top w:type="dxa" w:w="60"/>
              <w:left w:type="dxa" w:w="100"/>
              <w:bottom w:type="dxa" w:w="60"/>
              <w:right w:type="dxa" w:w="100"/>
            </w:tcMar>
          </w:tcPr>
          <w:p>
            <w:pPr>
              <w:spacing w:after="0" w:line="252"/>
            </w:pPr>
            <w:r>
              <w:rPr>
                <w:b w:val="false"/>
                <w:bCs w:val="false"/>
                <w:color w:val="000000"/>
                <w:sz w:val="19"/>
                <w:szCs w:val="19"/>
              </w:rPr>
              <w:t xml:space="preserve">Sponsor &amp; faculty liaison</w:t>
            </w:r>
          </w:p>
        </w:tc>
        <w:tc>
          <w:tcPr>
            <w:tcW w:type="dxa" w:w="4680"/>
            <w:tcMar>
              <w:top w:type="dxa" w:w="60"/>
              <w:left w:type="dxa" w:w="100"/>
              <w:bottom w:type="dxa" w:w="60"/>
              <w:right w:type="dxa" w:w="100"/>
            </w:tcMar>
          </w:tcPr>
          <w:p>
            <w:pPr>
              <w:spacing w:after="0" w:line="252"/>
            </w:pPr>
            <w:r>
              <w:rPr>
                <w:b w:val="false"/>
                <w:bCs w:val="false"/>
                <w:color w:val="000000"/>
                <w:sz w:val="19"/>
                <w:szCs w:val="19"/>
              </w:rPr>
              <w:t xml:space="preserve">Meeting agendas, minutes, follow-ups from the Monday sponsor sync</w:t>
            </w:r>
          </w:p>
        </w:tc>
        <w:tc>
          <w:tcPr>
            <w:tcW w:type="dxa" w:w="2340"/>
            <w:tcMar>
              <w:top w:type="dxa" w:w="60"/>
              <w:left w:type="dxa" w:w="100"/>
              <w:bottom w:type="dxa" w:w="60"/>
              <w:right w:type="dxa" w:w="100"/>
            </w:tcMar>
          </w:tcPr>
          <w:p>
            <w:pPr>
              <w:spacing w:after="0" w:line="252"/>
            </w:pPr>
            <w:r>
              <w:rPr>
                <w:b w:val="false"/>
                <w:bCs w:val="false"/>
                <w:color w:val="000000"/>
                <w:sz w:val="19"/>
                <w:szCs w:val="19"/>
              </w:rPr>
              <w:t xml:space="preserve">Rotates with phase lead</w:t>
            </w:r>
          </w:p>
        </w:tc>
      </w:tr>
    </w:tbl>
    <w:p>
      <w:pPr>
        <w:pStyle w:val="Heading2"/>
        <w:spacing w:after="100" w:before="200"/>
      </w:pPr>
      <w:r>
        <w:rPr>
          <w:b/>
          <w:bCs/>
          <w:color w:val="1F3864"/>
          <w:sz w:val="22"/>
          <w:szCs w:val="22"/>
        </w:rPr>
        <w:t xml:space="preserve">3.1 Communication and tracking</w:t>
      </w:r>
    </w:p>
    <w:p>
      <w:pPr>
        <w:pStyle w:val="ListParagraph"/>
        <w:numPr>
          <w:ilvl w:val="0"/>
          <w:numId w:val="2"/>
        </w:numPr>
        <w:spacing w:after="60" w:line="276"/>
      </w:pPr>
      <w:r>
        <w:rPr>
          <w:b/>
          <w:bCs/>
          <w:sz w:val="21"/>
          <w:szCs w:val="21"/>
        </w:rPr>
        <w:t xml:space="preserve">Sponsor sync: </w:t>
      </w:r>
      <w:r>
        <w:rPr>
          <w:sz w:val="21"/>
          <w:szCs w:val="21"/>
        </w:rPr>
        <w:t xml:space="preserve">weekly, Mondays 11:00–12:00 with Alex Hathcock (Big Chalk). Agenda circulated beforehand; decisions logged in the findings document.</w:t>
      </w:r>
    </w:p>
    <w:p>
      <w:pPr>
        <w:pStyle w:val="ListParagraph"/>
        <w:numPr>
          <w:ilvl w:val="0"/>
          <w:numId w:val="2"/>
        </w:numPr>
        <w:spacing w:after="60" w:line="276"/>
      </w:pPr>
      <w:r>
        <w:rPr>
          <w:b/>
          <w:bCs/>
          <w:sz w:val="21"/>
          <w:szCs w:val="21"/>
        </w:rPr>
        <w:t xml:space="preserve">Team working sessions: </w:t>
      </w:r>
      <w:r>
        <w:rPr>
          <w:sz w:val="21"/>
          <w:szCs w:val="21"/>
        </w:rPr>
        <w:t xml:space="preserve">at least twice weekly, plus ad-hoc pairing on blocking issues.</w:t>
      </w:r>
    </w:p>
    <w:p>
      <w:pPr>
        <w:pStyle w:val="ListParagraph"/>
        <w:numPr>
          <w:ilvl w:val="0"/>
          <w:numId w:val="2"/>
        </w:numPr>
        <w:spacing w:after="60" w:line="276"/>
      </w:pPr>
      <w:r>
        <w:rPr>
          <w:b/>
          <w:bCs/>
          <w:sz w:val="21"/>
          <w:szCs w:val="21"/>
        </w:rPr>
        <w:t xml:space="preserve">Faculty check-ins: </w:t>
      </w:r>
      <w:r>
        <w:rPr>
          <w:sz w:val="21"/>
          <w:szCs w:val="21"/>
        </w:rPr>
        <w:t xml:space="preserve">per course schedule with Prof. Abid Ali; status reports submitted as required by each module.</w:t>
      </w:r>
    </w:p>
    <w:p>
      <w:pPr>
        <w:pStyle w:val="ListParagraph"/>
        <w:numPr>
          <w:ilvl w:val="0"/>
          <w:numId w:val="2"/>
        </w:numPr>
        <w:spacing w:after="60" w:line="276"/>
      </w:pPr>
      <w:r>
        <w:rPr>
          <w:b/>
          <w:bCs/>
          <w:sz w:val="21"/>
          <w:szCs w:val="21"/>
        </w:rPr>
        <w:t xml:space="preserve">Tracking: </w:t>
      </w:r>
      <w:r>
        <w:rPr>
          <w:sz w:val="21"/>
          <w:szCs w:val="21"/>
        </w:rPr>
        <w:t xml:space="preserve">private GitHub repository (code, issues, commit history), a living Findings.md methodology log updated after every sponsor review, and per-phase output artifacts (model summaries, charts) checked into the project folder.</w:t>
      </w:r>
    </w:p>
    <w:p>
      <w:pPr>
        <w:pStyle w:val="Heading1"/>
        <w:spacing w:after="120" w:before="280"/>
      </w:pPr>
      <w:r>
        <w:rPr>
          <w:b/>
          <w:bCs/>
          <w:color w:val="1F3864"/>
          <w:sz w:val="26"/>
          <w:szCs w:val="26"/>
        </w:rPr>
        <w:t xml:space="preserve">4. Timeline and Milestones</w:t>
      </w:r>
    </w:p>
    <w:p>
      <w:pPr>
        <w:spacing w:after="120" w:line="276"/>
      </w:pPr>
      <w:r>
        <w:rPr>
          <w:sz w:val="21"/>
          <w:szCs w:val="21"/>
        </w:rPr>
        <w:t xml:space="preserve">The project runs June 22 – August 25, 2026. Phases 1–3 are complete and validated with the sponsor; Phase 4 is underway. Remaining effort concentrates on UI refinement, testing, and final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0"/>
        <w:gridCol w:w="2180"/>
        <w:gridCol w:w="1330"/>
        <w:gridCol w:w="3830"/>
      </w:tblGrid>
      <w:tr>
        <w:trPr>
          <w:tblHeader/>
        </w:trPr>
        <w:tc>
          <w:tcPr>
            <w:tcW w:type="dxa" w:w="2020"/>
            <w:shd w:fill="1F3864" w:val="clear"/>
            <w:tcMar>
              <w:top w:type="dxa" w:w="60"/>
              <w:left w:type="dxa" w:w="100"/>
              <w:bottom w:type="dxa" w:w="60"/>
              <w:right w:type="dxa" w:w="100"/>
            </w:tcMar>
          </w:tcPr>
          <w:p>
            <w:pPr>
              <w:spacing w:after="0" w:line="252"/>
            </w:pPr>
            <w:r>
              <w:rPr>
                <w:b/>
                <w:bCs/>
                <w:color w:val="FFFFFF"/>
                <w:sz w:val="19"/>
                <w:szCs w:val="19"/>
              </w:rPr>
              <w:t xml:space="preserve">Phase</w:t>
            </w:r>
          </w:p>
        </w:tc>
        <w:tc>
          <w:tcPr>
            <w:tcW w:type="dxa" w:w="2180"/>
            <w:shd w:fill="1F3864" w:val="clear"/>
            <w:tcMar>
              <w:top w:type="dxa" w:w="60"/>
              <w:left w:type="dxa" w:w="100"/>
              <w:bottom w:type="dxa" w:w="60"/>
              <w:right w:type="dxa" w:w="100"/>
            </w:tcMar>
          </w:tcPr>
          <w:p>
            <w:pPr>
              <w:spacing w:after="0" w:line="252"/>
            </w:pPr>
            <w:r>
              <w:rPr>
                <w:b/>
                <w:bCs/>
                <w:color w:val="FFFFFF"/>
                <w:sz w:val="19"/>
                <w:szCs w:val="19"/>
              </w:rPr>
              <w:t xml:space="preserve">Window</w:t>
            </w:r>
          </w:p>
        </w:tc>
        <w:tc>
          <w:tcPr>
            <w:tcW w:type="dxa" w:w="1330"/>
            <w:shd w:fill="1F3864" w:val="clear"/>
            <w:tcMar>
              <w:top w:type="dxa" w:w="60"/>
              <w:left w:type="dxa" w:w="100"/>
              <w:bottom w:type="dxa" w:w="60"/>
              <w:right w:type="dxa" w:w="100"/>
            </w:tcMar>
          </w:tcPr>
          <w:p>
            <w:pPr>
              <w:spacing w:after="0" w:line="252"/>
            </w:pPr>
            <w:r>
              <w:rPr>
                <w:b/>
                <w:bCs/>
                <w:color w:val="FFFFFF"/>
                <w:sz w:val="19"/>
                <w:szCs w:val="19"/>
              </w:rPr>
              <w:t xml:space="preserve">Status</w:t>
            </w:r>
          </w:p>
        </w:tc>
        <w:tc>
          <w:tcPr>
            <w:tcW w:type="dxa" w:w="3830"/>
            <w:shd w:fill="1F3864" w:val="clear"/>
            <w:tcMar>
              <w:top w:type="dxa" w:w="60"/>
              <w:left w:type="dxa" w:w="100"/>
              <w:bottom w:type="dxa" w:w="60"/>
              <w:right w:type="dxa" w:w="100"/>
            </w:tcMar>
          </w:tcPr>
          <w:p>
            <w:pPr>
              <w:spacing w:after="0" w:line="252"/>
            </w:pPr>
            <w:r>
              <w:rPr>
                <w:b/>
                <w:bCs/>
                <w:color w:val="FFFFFF"/>
                <w:sz w:val="19"/>
                <w:szCs w:val="19"/>
              </w:rPr>
              <w:t xml:space="preserve">Milestone / exit criteria</w:t>
            </w:r>
          </w:p>
        </w:tc>
      </w:tr>
      <w:tr>
        <w:tc>
          <w:tcPr>
            <w:tcW w:type="dxa" w:w="2020"/>
            <w:tcMar>
              <w:top w:type="dxa" w:w="60"/>
              <w:left w:type="dxa" w:w="100"/>
              <w:bottom w:type="dxa" w:w="60"/>
              <w:right w:type="dxa" w:w="100"/>
            </w:tcMar>
          </w:tcPr>
          <w:p>
            <w:pPr>
              <w:spacing w:after="0" w:line="252"/>
            </w:pPr>
            <w:r>
              <w:rPr>
                <w:b w:val="false"/>
                <w:bCs w:val="false"/>
                <w:color w:val="000000"/>
                <w:sz w:val="19"/>
                <w:szCs w:val="19"/>
              </w:rPr>
              <w:t xml:space="preserve">1. Data understanding</w:t>
            </w:r>
          </w:p>
        </w:tc>
        <w:tc>
          <w:tcPr>
            <w:tcW w:type="dxa" w:w="2180"/>
            <w:tcMar>
              <w:top w:type="dxa" w:w="60"/>
              <w:left w:type="dxa" w:w="100"/>
              <w:bottom w:type="dxa" w:w="60"/>
              <w:right w:type="dxa" w:w="100"/>
            </w:tcMar>
          </w:tcPr>
          <w:p>
            <w:pPr>
              <w:spacing w:after="0" w:line="252"/>
            </w:pPr>
            <w:r>
              <w:rPr>
                <w:b w:val="false"/>
                <w:bCs w:val="false"/>
                <w:color w:val="000000"/>
                <w:sz w:val="19"/>
                <w:szCs w:val="19"/>
              </w:rPr>
              <w:t xml:space="preserve">Jun 22 – Jun 28</w:t>
            </w:r>
          </w:p>
        </w:tc>
        <w:tc>
          <w:tcPr>
            <w:tcW w:type="dxa" w:w="1330"/>
            <w:tcMar>
              <w:top w:type="dxa" w:w="60"/>
              <w:left w:type="dxa" w:w="100"/>
              <w:bottom w:type="dxa" w:w="60"/>
              <w:right w:type="dxa" w:w="100"/>
            </w:tcMar>
          </w:tcPr>
          <w:p>
            <w:pPr>
              <w:spacing w:after="0" w:line="252"/>
            </w:pPr>
            <w:r>
              <w:rPr>
                <w:b w:val="false"/>
                <w:bCs w:val="false"/>
                <w:color w:val="000000"/>
                <w:sz w:val="19"/>
                <w:szCs w:val="19"/>
              </w:rPr>
              <w:t xml:space="preserve">Complete</w:t>
            </w:r>
          </w:p>
        </w:tc>
        <w:tc>
          <w:tcPr>
            <w:tcW w:type="dxa" w:w="3830"/>
            <w:tcMar>
              <w:top w:type="dxa" w:w="60"/>
              <w:left w:type="dxa" w:w="100"/>
              <w:bottom w:type="dxa" w:w="60"/>
              <w:right w:type="dxa" w:w="100"/>
            </w:tcMar>
          </w:tcPr>
          <w:p>
            <w:pPr>
              <w:spacing w:after="0" w:line="252"/>
            </w:pPr>
            <w:r>
              <w:rPr>
                <w:b w:val="false"/>
                <w:bCs w:val="false"/>
                <w:color w:val="000000"/>
                <w:sz w:val="19"/>
                <w:szCs w:val="19"/>
              </w:rPr>
              <w:t xml:space="preserve">Grain, column families, and target decompositions documented; leakage columns identified and excluded</w:t>
            </w:r>
          </w:p>
        </w:tc>
      </w:tr>
      <w:tr>
        <w:tc>
          <w:tcPr>
            <w:tcW w:type="dxa" w:w="2020"/>
            <w:shd w:fill="F2F4F8" w:val="clear"/>
            <w:tcMar>
              <w:top w:type="dxa" w:w="60"/>
              <w:left w:type="dxa" w:w="100"/>
              <w:bottom w:type="dxa" w:w="60"/>
              <w:right w:type="dxa" w:w="100"/>
            </w:tcMar>
          </w:tcPr>
          <w:p>
            <w:pPr>
              <w:spacing w:after="0" w:line="252"/>
            </w:pPr>
            <w:r>
              <w:rPr>
                <w:b w:val="false"/>
                <w:bCs w:val="false"/>
                <w:color w:val="000000"/>
                <w:sz w:val="19"/>
                <w:szCs w:val="19"/>
              </w:rPr>
              <w:t xml:space="preserve">2. Single-model engine</w:t>
            </w:r>
          </w:p>
        </w:tc>
        <w:tc>
          <w:tcPr>
            <w:tcW w:type="dxa" w:w="2180"/>
            <w:shd w:fill="F2F4F8" w:val="clear"/>
            <w:tcMar>
              <w:top w:type="dxa" w:w="60"/>
              <w:left w:type="dxa" w:w="100"/>
              <w:bottom w:type="dxa" w:w="60"/>
              <w:right w:type="dxa" w:w="100"/>
            </w:tcMar>
          </w:tcPr>
          <w:p>
            <w:pPr>
              <w:spacing w:after="0" w:line="252"/>
            </w:pPr>
            <w:r>
              <w:rPr>
                <w:b w:val="false"/>
                <w:bCs w:val="false"/>
                <w:color w:val="000000"/>
                <w:sz w:val="19"/>
                <w:szCs w:val="19"/>
              </w:rPr>
              <w:t xml:space="preserve">Jun 29 – Jul 5</w:t>
            </w:r>
          </w:p>
        </w:tc>
        <w:tc>
          <w:tcPr>
            <w:tcW w:type="dxa" w:w="1330"/>
            <w:shd w:fill="F2F4F8" w:val="clear"/>
            <w:tcMar>
              <w:top w:type="dxa" w:w="60"/>
              <w:left w:type="dxa" w:w="100"/>
              <w:bottom w:type="dxa" w:w="60"/>
              <w:right w:type="dxa" w:w="100"/>
            </w:tcMar>
          </w:tcPr>
          <w:p>
            <w:pPr>
              <w:spacing w:after="0" w:line="252"/>
            </w:pPr>
            <w:r>
              <w:rPr>
                <w:b w:val="false"/>
                <w:bCs w:val="false"/>
                <w:color w:val="000000"/>
                <w:sz w:val="19"/>
                <w:szCs w:val="19"/>
              </w:rPr>
              <w:t xml:space="preserve">Complete</w:t>
            </w:r>
          </w:p>
        </w:tc>
        <w:tc>
          <w:tcPr>
            <w:tcW w:type="dxa" w:w="3830"/>
            <w:shd w:fill="F2F4F8" w:val="clear"/>
            <w:tcMar>
              <w:top w:type="dxa" w:w="60"/>
              <w:left w:type="dxa" w:w="100"/>
              <w:bottom w:type="dxa" w:w="60"/>
              <w:right w:type="dxa" w:w="100"/>
            </w:tcMar>
          </w:tcPr>
          <w:p>
            <w:pPr>
              <w:spacing w:after="0" w:line="252"/>
            </w:pPr>
            <w:r>
              <w:rPr>
                <w:b w:val="false"/>
                <w:bCs w:val="false"/>
                <w:color w:val="000000"/>
                <w:sz w:val="19"/>
                <w:szCs w:val="19"/>
              </w:rPr>
              <w:t xml:space="preserve">Automated pipeline reproduces sponsor's production approach on Brand 1 × Channel 1 (coefficient agreement to 3e-07); sponsor review Jul 6 incorporated</w:t>
            </w:r>
          </w:p>
        </w:tc>
      </w:tr>
      <w:tr>
        <w:tc>
          <w:tcPr>
            <w:tcW w:type="dxa" w:w="2020"/>
            <w:tcMar>
              <w:top w:type="dxa" w:w="60"/>
              <w:left w:type="dxa" w:w="100"/>
              <w:bottom w:type="dxa" w:w="60"/>
              <w:right w:type="dxa" w:w="100"/>
            </w:tcMar>
          </w:tcPr>
          <w:p>
            <w:pPr>
              <w:spacing w:after="0" w:line="252"/>
            </w:pPr>
            <w:r>
              <w:rPr>
                <w:b w:val="false"/>
                <w:bCs w:val="false"/>
                <w:color w:val="000000"/>
                <w:sz w:val="19"/>
                <w:szCs w:val="19"/>
              </w:rPr>
              <w:t xml:space="preserve">3. Scale to all combinations</w:t>
            </w:r>
          </w:p>
        </w:tc>
        <w:tc>
          <w:tcPr>
            <w:tcW w:type="dxa" w:w="2180"/>
            <w:tcMar>
              <w:top w:type="dxa" w:w="60"/>
              <w:left w:type="dxa" w:w="100"/>
              <w:bottom w:type="dxa" w:w="60"/>
              <w:right w:type="dxa" w:w="100"/>
            </w:tcMar>
          </w:tcPr>
          <w:p>
            <w:pPr>
              <w:spacing w:after="0" w:line="252"/>
            </w:pPr>
            <w:r>
              <w:rPr>
                <w:b w:val="false"/>
                <w:bCs w:val="false"/>
                <w:color w:val="000000"/>
                <w:sz w:val="19"/>
                <w:szCs w:val="19"/>
              </w:rPr>
              <w:t xml:space="preserve">Jul 6 – Jul 12</w:t>
            </w:r>
          </w:p>
        </w:tc>
        <w:tc>
          <w:tcPr>
            <w:tcW w:type="dxa" w:w="1330"/>
            <w:tcMar>
              <w:top w:type="dxa" w:w="60"/>
              <w:left w:type="dxa" w:w="100"/>
              <w:bottom w:type="dxa" w:w="60"/>
              <w:right w:type="dxa" w:w="100"/>
            </w:tcMar>
          </w:tcPr>
          <w:p>
            <w:pPr>
              <w:spacing w:after="0" w:line="252"/>
            </w:pPr>
            <w:r>
              <w:rPr>
                <w:b w:val="false"/>
                <w:bCs w:val="false"/>
                <w:color w:val="000000"/>
                <w:sz w:val="19"/>
                <w:szCs w:val="19"/>
              </w:rPr>
              <w:t xml:space="preserve">Complete</w:t>
            </w:r>
          </w:p>
        </w:tc>
        <w:tc>
          <w:tcPr>
            <w:tcW w:type="dxa" w:w="3830"/>
            <w:tcMar>
              <w:top w:type="dxa" w:w="60"/>
              <w:left w:type="dxa" w:w="100"/>
              <w:bottom w:type="dxa" w:w="60"/>
              <w:right w:type="dxa" w:w="100"/>
            </w:tcMar>
          </w:tcPr>
          <w:p>
            <w:pPr>
              <w:spacing w:after="0" w:line="252"/>
            </w:pPr>
            <w:r>
              <w:rPr>
                <w:b w:val="false"/>
                <w:bCs w:val="false"/>
                <w:color w:val="000000"/>
                <w:sz w:val="19"/>
                <w:szCs w:val="19"/>
              </w:rPr>
              <w:t xml:space="preserve">80 of 82 slices modeled (2 correctly skipped); median R² 0.89, median holdout MAPE ≈10%; full batch ≈9 s</w:t>
            </w:r>
          </w:p>
        </w:tc>
      </w:tr>
      <w:tr>
        <w:tc>
          <w:tcPr>
            <w:tcW w:type="dxa" w:w="2020"/>
            <w:shd w:fill="F2F4F8" w:val="clear"/>
            <w:tcMar>
              <w:top w:type="dxa" w:w="60"/>
              <w:left w:type="dxa" w:w="100"/>
              <w:bottom w:type="dxa" w:w="60"/>
              <w:right w:type="dxa" w:w="100"/>
            </w:tcMar>
          </w:tcPr>
          <w:p>
            <w:pPr>
              <w:spacing w:after="0" w:line="252"/>
            </w:pPr>
            <w:r>
              <w:rPr>
                <w:b w:val="false"/>
                <w:bCs w:val="false"/>
                <w:color w:val="000000"/>
                <w:sz w:val="19"/>
                <w:szCs w:val="19"/>
              </w:rPr>
              <w:t xml:space="preserve">4. UI / dashboard</w:t>
            </w:r>
          </w:p>
        </w:tc>
        <w:tc>
          <w:tcPr>
            <w:tcW w:type="dxa" w:w="2180"/>
            <w:shd w:fill="F2F4F8" w:val="clear"/>
            <w:tcMar>
              <w:top w:type="dxa" w:w="60"/>
              <w:left w:type="dxa" w:w="100"/>
              <w:bottom w:type="dxa" w:w="60"/>
              <w:right w:type="dxa" w:w="100"/>
            </w:tcMar>
          </w:tcPr>
          <w:p>
            <w:pPr>
              <w:spacing w:after="0" w:line="252"/>
            </w:pPr>
            <w:r>
              <w:rPr>
                <w:b w:val="false"/>
                <w:bCs w:val="false"/>
                <w:color w:val="000000"/>
                <w:sz w:val="19"/>
                <w:szCs w:val="19"/>
              </w:rPr>
              <w:t xml:space="preserve">Jul 6 – Aug 2</w:t>
            </w:r>
          </w:p>
        </w:tc>
        <w:tc>
          <w:tcPr>
            <w:tcW w:type="dxa" w:w="1330"/>
            <w:shd w:fill="F2F4F8" w:val="clear"/>
            <w:tcMar>
              <w:top w:type="dxa" w:w="60"/>
              <w:left w:type="dxa" w:w="100"/>
              <w:bottom w:type="dxa" w:w="60"/>
              <w:right w:type="dxa" w:w="100"/>
            </w:tcMar>
          </w:tcPr>
          <w:p>
            <w:pPr>
              <w:spacing w:after="0" w:line="252"/>
            </w:pPr>
            <w:r>
              <w:rPr>
                <w:b w:val="false"/>
                <w:bCs w:val="false"/>
                <w:color w:val="000000"/>
                <w:sz w:val="19"/>
                <w:szCs w:val="19"/>
              </w:rPr>
              <w:t xml:space="preserve">In progress</w:t>
            </w:r>
          </w:p>
        </w:tc>
        <w:tc>
          <w:tcPr>
            <w:tcW w:type="dxa" w:w="3830"/>
            <w:shd w:fill="F2F4F8" w:val="clear"/>
            <w:tcMar>
              <w:top w:type="dxa" w:w="60"/>
              <w:left w:type="dxa" w:w="100"/>
              <w:bottom w:type="dxa" w:w="60"/>
              <w:right w:type="dxa" w:w="100"/>
            </w:tcMar>
          </w:tcPr>
          <w:p>
            <w:pPr>
              <w:spacing w:after="0" w:line="252"/>
            </w:pPr>
            <w:r>
              <w:rPr>
                <w:b w:val="false"/>
                <w:bCs w:val="false"/>
                <w:color w:val="000000"/>
                <w:sz w:val="19"/>
                <w:szCs w:val="19"/>
              </w:rPr>
              <w:t xml:space="preserve">Four-tab Dash app functional (run &amp; diagnostics, variable controls, contributions, batch overview); remaining: per-slice config overrides, usability polish, sponsor feedback round</w:t>
            </w:r>
          </w:p>
        </w:tc>
      </w:tr>
      <w:tr>
        <w:tc>
          <w:tcPr>
            <w:tcW w:type="dxa" w:w="2020"/>
            <w:tcMar>
              <w:top w:type="dxa" w:w="60"/>
              <w:left w:type="dxa" w:w="100"/>
              <w:bottom w:type="dxa" w:w="60"/>
              <w:right w:type="dxa" w:w="100"/>
            </w:tcMar>
          </w:tcPr>
          <w:p>
            <w:pPr>
              <w:spacing w:after="0" w:line="252"/>
            </w:pPr>
            <w:r>
              <w:rPr>
                <w:b w:val="false"/>
                <w:bCs w:val="false"/>
                <w:color w:val="000000"/>
                <w:sz w:val="19"/>
                <w:szCs w:val="19"/>
              </w:rPr>
              <w:t xml:space="preserve">5. Testing &amp; hardening</w:t>
            </w:r>
          </w:p>
        </w:tc>
        <w:tc>
          <w:tcPr>
            <w:tcW w:type="dxa" w:w="2180"/>
            <w:tcMar>
              <w:top w:type="dxa" w:w="60"/>
              <w:left w:type="dxa" w:w="100"/>
              <w:bottom w:type="dxa" w:w="60"/>
              <w:right w:type="dxa" w:w="100"/>
            </w:tcMar>
          </w:tcPr>
          <w:p>
            <w:pPr>
              <w:spacing w:after="0" w:line="252"/>
            </w:pPr>
            <w:r>
              <w:rPr>
                <w:b w:val="false"/>
                <w:bCs w:val="false"/>
                <w:color w:val="000000"/>
                <w:sz w:val="19"/>
                <w:szCs w:val="19"/>
              </w:rPr>
              <w:t xml:space="preserve">Jul 13 – Aug 16</w:t>
            </w:r>
          </w:p>
        </w:tc>
        <w:tc>
          <w:tcPr>
            <w:tcW w:type="dxa" w:w="1330"/>
            <w:tcMar>
              <w:top w:type="dxa" w:w="60"/>
              <w:left w:type="dxa" w:w="100"/>
              <w:bottom w:type="dxa" w:w="60"/>
              <w:right w:type="dxa" w:w="100"/>
            </w:tcMar>
          </w:tcPr>
          <w:p>
            <w:pPr>
              <w:spacing w:after="0" w:line="252"/>
            </w:pPr>
            <w:r>
              <w:rPr>
                <w:b w:val="false"/>
                <w:bCs w:val="false"/>
                <w:color w:val="000000"/>
                <w:sz w:val="19"/>
                <w:szCs w:val="19"/>
              </w:rPr>
              <w:t xml:space="preserve">Starting</w:t>
            </w:r>
          </w:p>
        </w:tc>
        <w:tc>
          <w:tcPr>
            <w:tcW w:type="dxa" w:w="3830"/>
            <w:tcMar>
              <w:top w:type="dxa" w:w="60"/>
              <w:left w:type="dxa" w:w="100"/>
              <w:bottom w:type="dxa" w:w="60"/>
              <w:right w:type="dxa" w:w="100"/>
            </w:tcMar>
          </w:tcPr>
          <w:p>
            <w:pPr>
              <w:spacing w:after="0" w:line="252"/>
            </w:pPr>
            <w:r>
              <w:rPr>
                <w:b w:val="false"/>
                <w:bCs w:val="false"/>
                <w:color w:val="000000"/>
                <w:sz w:val="19"/>
                <w:szCs w:val="19"/>
              </w:rPr>
              <w:t xml:space="preserve">Testing plan executed: unit, integration, system, and UAT (with sponsor/peer team); defects triaged and resolved</w:t>
            </w:r>
          </w:p>
        </w:tc>
      </w:tr>
      <w:tr>
        <w:tc>
          <w:tcPr>
            <w:tcW w:type="dxa" w:w="2020"/>
            <w:shd w:fill="F2F4F8" w:val="clear"/>
            <w:tcMar>
              <w:top w:type="dxa" w:w="60"/>
              <w:left w:type="dxa" w:w="100"/>
              <w:bottom w:type="dxa" w:w="60"/>
              <w:right w:type="dxa" w:w="100"/>
            </w:tcMar>
          </w:tcPr>
          <w:p>
            <w:pPr>
              <w:spacing w:after="0" w:line="252"/>
            </w:pPr>
            <w:r>
              <w:rPr>
                <w:b w:val="false"/>
                <w:bCs w:val="false"/>
                <w:color w:val="000000"/>
                <w:sz w:val="19"/>
                <w:szCs w:val="19"/>
              </w:rPr>
              <w:t xml:space="preserve">6. Final report &amp; presentation</w:t>
            </w:r>
          </w:p>
        </w:tc>
        <w:tc>
          <w:tcPr>
            <w:tcW w:type="dxa" w:w="2180"/>
            <w:shd w:fill="F2F4F8" w:val="clear"/>
            <w:tcMar>
              <w:top w:type="dxa" w:w="60"/>
              <w:left w:type="dxa" w:w="100"/>
              <w:bottom w:type="dxa" w:w="60"/>
              <w:right w:type="dxa" w:w="100"/>
            </w:tcMar>
          </w:tcPr>
          <w:p>
            <w:pPr>
              <w:spacing w:after="0" w:line="252"/>
            </w:pPr>
            <w:r>
              <w:rPr>
                <w:b w:val="false"/>
                <w:bCs w:val="false"/>
                <w:color w:val="000000"/>
                <w:sz w:val="19"/>
                <w:szCs w:val="19"/>
              </w:rPr>
              <w:t xml:space="preserve">Aug 10 – Aug 25</w:t>
            </w:r>
          </w:p>
        </w:tc>
        <w:tc>
          <w:tcPr>
            <w:tcW w:type="dxa" w:w="1330"/>
            <w:shd w:fill="F2F4F8" w:val="clear"/>
            <w:tcMar>
              <w:top w:type="dxa" w:w="60"/>
              <w:left w:type="dxa" w:w="100"/>
              <w:bottom w:type="dxa" w:w="60"/>
              <w:right w:type="dxa" w:w="100"/>
            </w:tcMar>
          </w:tcPr>
          <w:p>
            <w:pPr>
              <w:spacing w:after="0" w:line="252"/>
            </w:pPr>
            <w:r>
              <w:rPr>
                <w:b w:val="false"/>
                <w:bCs w:val="false"/>
                <w:color w:val="000000"/>
                <w:sz w:val="19"/>
                <w:szCs w:val="19"/>
              </w:rPr>
              <w:t xml:space="preserve">Not started</w:t>
            </w:r>
          </w:p>
        </w:tc>
        <w:tc>
          <w:tcPr>
            <w:tcW w:type="dxa" w:w="3830"/>
            <w:shd w:fill="F2F4F8" w:val="clear"/>
            <w:tcMar>
              <w:top w:type="dxa" w:w="60"/>
              <w:left w:type="dxa" w:w="100"/>
              <w:bottom w:type="dxa" w:w="60"/>
              <w:right w:type="dxa" w:w="100"/>
            </w:tcMar>
          </w:tcPr>
          <w:p>
            <w:pPr>
              <w:spacing w:after="0" w:line="252"/>
            </w:pPr>
            <w:r>
              <w:rPr>
                <w:b w:val="false"/>
                <w:bCs w:val="false"/>
                <w:color w:val="000000"/>
                <w:sz w:val="19"/>
                <w:szCs w:val="19"/>
              </w:rPr>
              <w:t xml:space="preserve">Final report drafted, reviewed, and submitted; presentation rehearsed; final presentation Tue Aug 25, 10:00 AM</w:t>
            </w:r>
          </w:p>
        </w:tc>
      </w:tr>
    </w:tbl>
    <w:p>
      <w:pPr>
        <w:pStyle w:val="Heading2"/>
        <w:spacing w:after="100" w:before="200"/>
      </w:pPr>
      <w:r>
        <w:rPr>
          <w:b/>
          <w:bCs/>
          <w:color w:val="1F3864"/>
          <w:sz w:val="22"/>
          <w:szCs w:val="22"/>
        </w:rPr>
        <w:t xml:space="preserve">4.1 Course deliverable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20"/>
        <w:gridCol w:w="1330"/>
        <w:gridCol w:w="2890"/>
      </w:tblGrid>
      <w:tr>
        <w:trPr>
          <w:tblHeader/>
        </w:trPr>
        <w:tc>
          <w:tcPr>
            <w:tcW w:type="dxa" w:w="3120"/>
            <w:shd w:fill="1F3864" w:val="clear"/>
            <w:tcMar>
              <w:top w:type="dxa" w:w="60"/>
              <w:left w:type="dxa" w:w="100"/>
              <w:bottom w:type="dxa" w:w="60"/>
              <w:right w:type="dxa" w:w="100"/>
            </w:tcMar>
          </w:tcPr>
          <w:p>
            <w:pPr>
              <w:spacing w:after="0" w:line="252"/>
            </w:pPr>
            <w:r>
              <w:rPr>
                <w:b/>
                <w:bCs/>
                <w:color w:val="FFFFFF"/>
                <w:sz w:val="19"/>
                <w:szCs w:val="19"/>
              </w:rPr>
              <w:t xml:space="preserve">Deliverable</w:t>
            </w:r>
          </w:p>
        </w:tc>
        <w:tc>
          <w:tcPr>
            <w:tcW w:type="dxa" w:w="2020"/>
            <w:shd w:fill="1F3864" w:val="clear"/>
            <w:tcMar>
              <w:top w:type="dxa" w:w="60"/>
              <w:left w:type="dxa" w:w="100"/>
              <w:bottom w:type="dxa" w:w="60"/>
              <w:right w:type="dxa" w:w="100"/>
            </w:tcMar>
          </w:tcPr>
          <w:p>
            <w:pPr>
              <w:spacing w:after="0" w:line="252"/>
            </w:pPr>
            <w:r>
              <w:rPr>
                <w:b/>
                <w:bCs/>
                <w:color w:val="FFFFFF"/>
                <w:sz w:val="19"/>
                <w:szCs w:val="19"/>
              </w:rPr>
              <w:t xml:space="preserve">Due</w:t>
            </w:r>
          </w:p>
        </w:tc>
        <w:tc>
          <w:tcPr>
            <w:tcW w:type="dxa" w:w="1330"/>
            <w:shd w:fill="1F3864" w:val="clear"/>
            <w:tcMar>
              <w:top w:type="dxa" w:w="60"/>
              <w:left w:type="dxa" w:w="100"/>
              <w:bottom w:type="dxa" w:w="60"/>
              <w:right w:type="dxa" w:w="100"/>
            </w:tcMar>
          </w:tcPr>
          <w:p>
            <w:pPr>
              <w:spacing w:after="0" w:line="252"/>
            </w:pPr>
            <w:r>
              <w:rPr>
                <w:b/>
                <w:bCs/>
                <w:color w:val="FFFFFF"/>
                <w:sz w:val="19"/>
                <w:szCs w:val="19"/>
              </w:rPr>
              <w:t xml:space="preserve">Points</w:t>
            </w:r>
          </w:p>
        </w:tc>
        <w:tc>
          <w:tcPr>
            <w:tcW w:type="dxa" w:w="2890"/>
            <w:shd w:fill="1F3864" w:val="clear"/>
            <w:tcMar>
              <w:top w:type="dxa" w:w="60"/>
              <w:left w:type="dxa" w:w="100"/>
              <w:bottom w:type="dxa" w:w="60"/>
              <w:right w:type="dxa" w:w="100"/>
            </w:tcMar>
          </w:tcPr>
          <w:p>
            <w:pPr>
              <w:spacing w:after="0" w:line="252"/>
            </w:pPr>
            <w:r>
              <w:rPr>
                <w:b/>
                <w:bCs/>
                <w:color w:val="FFFFFF"/>
                <w:sz w:val="19"/>
                <w:szCs w:val="19"/>
              </w:rPr>
              <w:t xml:space="preserve">Owner</w:t>
            </w:r>
          </w:p>
        </w:tc>
      </w:tr>
      <w:tr>
        <w:tc>
          <w:tcPr>
            <w:tcW w:type="dxa" w:w="3120"/>
            <w:tcMar>
              <w:top w:type="dxa" w:w="60"/>
              <w:left w:type="dxa" w:w="100"/>
              <w:bottom w:type="dxa" w:w="60"/>
              <w:right w:type="dxa" w:w="100"/>
            </w:tcMar>
          </w:tcPr>
          <w:p>
            <w:pPr>
              <w:spacing w:after="0" w:line="252"/>
            </w:pPr>
            <w:r>
              <w:rPr>
                <w:b w:val="false"/>
                <w:bCs w:val="false"/>
                <w:color w:val="000000"/>
                <w:sz w:val="19"/>
                <w:szCs w:val="19"/>
              </w:rPr>
              <w:t xml:space="preserve">Module 3: Project Plan (this document)</w:t>
            </w:r>
          </w:p>
        </w:tc>
        <w:tc>
          <w:tcPr>
            <w:tcW w:type="dxa" w:w="2020"/>
            <w:tcMar>
              <w:top w:type="dxa" w:w="60"/>
              <w:left w:type="dxa" w:w="100"/>
              <w:bottom w:type="dxa" w:w="60"/>
              <w:right w:type="dxa" w:w="100"/>
            </w:tcMar>
          </w:tcPr>
          <w:p>
            <w:pPr>
              <w:spacing w:after="0" w:line="252"/>
            </w:pPr>
            <w:r>
              <w:rPr>
                <w:b w:val="false"/>
                <w:bCs w:val="false"/>
                <w:color w:val="000000"/>
                <w:sz w:val="19"/>
                <w:szCs w:val="19"/>
              </w:rPr>
              <w:t xml:space="preserve">Wed Jul 15, 2026</w:t>
            </w:r>
          </w:p>
        </w:tc>
        <w:tc>
          <w:tcPr>
            <w:tcW w:type="dxa" w:w="1330"/>
            <w:tcMar>
              <w:top w:type="dxa" w:w="60"/>
              <w:left w:type="dxa" w:w="100"/>
              <w:bottom w:type="dxa" w:w="60"/>
              <w:right w:type="dxa" w:w="100"/>
            </w:tcMar>
          </w:tcPr>
          <w:p>
            <w:pPr>
              <w:spacing w:after="0" w:line="252"/>
            </w:pPr>
            <w:r>
              <w:rPr>
                <w:b w:val="false"/>
                <w:bCs w:val="false"/>
                <w:color w:val="000000"/>
                <w:sz w:val="19"/>
                <w:szCs w:val="19"/>
              </w:rPr>
              <w:t xml:space="preserve">75</w:t>
            </w:r>
          </w:p>
        </w:tc>
        <w:tc>
          <w:tcPr>
            <w:tcW w:type="dxa" w:w="2890"/>
            <w:tcMar>
              <w:top w:type="dxa" w:w="60"/>
              <w:left w:type="dxa" w:w="100"/>
              <w:bottom w:type="dxa" w:w="60"/>
              <w:right w:type="dxa" w:w="100"/>
            </w:tcMar>
          </w:tcPr>
          <w:p>
            <w:pPr>
              <w:spacing w:after="0" w:line="252"/>
            </w:pPr>
            <w:r>
              <w:rPr>
                <w:b w:val="false"/>
                <w:bCs w:val="false"/>
                <w:color w:val="000000"/>
                <w:sz w:val="19"/>
                <w:szCs w:val="19"/>
              </w:rPr>
              <w:t xml:space="preserve">Team (shared)</w:t>
            </w:r>
          </w:p>
        </w:tc>
      </w:tr>
      <w:tr>
        <w:tc>
          <w:tcPr>
            <w:tcW w:type="dxa" w:w="3120"/>
            <w:shd w:fill="F2F4F8" w:val="clear"/>
            <w:tcMar>
              <w:top w:type="dxa" w:w="60"/>
              <w:left w:type="dxa" w:w="100"/>
              <w:bottom w:type="dxa" w:w="60"/>
              <w:right w:type="dxa" w:w="100"/>
            </w:tcMar>
          </w:tcPr>
          <w:p>
            <w:pPr>
              <w:spacing w:after="0" w:line="252"/>
            </w:pPr>
            <w:r>
              <w:rPr>
                <w:b w:val="false"/>
                <w:bCs w:val="false"/>
                <w:color w:val="000000"/>
                <w:sz w:val="19"/>
                <w:szCs w:val="19"/>
              </w:rPr>
              <w:t xml:space="preserve">Module 3: Testing Plan</w:t>
            </w:r>
          </w:p>
        </w:tc>
        <w:tc>
          <w:tcPr>
            <w:tcW w:type="dxa" w:w="2020"/>
            <w:shd w:fill="F2F4F8" w:val="clear"/>
            <w:tcMar>
              <w:top w:type="dxa" w:w="60"/>
              <w:left w:type="dxa" w:w="100"/>
              <w:bottom w:type="dxa" w:w="60"/>
              <w:right w:type="dxa" w:w="100"/>
            </w:tcMar>
          </w:tcPr>
          <w:p>
            <w:pPr>
              <w:spacing w:after="0" w:line="252"/>
            </w:pPr>
            <w:r>
              <w:rPr>
                <w:b w:val="false"/>
                <w:bCs w:val="false"/>
                <w:color w:val="000000"/>
                <w:sz w:val="19"/>
                <w:szCs w:val="19"/>
              </w:rPr>
              <w:t xml:space="preserve">Sun Jul 19, 2026</w:t>
            </w:r>
          </w:p>
        </w:tc>
        <w:tc>
          <w:tcPr>
            <w:tcW w:type="dxa" w:w="1330"/>
            <w:shd w:fill="F2F4F8" w:val="clear"/>
            <w:tcMar>
              <w:top w:type="dxa" w:w="60"/>
              <w:left w:type="dxa" w:w="100"/>
              <w:bottom w:type="dxa" w:w="60"/>
              <w:right w:type="dxa" w:w="100"/>
            </w:tcMar>
          </w:tcPr>
          <w:p>
            <w:pPr>
              <w:spacing w:after="0" w:line="252"/>
            </w:pPr>
            <w:r>
              <w:rPr>
                <w:b w:val="false"/>
                <w:bCs w:val="false"/>
                <w:color w:val="000000"/>
                <w:sz w:val="19"/>
                <w:szCs w:val="19"/>
              </w:rPr>
              <w:t xml:space="preserve">75</w:t>
            </w:r>
          </w:p>
        </w:tc>
        <w:tc>
          <w:tcPr>
            <w:tcW w:type="dxa" w:w="2890"/>
            <w:shd w:fill="F2F4F8" w:val="clear"/>
            <w:tcMar>
              <w:top w:type="dxa" w:w="60"/>
              <w:left w:type="dxa" w:w="100"/>
              <w:bottom w:type="dxa" w:w="60"/>
              <w:right w:type="dxa" w:w="100"/>
            </w:tcMar>
          </w:tcPr>
          <w:p>
            <w:pPr>
              <w:spacing w:after="0" w:line="252"/>
            </w:pPr>
            <w:r>
              <w:rPr>
                <w:b w:val="false"/>
                <w:bCs w:val="false"/>
                <w:color w:val="000000"/>
                <w:sz w:val="19"/>
                <w:szCs w:val="19"/>
              </w:rPr>
              <w:t xml:space="preserve">Team (shared)</w:t>
            </w:r>
          </w:p>
        </w:tc>
      </w:tr>
      <w:tr>
        <w:tc>
          <w:tcPr>
            <w:tcW w:type="dxa" w:w="3120"/>
            <w:tcMar>
              <w:top w:type="dxa" w:w="60"/>
              <w:left w:type="dxa" w:w="100"/>
              <w:bottom w:type="dxa" w:w="60"/>
              <w:right w:type="dxa" w:w="100"/>
            </w:tcMar>
          </w:tcPr>
          <w:p>
            <w:pPr>
              <w:spacing w:after="0" w:line="252"/>
            </w:pPr>
            <w:r>
              <w:rPr>
                <w:b w:val="false"/>
                <w:bCs w:val="false"/>
                <w:color w:val="000000"/>
                <w:sz w:val="19"/>
                <w:szCs w:val="19"/>
              </w:rPr>
              <w:t xml:space="preserve">Module 4: Data Analysis Report (EDA)</w:t>
            </w:r>
          </w:p>
        </w:tc>
        <w:tc>
          <w:tcPr>
            <w:tcW w:type="dxa" w:w="2020"/>
            <w:tcMar>
              <w:top w:type="dxa" w:w="60"/>
              <w:left w:type="dxa" w:w="100"/>
              <w:bottom w:type="dxa" w:w="60"/>
              <w:right w:type="dxa" w:w="100"/>
            </w:tcMar>
          </w:tcPr>
          <w:p>
            <w:pPr>
              <w:spacing w:after="0" w:line="252"/>
            </w:pPr>
            <w:r>
              <w:rPr>
                <w:b w:val="false"/>
                <w:bCs w:val="false"/>
                <w:color w:val="000000"/>
                <w:sz w:val="19"/>
                <w:szCs w:val="19"/>
              </w:rPr>
              <w:t xml:space="preserve">Sun Jul 19, 2026</w:t>
            </w:r>
          </w:p>
        </w:tc>
        <w:tc>
          <w:tcPr>
            <w:tcW w:type="dxa" w:w="1330"/>
            <w:tcMar>
              <w:top w:type="dxa" w:w="60"/>
              <w:left w:type="dxa" w:w="100"/>
              <w:bottom w:type="dxa" w:w="60"/>
              <w:right w:type="dxa" w:w="100"/>
            </w:tcMar>
          </w:tcPr>
          <w:p>
            <w:pPr>
              <w:spacing w:after="0" w:line="252"/>
            </w:pPr>
            <w:r>
              <w:rPr>
                <w:b w:val="false"/>
                <w:bCs w:val="false"/>
                <w:color w:val="000000"/>
                <w:sz w:val="19"/>
                <w:szCs w:val="19"/>
              </w:rPr>
              <w:t xml:space="preserve">100</w:t>
            </w:r>
          </w:p>
        </w:tc>
        <w:tc>
          <w:tcPr>
            <w:tcW w:type="dxa" w:w="2890"/>
            <w:tcMar>
              <w:top w:type="dxa" w:w="60"/>
              <w:left w:type="dxa" w:w="100"/>
              <w:bottom w:type="dxa" w:w="60"/>
              <w:right w:type="dxa" w:w="100"/>
            </w:tcMar>
          </w:tcPr>
          <w:p>
            <w:pPr>
              <w:spacing w:after="0" w:line="252"/>
            </w:pPr>
            <w:r>
              <w:rPr>
                <w:b w:val="false"/>
                <w:bCs w:val="false"/>
                <w:color w:val="000000"/>
                <w:sz w:val="19"/>
                <w:szCs w:val="19"/>
              </w:rPr>
              <w:t xml:space="preserve">Team (shared)</w:t>
            </w:r>
          </w:p>
        </w:tc>
      </w:tr>
      <w:tr>
        <w:tc>
          <w:tcPr>
            <w:tcW w:type="dxa" w:w="3120"/>
            <w:shd w:fill="F2F4F8" w:val="clear"/>
            <w:tcMar>
              <w:top w:type="dxa" w:w="60"/>
              <w:left w:type="dxa" w:w="100"/>
              <w:bottom w:type="dxa" w:w="60"/>
              <w:right w:type="dxa" w:w="100"/>
            </w:tcMar>
          </w:tcPr>
          <w:p>
            <w:pPr>
              <w:spacing w:after="0" w:line="252"/>
            </w:pPr>
            <w:r>
              <w:rPr>
                <w:b w:val="false"/>
                <w:bCs w:val="false"/>
                <w:color w:val="000000"/>
                <w:sz w:val="19"/>
                <w:szCs w:val="19"/>
              </w:rPr>
              <w:t xml:space="preserve">Module 4: Design Document</w:t>
            </w:r>
          </w:p>
        </w:tc>
        <w:tc>
          <w:tcPr>
            <w:tcW w:type="dxa" w:w="2020"/>
            <w:shd w:fill="F2F4F8" w:val="clear"/>
            <w:tcMar>
              <w:top w:type="dxa" w:w="60"/>
              <w:left w:type="dxa" w:w="100"/>
              <w:bottom w:type="dxa" w:w="60"/>
              <w:right w:type="dxa" w:w="100"/>
            </w:tcMar>
          </w:tcPr>
          <w:p>
            <w:pPr>
              <w:spacing w:after="0" w:line="252"/>
            </w:pPr>
            <w:r>
              <w:rPr>
                <w:b w:val="false"/>
                <w:bCs w:val="false"/>
                <w:color w:val="000000"/>
                <w:sz w:val="19"/>
                <w:szCs w:val="19"/>
              </w:rPr>
              <w:t xml:space="preserve">Sun Jul 19, 2026</w:t>
            </w:r>
          </w:p>
        </w:tc>
        <w:tc>
          <w:tcPr>
            <w:tcW w:type="dxa" w:w="1330"/>
            <w:shd w:fill="F2F4F8" w:val="clear"/>
            <w:tcMar>
              <w:top w:type="dxa" w:w="60"/>
              <w:left w:type="dxa" w:w="100"/>
              <w:bottom w:type="dxa" w:w="60"/>
              <w:right w:type="dxa" w:w="100"/>
            </w:tcMar>
          </w:tcPr>
          <w:p>
            <w:pPr>
              <w:spacing w:after="0" w:line="252"/>
            </w:pPr>
            <w:r>
              <w:rPr>
                <w:b w:val="false"/>
                <w:bCs w:val="false"/>
                <w:color w:val="000000"/>
                <w:sz w:val="19"/>
                <w:szCs w:val="19"/>
              </w:rPr>
              <w:t xml:space="preserve">150</w:t>
            </w:r>
          </w:p>
        </w:tc>
        <w:tc>
          <w:tcPr>
            <w:tcW w:type="dxa" w:w="2890"/>
            <w:shd w:fill="F2F4F8" w:val="clear"/>
            <w:tcMar>
              <w:top w:type="dxa" w:w="60"/>
              <w:left w:type="dxa" w:w="100"/>
              <w:bottom w:type="dxa" w:w="60"/>
              <w:right w:type="dxa" w:w="100"/>
            </w:tcMar>
          </w:tcPr>
          <w:p>
            <w:pPr>
              <w:spacing w:after="0" w:line="252"/>
            </w:pPr>
            <w:r>
              <w:rPr>
                <w:b w:val="false"/>
                <w:bCs w:val="false"/>
                <w:color w:val="000000"/>
                <w:sz w:val="19"/>
                <w:szCs w:val="19"/>
              </w:rPr>
              <w:t xml:space="preserve">Team (shared)</w:t>
            </w:r>
          </w:p>
        </w:tc>
      </w:tr>
      <w:tr>
        <w:tc>
          <w:tcPr>
            <w:tcW w:type="dxa" w:w="3120"/>
            <w:tcMar>
              <w:top w:type="dxa" w:w="60"/>
              <w:left w:type="dxa" w:w="100"/>
              <w:bottom w:type="dxa" w:w="60"/>
              <w:right w:type="dxa" w:w="100"/>
            </w:tcMar>
          </w:tcPr>
          <w:p>
            <w:pPr>
              <w:spacing w:after="0" w:line="252"/>
            </w:pPr>
            <w:r>
              <w:rPr>
                <w:b w:val="false"/>
                <w:bCs w:val="false"/>
                <w:color w:val="000000"/>
                <w:sz w:val="19"/>
                <w:szCs w:val="19"/>
              </w:rPr>
              <w:t xml:space="preserve">Status reports / test reports</w:t>
            </w:r>
          </w:p>
        </w:tc>
        <w:tc>
          <w:tcPr>
            <w:tcW w:type="dxa" w:w="2020"/>
            <w:tcMar>
              <w:top w:type="dxa" w:w="60"/>
              <w:left w:type="dxa" w:w="100"/>
              <w:bottom w:type="dxa" w:w="60"/>
              <w:right w:type="dxa" w:w="100"/>
            </w:tcMar>
          </w:tcPr>
          <w:p>
            <w:pPr>
              <w:spacing w:after="0" w:line="252"/>
            </w:pPr>
            <w:r>
              <w:rPr>
                <w:b w:val="false"/>
                <w:bCs w:val="false"/>
                <w:color w:val="000000"/>
                <w:sz w:val="19"/>
                <w:szCs w:val="19"/>
              </w:rPr>
              <w:t xml:space="preserve">Per module schedule</w:t>
            </w:r>
          </w:p>
        </w:tc>
        <w:tc>
          <w:tcPr>
            <w:tcW w:type="dxa" w:w="1330"/>
            <w:tcMar>
              <w:top w:type="dxa" w:w="60"/>
              <w:left w:type="dxa" w:w="100"/>
              <w:bottom w:type="dxa" w:w="60"/>
              <w:right w:type="dxa" w:w="100"/>
            </w:tcMar>
          </w:tcPr>
          <w:p>
            <w:pPr>
              <w:spacing w:after="0" w:line="252"/>
            </w:pPr>
            <w:r>
              <w:rPr>
                <w:b w:val="false"/>
                <w:bCs w:val="false"/>
                <w:color w:val="000000"/>
                <w:sz w:val="19"/>
                <w:szCs w:val="19"/>
              </w:rPr>
              <w:t xml:space="preserve">—</w:t>
            </w:r>
          </w:p>
        </w:tc>
        <w:tc>
          <w:tcPr>
            <w:tcW w:type="dxa" w:w="2890"/>
            <w:tcMar>
              <w:top w:type="dxa" w:w="60"/>
              <w:left w:type="dxa" w:w="100"/>
              <w:bottom w:type="dxa" w:w="60"/>
              <w:right w:type="dxa" w:w="100"/>
            </w:tcMar>
          </w:tcPr>
          <w:p>
            <w:pPr>
              <w:spacing w:after="0" w:line="252"/>
            </w:pPr>
            <w:r>
              <w:rPr>
                <w:b w:val="false"/>
                <w:bCs w:val="false"/>
                <w:color w:val="000000"/>
                <w:sz w:val="19"/>
                <w:szCs w:val="19"/>
              </w:rPr>
              <w:t xml:space="preserve">Phase lead</w:t>
            </w:r>
          </w:p>
        </w:tc>
      </w:tr>
      <w:tr>
        <w:tc>
          <w:tcPr>
            <w:tcW w:type="dxa" w:w="3120"/>
            <w:shd w:fill="F2F4F8" w:val="clear"/>
            <w:tcMar>
              <w:top w:type="dxa" w:w="60"/>
              <w:left w:type="dxa" w:w="100"/>
              <w:bottom w:type="dxa" w:w="60"/>
              <w:right w:type="dxa" w:w="100"/>
            </w:tcMar>
          </w:tcPr>
          <w:p>
            <w:pPr>
              <w:spacing w:after="0" w:line="252"/>
            </w:pPr>
            <w:r>
              <w:rPr>
                <w:b w:val="false"/>
                <w:bCs w:val="false"/>
                <w:color w:val="000000"/>
                <w:sz w:val="19"/>
                <w:szCs w:val="19"/>
              </w:rPr>
              <w:t xml:space="preserve">Final presentation</w:t>
            </w:r>
          </w:p>
        </w:tc>
        <w:tc>
          <w:tcPr>
            <w:tcW w:type="dxa" w:w="2020"/>
            <w:shd w:fill="F2F4F8" w:val="clear"/>
            <w:tcMar>
              <w:top w:type="dxa" w:w="60"/>
              <w:left w:type="dxa" w:w="100"/>
              <w:bottom w:type="dxa" w:w="60"/>
              <w:right w:type="dxa" w:w="100"/>
            </w:tcMar>
          </w:tcPr>
          <w:p>
            <w:pPr>
              <w:spacing w:after="0" w:line="252"/>
            </w:pPr>
            <w:r>
              <w:rPr>
                <w:b w:val="false"/>
                <w:bCs w:val="false"/>
                <w:color w:val="000000"/>
                <w:sz w:val="19"/>
                <w:szCs w:val="19"/>
              </w:rPr>
              <w:t xml:space="preserve">Tue Aug 25, 2026, 10 AM</w:t>
            </w:r>
          </w:p>
        </w:tc>
        <w:tc>
          <w:tcPr>
            <w:tcW w:type="dxa" w:w="1330"/>
            <w:shd w:fill="F2F4F8" w:val="clear"/>
            <w:tcMar>
              <w:top w:type="dxa" w:w="60"/>
              <w:left w:type="dxa" w:w="100"/>
              <w:bottom w:type="dxa" w:w="60"/>
              <w:right w:type="dxa" w:w="100"/>
            </w:tcMar>
          </w:tcPr>
          <w:p>
            <w:pPr>
              <w:spacing w:after="0" w:line="252"/>
            </w:pPr>
            <w:r>
              <w:rPr>
                <w:b w:val="false"/>
                <w:bCs w:val="false"/>
                <w:color w:val="000000"/>
                <w:sz w:val="19"/>
                <w:szCs w:val="19"/>
              </w:rPr>
              <w:t xml:space="preserve">—</w:t>
            </w:r>
          </w:p>
        </w:tc>
        <w:tc>
          <w:tcPr>
            <w:tcW w:type="dxa" w:w="2890"/>
            <w:shd w:fill="F2F4F8" w:val="clear"/>
            <w:tcMar>
              <w:top w:type="dxa" w:w="60"/>
              <w:left w:type="dxa" w:w="100"/>
              <w:bottom w:type="dxa" w:w="60"/>
              <w:right w:type="dxa" w:w="100"/>
            </w:tcMar>
          </w:tcPr>
          <w:p>
            <w:pPr>
              <w:spacing w:after="0" w:line="252"/>
            </w:pPr>
            <w:r>
              <w:rPr>
                <w:b w:val="false"/>
                <w:bCs w:val="false"/>
                <w:color w:val="000000"/>
                <w:sz w:val="19"/>
                <w:szCs w:val="19"/>
              </w:rPr>
              <w:t xml:space="preserve">Team (shared)</w:t>
            </w:r>
          </w:p>
        </w:tc>
      </w:tr>
    </w:tbl>
    <w:p>
      <w:pPr>
        <w:pStyle w:val="Heading1"/>
        <w:spacing w:after="120" w:before="280"/>
      </w:pPr>
      <w:r>
        <w:rPr>
          <w:b/>
          <w:bCs/>
          <w:color w:val="1F3864"/>
          <w:sz w:val="26"/>
          <w:szCs w:val="26"/>
        </w:rPr>
        <w:t xml:space="preserve">5. Current Status</w:t>
      </w:r>
    </w:p>
    <w:p>
      <w:pPr>
        <w:spacing w:after="120" w:line="276"/>
      </w:pPr>
      <w:r>
        <w:rPr>
          <w:sz w:val="21"/>
          <w:szCs w:val="21"/>
        </w:rPr>
        <w:t xml:space="preserve">The project is ahead of the suggested phasing. The engine and batch layer are complete and sponsor-validated: 80 Brand × Channel models build in about nine seconds with median R² of 0.89 and median holdout MAPE near 10%. The July 6 sponsor review reshaped five areas — adstock normalization, config-driven variable mapping, configurable targets, the set-year modeling window, and contribution reporting — all implemented and re-validated. The dashboard already loads arbitrary client datafiles and batch-runs every combination from the browser. A case study (Brand 1 × Channel 1, where forcing a distribution variable cut holdout error from 73% to 32%) demonstrated the analyst-override workflow end to end.</w:t>
      </w:r>
    </w:p>
    <w:p>
      <w:pPr>
        <w:pStyle w:val="Heading1"/>
        <w:spacing w:after="120" w:before="280"/>
      </w:pPr>
      <w:r>
        <w:rPr>
          <w:b/>
          <w:bCs/>
          <w:color w:val="1F3864"/>
          <w:sz w:val="26"/>
          <w:szCs w:val="26"/>
        </w:rPr>
        <w:t xml:space="preserve">6. Risks and Issues</w:t>
      </w:r>
    </w:p>
    <w:p>
      <w:pPr>
        <w:spacing w:after="120" w:line="276"/>
      </w:pPr>
      <w:r>
        <w:rPr>
          <w:sz w:val="21"/>
          <w:szCs w:val="21"/>
        </w:rPr>
        <w:t xml:space="preserve">Risks are reviewed at each Monday sponsor sync; issues are tracked in the repository and in the findings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10"/>
        <w:gridCol w:w="1140"/>
        <w:gridCol w:w="940"/>
        <w:gridCol w:w="4670"/>
      </w:tblGrid>
      <w:tr>
        <w:trPr>
          <w:tblHeader/>
        </w:trPr>
        <w:tc>
          <w:tcPr>
            <w:tcW w:type="dxa" w:w="2610"/>
            <w:shd w:fill="1F3864" w:val="clear"/>
            <w:tcMar>
              <w:top w:type="dxa" w:w="60"/>
              <w:left w:type="dxa" w:w="100"/>
              <w:bottom w:type="dxa" w:w="60"/>
              <w:right w:type="dxa" w:w="100"/>
            </w:tcMar>
          </w:tcPr>
          <w:p>
            <w:pPr>
              <w:spacing w:after="0" w:line="252"/>
            </w:pPr>
            <w:r>
              <w:rPr>
                <w:b/>
                <w:bCs/>
                <w:color w:val="FFFFFF"/>
                <w:sz w:val="19"/>
                <w:szCs w:val="19"/>
              </w:rPr>
              <w:t xml:space="preserve">Risk / issue</w:t>
            </w:r>
          </w:p>
        </w:tc>
        <w:tc>
          <w:tcPr>
            <w:tcW w:type="dxa" w:w="1140"/>
            <w:shd w:fill="1F3864" w:val="clear"/>
            <w:tcMar>
              <w:top w:type="dxa" w:w="60"/>
              <w:left w:type="dxa" w:w="100"/>
              <w:bottom w:type="dxa" w:w="60"/>
              <w:right w:type="dxa" w:w="100"/>
            </w:tcMar>
          </w:tcPr>
          <w:p>
            <w:pPr>
              <w:spacing w:after="0" w:line="252"/>
            </w:pPr>
            <w:r>
              <w:rPr>
                <w:b/>
                <w:bCs/>
                <w:color w:val="FFFFFF"/>
                <w:sz w:val="19"/>
                <w:szCs w:val="19"/>
              </w:rPr>
              <w:t xml:space="preserve">Likelihood</w:t>
            </w:r>
          </w:p>
        </w:tc>
        <w:tc>
          <w:tcPr>
            <w:tcW w:type="dxa" w:w="940"/>
            <w:shd w:fill="1F3864" w:val="clear"/>
            <w:tcMar>
              <w:top w:type="dxa" w:w="60"/>
              <w:left w:type="dxa" w:w="100"/>
              <w:bottom w:type="dxa" w:w="60"/>
              <w:right w:type="dxa" w:w="100"/>
            </w:tcMar>
          </w:tcPr>
          <w:p>
            <w:pPr>
              <w:spacing w:after="0" w:line="252"/>
            </w:pPr>
            <w:r>
              <w:rPr>
                <w:b/>
                <w:bCs/>
                <w:color w:val="FFFFFF"/>
                <w:sz w:val="19"/>
                <w:szCs w:val="19"/>
              </w:rPr>
              <w:t xml:space="preserve">Impact</w:t>
            </w:r>
          </w:p>
        </w:tc>
        <w:tc>
          <w:tcPr>
            <w:tcW w:type="dxa" w:w="4670"/>
            <w:shd w:fill="1F3864" w:val="clear"/>
            <w:tcMar>
              <w:top w:type="dxa" w:w="60"/>
              <w:left w:type="dxa" w:w="100"/>
              <w:bottom w:type="dxa" w:w="60"/>
              <w:right w:type="dxa" w:w="100"/>
            </w:tcMar>
          </w:tcPr>
          <w:p>
            <w:pPr>
              <w:spacing w:after="0" w:line="252"/>
            </w:pPr>
            <w:r>
              <w:rPr>
                <w:b/>
                <w:bCs/>
                <w:color w:val="FFFFFF"/>
                <w:sz w:val="19"/>
                <w:szCs w:val="19"/>
              </w:rPr>
              <w:t xml:space="preserve">Mitigation</w:t>
            </w:r>
          </w:p>
        </w:tc>
      </w:tr>
      <w:tr>
        <w:tc>
          <w:tcPr>
            <w:tcW w:type="dxa" w:w="2610"/>
            <w:tcMar>
              <w:top w:type="dxa" w:w="60"/>
              <w:left w:type="dxa" w:w="100"/>
              <w:bottom w:type="dxa" w:w="60"/>
              <w:right w:type="dxa" w:w="100"/>
            </w:tcMar>
          </w:tcPr>
          <w:p>
            <w:pPr>
              <w:spacing w:after="0" w:line="252"/>
            </w:pPr>
            <w:r>
              <w:rPr>
                <w:b w:val="false"/>
                <w:bCs w:val="false"/>
                <w:color w:val="000000"/>
                <w:sz w:val="19"/>
                <w:szCs w:val="19"/>
              </w:rPr>
              <w:t xml:space="preserve">Structural changes not present in the data (e.g., suspected Brand 1 late-2025 delisting) cap achievable accuracy on some slices</w:t>
            </w:r>
          </w:p>
        </w:tc>
        <w:tc>
          <w:tcPr>
            <w:tcW w:type="dxa" w:w="1140"/>
            <w:tcMar>
              <w:top w:type="dxa" w:w="60"/>
              <w:left w:type="dxa" w:w="100"/>
              <w:bottom w:type="dxa" w:w="60"/>
              <w:right w:type="dxa" w:w="100"/>
            </w:tcMar>
          </w:tcPr>
          <w:p>
            <w:pPr>
              <w:spacing w:after="0" w:line="252"/>
            </w:pPr>
            <w:r>
              <w:rPr>
                <w:b w:val="false"/>
                <w:bCs w:val="false"/>
                <w:color w:val="000000"/>
                <w:sz w:val="19"/>
                <w:szCs w:val="19"/>
              </w:rPr>
              <w:t xml:space="preserve">High</w:t>
            </w:r>
          </w:p>
        </w:tc>
        <w:tc>
          <w:tcPr>
            <w:tcW w:type="dxa" w:w="940"/>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4670"/>
            <w:tcMar>
              <w:top w:type="dxa" w:w="60"/>
              <w:left w:type="dxa" w:w="100"/>
              <w:bottom w:type="dxa" w:w="60"/>
              <w:right w:type="dxa" w:w="100"/>
            </w:tcMar>
          </w:tcPr>
          <w:p>
            <w:pPr>
              <w:spacing w:after="0" w:line="252"/>
            </w:pPr>
            <w:r>
              <w:rPr>
                <w:b w:val="false"/>
                <w:bCs w:val="false"/>
                <w:color w:val="000000"/>
                <w:sz w:val="19"/>
                <w:szCs w:val="19"/>
              </w:rPr>
              <w:t xml:space="preserve">8 high-MAPE slices flagged to sponsor; force-variable workflow mitigates; event-dummy mechanism scoped as extension if sponsor confirms events</w:t>
            </w:r>
          </w:p>
        </w:tc>
      </w:tr>
      <w:tr>
        <w:tc>
          <w:tcPr>
            <w:tcW w:type="dxa" w:w="2610"/>
            <w:shd w:fill="F2F4F8" w:val="clear"/>
            <w:tcMar>
              <w:top w:type="dxa" w:w="60"/>
              <w:left w:type="dxa" w:w="100"/>
              <w:bottom w:type="dxa" w:w="60"/>
              <w:right w:type="dxa" w:w="100"/>
            </w:tcMar>
          </w:tcPr>
          <w:p>
            <w:pPr>
              <w:spacing w:after="0" w:line="252"/>
            </w:pPr>
            <w:r>
              <w:rPr>
                <w:b w:val="false"/>
                <w:bCs w:val="false"/>
                <w:color w:val="000000"/>
                <w:sz w:val="19"/>
                <w:szCs w:val="19"/>
              </w:rPr>
              <w:t xml:space="preserve">Sponsor availability limited to weekly syncs; open policy questions (trade coefficient bounds, adstock decay priors) could stall decisions</w:t>
            </w:r>
          </w:p>
        </w:tc>
        <w:tc>
          <w:tcPr>
            <w:tcW w:type="dxa" w:w="1140"/>
            <w:shd w:fill="F2F4F8" w:val="clear"/>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940"/>
            <w:shd w:fill="F2F4F8" w:val="clear"/>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4670"/>
            <w:shd w:fill="F2F4F8" w:val="clear"/>
            <w:tcMar>
              <w:top w:type="dxa" w:w="60"/>
              <w:left w:type="dxa" w:w="100"/>
              <w:bottom w:type="dxa" w:w="60"/>
              <w:right w:type="dxa" w:w="100"/>
            </w:tcMar>
          </w:tcPr>
          <w:p>
            <w:pPr>
              <w:spacing w:after="0" w:line="252"/>
            </w:pPr>
            <w:r>
              <w:rPr>
                <w:b w:val="false"/>
                <w:bCs w:val="false"/>
                <w:color w:val="000000"/>
                <w:sz w:val="19"/>
                <w:szCs w:val="19"/>
              </w:rPr>
              <w:t xml:space="preserve">Batch open questions for Monday syncs; proceed with documented industry-standard defaults that are config-swappable</w:t>
            </w:r>
          </w:p>
        </w:tc>
      </w:tr>
      <w:tr>
        <w:tc>
          <w:tcPr>
            <w:tcW w:type="dxa" w:w="2610"/>
            <w:tcMar>
              <w:top w:type="dxa" w:w="60"/>
              <w:left w:type="dxa" w:w="100"/>
              <w:bottom w:type="dxa" w:w="60"/>
              <w:right w:type="dxa" w:w="100"/>
            </w:tcMar>
          </w:tcPr>
          <w:p>
            <w:pPr>
              <w:spacing w:after="0" w:line="252"/>
            </w:pPr>
            <w:r>
              <w:rPr>
                <w:b w:val="false"/>
                <w:bCs w:val="false"/>
                <w:color w:val="000000"/>
                <w:sz w:val="19"/>
                <w:szCs w:val="19"/>
              </w:rPr>
              <w:t xml:space="preserve">New client datafiles deviate from expected layout (naming quirks already observed, e.g., Brand 2's renamed media columns)</w:t>
            </w:r>
          </w:p>
        </w:tc>
        <w:tc>
          <w:tcPr>
            <w:tcW w:type="dxa" w:w="1140"/>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940"/>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4670"/>
            <w:tcMar>
              <w:top w:type="dxa" w:w="60"/>
              <w:left w:type="dxa" w:w="100"/>
              <w:bottom w:type="dxa" w:w="60"/>
              <w:right w:type="dxa" w:w="100"/>
            </w:tcMar>
          </w:tcPr>
          <w:p>
            <w:pPr>
              <w:spacing w:after="0" w:line="252"/>
            </w:pPr>
            <w:r>
              <w:rPr>
                <w:b w:val="false"/>
                <w:bCs w:val="false"/>
                <w:color w:val="000000"/>
                <w:sz w:val="19"/>
                <w:szCs w:val="19"/>
              </w:rPr>
              <w:t xml:space="preserve">Config-table design absorbs naming changes without code edits; validated against a synthetic alien-format workbook; ingestion tests in the testing plan</w:t>
            </w:r>
          </w:p>
        </w:tc>
      </w:tr>
      <w:tr>
        <w:tc>
          <w:tcPr>
            <w:tcW w:type="dxa" w:w="2610"/>
            <w:shd w:fill="F2F4F8" w:val="clear"/>
            <w:tcMar>
              <w:top w:type="dxa" w:w="60"/>
              <w:left w:type="dxa" w:w="100"/>
              <w:bottom w:type="dxa" w:w="60"/>
              <w:right w:type="dxa" w:w="100"/>
            </w:tcMar>
          </w:tcPr>
          <w:p>
            <w:pPr>
              <w:spacing w:after="0" w:line="252"/>
            </w:pPr>
            <w:r>
              <w:rPr>
                <w:b w:val="false"/>
                <w:bCs w:val="false"/>
                <w:color w:val="000000"/>
                <w:sz w:val="19"/>
                <w:szCs w:val="19"/>
              </w:rPr>
              <w:t xml:space="preserve">Residual autocorrelation (low Durbin–Watson) on several slices may understate coefficient uncertainty</w:t>
            </w:r>
          </w:p>
        </w:tc>
        <w:tc>
          <w:tcPr>
            <w:tcW w:type="dxa" w:w="1140"/>
            <w:shd w:fill="F2F4F8" w:val="clear"/>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940"/>
            <w:shd w:fill="F2F4F8" w:val="clear"/>
            <w:tcMar>
              <w:top w:type="dxa" w:w="60"/>
              <w:left w:type="dxa" w:w="100"/>
              <w:bottom w:type="dxa" w:w="60"/>
              <w:right w:type="dxa" w:w="100"/>
            </w:tcMar>
          </w:tcPr>
          <w:p>
            <w:pPr>
              <w:spacing w:after="0" w:line="252"/>
            </w:pPr>
            <w:r>
              <w:rPr>
                <w:b w:val="false"/>
                <w:bCs w:val="false"/>
                <w:color w:val="000000"/>
                <w:sz w:val="19"/>
                <w:szCs w:val="19"/>
              </w:rPr>
              <w:t xml:space="preserve">Low</w:t>
            </w:r>
          </w:p>
        </w:tc>
        <w:tc>
          <w:tcPr>
            <w:tcW w:type="dxa" w:w="4670"/>
            <w:shd w:fill="F2F4F8" w:val="clear"/>
            <w:tcMar>
              <w:top w:type="dxa" w:w="60"/>
              <w:left w:type="dxa" w:w="100"/>
              <w:bottom w:type="dxa" w:w="60"/>
              <w:right w:type="dxa" w:w="100"/>
            </w:tcMar>
          </w:tcPr>
          <w:p>
            <w:pPr>
              <w:spacing w:after="0" w:line="252"/>
            </w:pPr>
            <w:r>
              <w:rPr>
                <w:b w:val="false"/>
                <w:bCs w:val="false"/>
                <w:color w:val="000000"/>
                <w:sz w:val="19"/>
                <w:szCs w:val="19"/>
              </w:rPr>
              <w:t xml:space="preserve">Raised with sponsor; HAC standard errors or lagged terms scoped as Phase 4+ enhancement if required for due-to work</w:t>
            </w:r>
          </w:p>
        </w:tc>
      </w:tr>
      <w:tr>
        <w:tc>
          <w:tcPr>
            <w:tcW w:type="dxa" w:w="2610"/>
            <w:tcMar>
              <w:top w:type="dxa" w:w="60"/>
              <w:left w:type="dxa" w:w="100"/>
              <w:bottom w:type="dxa" w:w="60"/>
              <w:right w:type="dxa" w:w="100"/>
            </w:tcMar>
          </w:tcPr>
          <w:p>
            <w:pPr>
              <w:spacing w:after="0" w:line="252"/>
            </w:pPr>
            <w:r>
              <w:rPr>
                <w:b w:val="false"/>
                <w:bCs w:val="false"/>
                <w:color w:val="000000"/>
                <w:sz w:val="19"/>
                <w:szCs w:val="19"/>
              </w:rPr>
              <w:t xml:space="preserve">Deployment environment at Big Chalk undecided, affecting packaging</w:t>
            </w:r>
          </w:p>
        </w:tc>
        <w:tc>
          <w:tcPr>
            <w:tcW w:type="dxa" w:w="1140"/>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940"/>
            <w:tcMar>
              <w:top w:type="dxa" w:w="60"/>
              <w:left w:type="dxa" w:w="100"/>
              <w:bottom w:type="dxa" w:w="60"/>
              <w:right w:type="dxa" w:w="100"/>
            </w:tcMar>
          </w:tcPr>
          <w:p>
            <w:pPr>
              <w:spacing w:after="0" w:line="252"/>
            </w:pPr>
            <w:r>
              <w:rPr>
                <w:b w:val="false"/>
                <w:bCs w:val="false"/>
                <w:color w:val="000000"/>
                <w:sz w:val="19"/>
                <w:szCs w:val="19"/>
              </w:rPr>
              <w:t xml:space="preserve">Low</w:t>
            </w:r>
          </w:p>
        </w:tc>
        <w:tc>
          <w:tcPr>
            <w:tcW w:type="dxa" w:w="4670"/>
            <w:tcMar>
              <w:top w:type="dxa" w:w="60"/>
              <w:left w:type="dxa" w:w="100"/>
              <w:bottom w:type="dxa" w:w="60"/>
              <w:right w:type="dxa" w:w="100"/>
            </w:tcMar>
          </w:tcPr>
          <w:p>
            <w:pPr>
              <w:spacing w:after="0" w:line="252"/>
            </w:pPr>
            <w:r>
              <w:rPr>
                <w:b w:val="false"/>
                <w:bCs w:val="false"/>
                <w:color w:val="000000"/>
                <w:sz w:val="19"/>
                <w:szCs w:val="19"/>
              </w:rPr>
              <w:t xml:space="preserve">Keep the app dependency-light and environment-agnostic; document setup; decision requested from sponsor</w:t>
            </w:r>
          </w:p>
        </w:tc>
      </w:tr>
      <w:tr>
        <w:tc>
          <w:tcPr>
            <w:tcW w:type="dxa" w:w="2610"/>
            <w:shd w:fill="F2F4F8" w:val="clear"/>
            <w:tcMar>
              <w:top w:type="dxa" w:w="60"/>
              <w:left w:type="dxa" w:w="100"/>
              <w:bottom w:type="dxa" w:w="60"/>
              <w:right w:type="dxa" w:w="100"/>
            </w:tcMar>
          </w:tcPr>
          <w:p>
            <w:pPr>
              <w:spacing w:after="0" w:line="252"/>
            </w:pPr>
            <w:r>
              <w:rPr>
                <w:b w:val="false"/>
                <w:bCs w:val="false"/>
                <w:color w:val="000000"/>
                <w:sz w:val="19"/>
                <w:szCs w:val="19"/>
              </w:rPr>
              <w:t xml:space="preserve">Team schedule compression in August (testing overlaps final reporting)</w:t>
            </w:r>
          </w:p>
        </w:tc>
        <w:tc>
          <w:tcPr>
            <w:tcW w:type="dxa" w:w="1140"/>
            <w:shd w:fill="F2F4F8" w:val="clear"/>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940"/>
            <w:shd w:fill="F2F4F8" w:val="clear"/>
            <w:tcMar>
              <w:top w:type="dxa" w:w="60"/>
              <w:left w:type="dxa" w:w="100"/>
              <w:bottom w:type="dxa" w:w="60"/>
              <w:right w:type="dxa" w:w="100"/>
            </w:tcMar>
          </w:tcPr>
          <w:p>
            <w:pPr>
              <w:spacing w:after="0" w:line="252"/>
            </w:pPr>
            <w:r>
              <w:rPr>
                <w:b w:val="false"/>
                <w:bCs w:val="false"/>
                <w:color w:val="000000"/>
                <w:sz w:val="19"/>
                <w:szCs w:val="19"/>
              </w:rPr>
              <w:t xml:space="preserve">Medium</w:t>
            </w:r>
          </w:p>
        </w:tc>
        <w:tc>
          <w:tcPr>
            <w:tcW w:type="dxa" w:w="4670"/>
            <w:shd w:fill="F2F4F8" w:val="clear"/>
            <w:tcMar>
              <w:top w:type="dxa" w:w="60"/>
              <w:left w:type="dxa" w:w="100"/>
              <w:bottom w:type="dxa" w:w="60"/>
              <w:right w:type="dxa" w:w="100"/>
            </w:tcMar>
          </w:tcPr>
          <w:p>
            <w:pPr>
              <w:spacing w:after="0" w:line="252"/>
            </w:pPr>
            <w:r>
              <w:rPr>
                <w:b w:val="false"/>
                <w:bCs w:val="false"/>
                <w:color w:val="000000"/>
                <w:sz w:val="19"/>
                <w:szCs w:val="19"/>
              </w:rPr>
              <w:t xml:space="preserve">Testing begins mid-July, well before the final-report window; shared ownership lets any member absorb slack</w:t>
            </w:r>
          </w:p>
        </w:tc>
      </w:tr>
    </w:tbl>
    <w:p>
      <w:pPr>
        <w:pStyle w:val="Heading1"/>
        <w:spacing w:after="120" w:before="280"/>
      </w:pPr>
      <w:r>
        <w:rPr>
          <w:b/>
          <w:bCs/>
          <w:color w:val="1F3864"/>
          <w:sz w:val="26"/>
          <w:szCs w:val="26"/>
        </w:rPr>
        <w:t xml:space="preserve">7. Assumptions and Dependencies</w:t>
      </w:r>
    </w:p>
    <w:p>
      <w:pPr>
        <w:pStyle w:val="ListParagraph"/>
        <w:numPr>
          <w:ilvl w:val="0"/>
          <w:numId w:val="2"/>
        </w:numPr>
        <w:spacing w:after="60" w:line="276"/>
      </w:pPr>
      <w:r>
        <w:rPr>
          <w:sz w:val="21"/>
          <w:szCs w:val="21"/>
        </w:rPr>
        <w:t xml:space="preserve">The anonymized dataset provided by Big Chalk is representative of the client data the tool will ultimately serve.</w:t>
      </w:r>
    </w:p>
    <w:p>
      <w:pPr>
        <w:pStyle w:val="ListParagraph"/>
        <w:numPr>
          <w:ilvl w:val="0"/>
          <w:numId w:val="2"/>
        </w:numPr>
        <w:spacing w:after="60" w:line="276"/>
      </w:pPr>
      <w:r>
        <w:rPr>
          <w:sz w:val="21"/>
          <w:szCs w:val="21"/>
        </w:rPr>
        <w:t xml:space="preserve">Volume Sales remains the primary modeling target (per sponsor preference); the pipeline nonetheless supports configurable targets.</w:t>
      </w:r>
    </w:p>
    <w:p>
      <w:pPr>
        <w:pStyle w:val="ListParagraph"/>
        <w:numPr>
          <w:ilvl w:val="0"/>
          <w:numId w:val="2"/>
        </w:numPr>
        <w:spacing w:after="60" w:line="276"/>
      </w:pPr>
      <w:r>
        <w:rPr>
          <w:sz w:val="21"/>
          <w:szCs w:val="21"/>
        </w:rPr>
        <w:t xml:space="preserve">Sponsor methodology conventions (normalized adstock, per-media decays, set-year window) remain stable for the project duration; changes are absorbed via configuration.</w:t>
      </w:r>
    </w:p>
    <w:p>
      <w:pPr>
        <w:pStyle w:val="ListParagraph"/>
        <w:numPr>
          <w:ilvl w:val="0"/>
          <w:numId w:val="2"/>
        </w:numPr>
        <w:spacing w:after="60" w:line="276"/>
      </w:pPr>
      <w:r>
        <w:rPr>
          <w:sz w:val="21"/>
          <w:szCs w:val="21"/>
        </w:rPr>
        <w:t xml:space="preserve">UAT participation from the sponsor and/or the peer capstone team is available in August, per the course's testing-plan guidance.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2026-07-14T17:59:10.835Z</dcterms:created>
  <dcterms:modified xsi:type="dcterms:W3CDTF">2026-07-14T17:59:10.835Z</dcterms:modified>
</cp:coreProperties>
</file>

<file path=docProps/custom.xml><?xml version="1.0" encoding="utf-8"?>
<Properties xmlns="http://schemas.openxmlformats.org/officeDocument/2006/custom-properties" xmlns:vt="http://schemas.openxmlformats.org/officeDocument/2006/docPropsVTypes"/>
</file>