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8"/>
          <w:szCs w:val="48"/>
        </w:rPr>
        <w:t xml:space="preserve">Testing Plan</w:t>
      </w:r>
    </w:p>
    <w:p>
      <w:pPr>
        <w:spacing w:after="40"/>
        <w:jc w:val="center"/>
      </w:pPr>
      <w:r>
        <w:rPr>
          <w:color w:val="595959"/>
          <w:sz w:val="24"/>
          <w:szCs w:val="24"/>
        </w:rPr>
        <w:t xml:space="preserve">Automated Regression Engine + UI for Brand × Channel Volume Sales Modeling</w:t>
      </w:r>
    </w:p>
    <w:p>
      <w:pPr>
        <w:spacing w:after="40"/>
        <w:jc w:val="center"/>
      </w:pPr>
      <w:r>
        <w:rPr>
          <w:color w:val="595959"/>
          <w:sz w:val="21"/>
          <w:szCs w:val="21"/>
        </w:rPr>
        <w:t xml:space="preserve">Big Chalk Analytics × Northwestern MSDS Capstone — Summer 2026</w:t>
      </w:r>
    </w:p>
    <w:p>
      <w:pPr>
        <w:pBdr>
          <w:bottom w:val="single" w:color="1F3864" w:sz="6" w:space="8"/>
        </w:pBdr>
        <w:spacing w:after="240"/>
        <w:jc w:val="center"/>
      </w:pPr>
      <w:r>
        <w:rPr>
          <w:color w:val="595959"/>
          <w:sz w:val="19"/>
          <w:szCs w:val="19"/>
        </w:rPr>
        <w:t xml:space="preserve">Team: Feifan Liu · Boqi Niu · Jiahao Li      Faculty: Abid Ali      Sponsor contact: Alex Hathcock      July 14, 2026</w:t>
      </w:r>
    </w:p>
    <w:p>
      <w:pPr>
        <w:pStyle w:val="Heading1"/>
        <w:spacing w:after="120" w:before="280"/>
      </w:pPr>
      <w:r>
        <w:rPr>
          <w:b/>
          <w:bCs/>
          <w:color w:val="1F3864"/>
          <w:sz w:val="26"/>
          <w:szCs w:val="26"/>
        </w:rPr>
        <w:t xml:space="preserve">1. Introduction</w:t>
      </w:r>
    </w:p>
    <w:p>
      <w:pPr>
        <w:spacing w:after="120" w:line="276"/>
      </w:pPr>
      <w:r>
        <w:rPr>
          <w:sz w:val="21"/>
          <w:szCs w:val="21"/>
        </w:rPr>
        <w:t xml:space="preserve">This testing plan covers the automated regression engine and its Dash-based UI. The system ingests weekly Channel × Brand × Week retail data, engineers features per sponsor conventions (normalized adstock, config-driven variable mapping), automatically selects and fits sign/bound-constrained regression models for every Brand × Channel combination, and exposes the whole workflow — data upload, batch run, diagnostics, contribution reporting, and manual override — through a browser dashboard.</w:t>
      </w:r>
    </w:p>
    <w:p>
      <w:pPr>
        <w:spacing w:after="120" w:line="276"/>
      </w:pPr>
      <w:r>
        <w:rPr>
          <w:sz w:val="21"/>
          <w:szCs w:val="21"/>
        </w:rPr>
        <w:t xml:space="preserve">Testing is organized in four levels — unit, integration, system, and user acceptance — traced to the detailed requirements. Test results will be reported as part of each status report, including the test data used, inputs, and expected vs. actual outputs. Because the engine is deterministic (bounded least squares, no random seeds in the final fit), expected outputs can be pinned to exact values or tight numerical tolerances.</w:t>
      </w:r>
    </w:p>
    <w:p>
      <w:pPr>
        <w:pStyle w:val="Heading2"/>
        <w:spacing w:after="100" w:before="200"/>
      </w:pPr>
      <w:r>
        <w:rPr>
          <w:b/>
          <w:bCs/>
          <w:color w:val="1F3864"/>
          <w:sz w:val="22"/>
          <w:szCs w:val="22"/>
        </w:rPr>
        <w:t xml:space="preserve">1.1 Objectives</w:t>
      </w:r>
    </w:p>
    <w:p>
      <w:pPr>
        <w:pStyle w:val="ListParagraph"/>
        <w:numPr>
          <w:ilvl w:val="0"/>
          <w:numId w:val="2"/>
        </w:numPr>
        <w:spacing w:after="60" w:line="276"/>
      </w:pPr>
      <w:r>
        <w:rPr>
          <w:sz w:val="21"/>
          <w:szCs w:val="21"/>
        </w:rPr>
        <w:t xml:space="preserve">Verify each computational building block (adstock, VIF pruning, stepwise selection, constrained fitting, contribution decomposition) against hand-computed or analytically known results.</w:t>
      </w:r>
    </w:p>
    <w:p>
      <w:pPr>
        <w:pStyle w:val="ListParagraph"/>
        <w:numPr>
          <w:ilvl w:val="0"/>
          <w:numId w:val="2"/>
        </w:numPr>
        <w:spacing w:after="60" w:line="276"/>
      </w:pPr>
      <w:r>
        <w:rPr>
          <w:sz w:val="21"/>
          <w:szCs w:val="21"/>
        </w:rPr>
        <w:t xml:space="preserve">Verify components work together: config → feature matrix → selection → fit → reporting, on real and synthetic data.</w:t>
      </w:r>
    </w:p>
    <w:p>
      <w:pPr>
        <w:pStyle w:val="ListParagraph"/>
        <w:numPr>
          <w:ilvl w:val="0"/>
          <w:numId w:val="2"/>
        </w:numPr>
        <w:spacing w:after="60" w:line="276"/>
      </w:pPr>
      <w:r>
        <w:rPr>
          <w:sz w:val="21"/>
          <w:szCs w:val="21"/>
        </w:rPr>
        <w:t xml:space="preserve">Verify the whole system meets functional requirements end to end: any client datafile in, validated models and reports out, at batch scale, through the UI.</w:t>
      </w:r>
    </w:p>
    <w:p>
      <w:pPr>
        <w:pStyle w:val="ListParagraph"/>
        <w:numPr>
          <w:ilvl w:val="0"/>
          <w:numId w:val="2"/>
        </w:numPr>
        <w:spacing w:after="60" w:line="276"/>
      </w:pPr>
      <w:r>
        <w:rPr>
          <w:sz w:val="21"/>
          <w:szCs w:val="21"/>
        </w:rPr>
        <w:t xml:space="preserve">Confirm with users (sponsor and/or peer capstone team) that the workflow is usable and the outputs are trustworthy for the analyst-override scenarios that motivated the project.</w:t>
      </w:r>
    </w:p>
    <w:p>
      <w:pPr>
        <w:pStyle w:val="Heading2"/>
        <w:spacing w:after="100" w:before="200"/>
      </w:pPr>
      <w:r>
        <w:rPr>
          <w:b/>
          <w:bCs/>
          <w:color w:val="1F3864"/>
          <w:sz w:val="22"/>
          <w:szCs w:val="22"/>
        </w:rPr>
        <w:t xml:space="preserve">1.2 References</w:t>
      </w:r>
    </w:p>
    <w:p>
      <w:pPr>
        <w:pStyle w:val="ListParagraph"/>
        <w:numPr>
          <w:ilvl w:val="0"/>
          <w:numId w:val="2"/>
        </w:numPr>
        <w:spacing w:after="60" w:line="276"/>
      </w:pPr>
      <w:r>
        <w:rPr>
          <w:sz w:val="21"/>
          <w:szCs w:val="21"/>
        </w:rPr>
        <w:t xml:space="preserve">Detailed requirements (Module 2) and Project Plan (Module 3).</w:t>
      </w:r>
    </w:p>
    <w:p>
      <w:pPr>
        <w:pStyle w:val="ListParagraph"/>
        <w:numPr>
          <w:ilvl w:val="0"/>
          <w:numId w:val="2"/>
        </w:numPr>
        <w:spacing w:after="60" w:line="276"/>
      </w:pPr>
      <w:r>
        <w:rPr>
          <w:sz w:val="21"/>
          <w:szCs w:val="21"/>
        </w:rPr>
        <w:t xml:space="preserve">Course testing framework (in-class): unit testing of individual programs/routines; peer review as a testing activity; system/integration testing end-to-end (input → output); dry runs; sample-data testing covering both data behavior and logic/functionality; stress testing at production quality and volume; production workup; separated dev and test stages.</w:t>
      </w:r>
    </w:p>
    <w:p>
      <w:pPr>
        <w:pStyle w:val="ListParagraph"/>
        <w:numPr>
          <w:ilvl w:val="0"/>
          <w:numId w:val="2"/>
        </w:numPr>
        <w:spacing w:after="60" w:line="276"/>
      </w:pPr>
      <w:r>
        <w:rPr>
          <w:sz w:val="21"/>
          <w:szCs w:val="21"/>
        </w:rPr>
        <w:t xml:space="preserve">Sponsor methodology review of July 6, 2026 (adstock convention, config table, set-year window, contribution rules).</w:t>
      </w:r>
    </w:p>
    <w:p>
      <w:pPr>
        <w:pStyle w:val="ListParagraph"/>
        <w:numPr>
          <w:ilvl w:val="0"/>
          <w:numId w:val="2"/>
        </w:numPr>
        <w:spacing w:after="60" w:line="276"/>
      </w:pPr>
      <w:r>
        <w:rPr>
          <w:sz w:val="21"/>
          <w:szCs w:val="21"/>
        </w:rPr>
        <w:t xml:space="preserve">Reference implementation: sponsor's curve_fit-based estimator (code/reference_alex_curvefit.py).</w:t>
      </w:r>
    </w:p>
    <w:p>
      <w:pPr>
        <w:pStyle w:val="Heading1"/>
        <w:spacing w:after="120" w:before="280"/>
      </w:pPr>
      <w:r>
        <w:rPr>
          <w:b/>
          <w:bCs/>
          <w:color w:val="1F3864"/>
          <w:sz w:val="26"/>
          <w:szCs w:val="26"/>
        </w:rPr>
        <w:t xml:space="preserve">2. Scope</w:t>
      </w:r>
    </w:p>
    <w:p>
      <w:pPr>
        <w:pStyle w:val="Heading2"/>
        <w:spacing w:after="100" w:before="200"/>
      </w:pPr>
      <w:r>
        <w:rPr>
          <w:b/>
          <w:bCs/>
          <w:color w:val="1F3864"/>
          <w:sz w:val="22"/>
          <w:szCs w:val="22"/>
        </w:rPr>
        <w:t xml:space="preserve">2.1 In scope</w:t>
      </w:r>
    </w:p>
    <w:p>
      <w:pPr>
        <w:pStyle w:val="ListParagraph"/>
        <w:numPr>
          <w:ilvl w:val="0"/>
          <w:numId w:val="2"/>
        </w:numPr>
        <w:spacing w:after="60" w:line="276"/>
      </w:pPr>
      <w:r>
        <w:rPr>
          <w:sz w:val="21"/>
          <w:szCs w:val="21"/>
        </w:rPr>
        <w:t xml:space="preserve">Engine (code/capstone_pipeline.py): data loading, adstock transforms, variable-config generation/parsing, VIF pruning, forward stepwise selection, bounded least-squares fit, model-year assignment, contribution (due-to) reporting.</w:t>
      </w:r>
    </w:p>
    <w:p>
      <w:pPr>
        <w:pStyle w:val="ListParagraph"/>
        <w:numPr>
          <w:ilvl w:val="0"/>
          <w:numId w:val="2"/>
        </w:numPr>
        <w:spacing w:after="60" w:line="276"/>
      </w:pPr>
      <w:r>
        <w:rPr>
          <w:sz w:val="21"/>
          <w:szCs w:val="21"/>
        </w:rPr>
        <w:t xml:space="preserve">Batch layer (code/run_all.py): all-combination execution, summary and failure reporting.</w:t>
      </w:r>
    </w:p>
    <w:p>
      <w:pPr>
        <w:pStyle w:val="ListParagraph"/>
        <w:numPr>
          <w:ilvl w:val="0"/>
          <w:numId w:val="2"/>
        </w:numPr>
        <w:spacing w:after="60" w:line="276"/>
      </w:pPr>
      <w:r>
        <w:rPr>
          <w:sz w:val="21"/>
          <w:szCs w:val="21"/>
        </w:rPr>
        <w:t xml:space="preserve">Dashboard (code/dashboard.py): datafile loading and sheet/target auto-detection, per-variable controls with validation, batch run from the browser, drill-down and re-run, startup wiring audit.</w:t>
      </w:r>
    </w:p>
    <w:p>
      <w:pPr>
        <w:pStyle w:val="ListParagraph"/>
        <w:numPr>
          <w:ilvl w:val="0"/>
          <w:numId w:val="2"/>
        </w:numPr>
        <w:spacing w:after="60" w:line="276"/>
      </w:pPr>
      <w:r>
        <w:rPr>
          <w:sz w:val="21"/>
          <w:szCs w:val="21"/>
        </w:rPr>
        <w:t xml:space="preserve">Non-functional: batch runtime, stress behavior at production-scale volume, determinism/reproducibility, robustness to alien file layouts and degenerate inputs (empty/zero-byte files, missing columns, #N/A channels).</w:t>
      </w:r>
    </w:p>
    <w:p>
      <w:pPr>
        <w:pStyle w:val="Heading2"/>
        <w:spacing w:after="100" w:before="200"/>
      </w:pPr>
      <w:r>
        <w:rPr>
          <w:b/>
          <w:bCs/>
          <w:color w:val="1F3864"/>
          <w:sz w:val="22"/>
          <w:szCs w:val="22"/>
        </w:rPr>
        <w:t xml:space="preserve">2.2 Out of scope</w:t>
      </w:r>
    </w:p>
    <w:p>
      <w:pPr>
        <w:pStyle w:val="ListParagraph"/>
        <w:numPr>
          <w:ilvl w:val="0"/>
          <w:numId w:val="2"/>
        </w:numPr>
        <w:spacing w:after="60" w:line="276"/>
      </w:pPr>
      <w:r>
        <w:rPr>
          <w:sz w:val="21"/>
          <w:szCs w:val="21"/>
        </w:rPr>
        <w:t xml:space="preserve">Multi-user concurrency testing (the tool serves one analyst at a time, per the sponsor's usage pattern).</w:t>
      </w:r>
    </w:p>
    <w:p>
      <w:pPr>
        <w:pStyle w:val="ListParagraph"/>
        <w:numPr>
          <w:ilvl w:val="0"/>
          <w:numId w:val="2"/>
        </w:numPr>
        <w:spacing w:after="60" w:line="276"/>
      </w:pPr>
      <w:r>
        <w:rPr>
          <w:sz w:val="21"/>
          <w:szCs w:val="21"/>
        </w:rPr>
        <w:t xml:space="preserve">Browser-compatibility matrix testing (Chrome is the reference browser; others best-effort).</w:t>
      </w:r>
    </w:p>
    <w:p>
      <w:pPr>
        <w:pStyle w:val="ListParagraph"/>
        <w:numPr>
          <w:ilvl w:val="0"/>
          <w:numId w:val="2"/>
        </w:numPr>
        <w:spacing w:after="60" w:line="276"/>
      </w:pPr>
      <w:r>
        <w:rPr>
          <w:sz w:val="21"/>
          <w:szCs w:val="21"/>
        </w:rPr>
        <w:t xml:space="preserve">Security/penetration testing (tool runs locally on analyst machines with local files).</w:t>
      </w:r>
    </w:p>
    <w:p>
      <w:pPr>
        <w:pStyle w:val="Heading1"/>
        <w:spacing w:after="120" w:before="280"/>
      </w:pPr>
      <w:r>
        <w:rPr>
          <w:b/>
          <w:bCs/>
          <w:color w:val="1F3864"/>
          <w:sz w:val="26"/>
          <w:szCs w:val="26"/>
        </w:rPr>
        <w:t xml:space="preserve">3. Test Approach</w:t>
      </w:r>
    </w:p>
    <w:p>
      <w:pPr>
        <w:spacing w:after="120" w:line="276"/>
      </w:pPr>
      <w:r>
        <w:rPr>
          <w:sz w:val="21"/>
          <w:szCs w:val="21"/>
        </w:rPr>
        <w:t xml:space="preserve">Our approach follows the progression taught in class: unit-test individual routines first, peer-review every change as a testing activity in its own right, then verify the composed system end to end as an input → output mapping, dry-run new routines on sample data before trusting them, test with sample data for both data behavior (does it work with this data?) and logic/functionality (does it make sure of the right things?), and finish with stress testing at production quality and volume before production workup.</w:t>
      </w:r>
    </w:p>
    <w:p>
      <w:pPr>
        <w:spacing w:after="120" w:line="276"/>
      </w:pPr>
      <w:r>
        <w:rPr>
          <w:sz w:val="21"/>
          <w:szCs w:val="21"/>
        </w:rPr>
        <w:t xml:space="preserve">Automated tests are written in pytest and live in a tests/ package in the repository; they run locally before every merge and the full suite is executed before each status report. UI behavior that cannot be unit-tested economically is covered by scripted manual system tests with recorded expected results. Every methodological rule from the sponsor review is encoded as an assertion so regressions are caught mechanically rather than by re-reading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40"/>
        <w:gridCol w:w="2440"/>
        <w:gridCol w:w="2440"/>
        <w:gridCol w:w="2340"/>
      </w:tblGrid>
      <w:tr>
        <w:trPr>
          <w:tblHeader/>
        </w:trPr>
        <w:tc>
          <w:tcPr>
            <w:tcW w:type="dxa" w:w="2140"/>
            <w:shd w:fill="1F3864" w:val="clear"/>
            <w:tcMar>
              <w:top w:type="dxa" w:w="50"/>
              <w:left w:type="dxa" w:w="90"/>
              <w:bottom w:type="dxa" w:w="50"/>
              <w:right w:type="dxa" w:w="90"/>
            </w:tcMar>
          </w:tcPr>
          <w:p>
            <w:pPr>
              <w:spacing w:after="0" w:line="240"/>
            </w:pPr>
            <w:r>
              <w:rPr>
                <w:b/>
                <w:bCs/>
                <w:color w:val="FFFFFF"/>
                <w:sz w:val="18"/>
                <w:szCs w:val="18"/>
              </w:rPr>
              <w:t xml:space="preserve">Stage</w:t>
            </w:r>
          </w:p>
        </w:tc>
        <w:tc>
          <w:tcPr>
            <w:tcW w:type="dxa" w:w="2440"/>
            <w:shd w:fill="1F3864" w:val="clear"/>
            <w:tcMar>
              <w:top w:type="dxa" w:w="50"/>
              <w:left w:type="dxa" w:w="90"/>
              <w:bottom w:type="dxa" w:w="50"/>
              <w:right w:type="dxa" w:w="90"/>
            </w:tcMar>
          </w:tcPr>
          <w:p>
            <w:pPr>
              <w:spacing w:after="0" w:line="240"/>
            </w:pPr>
            <w:r>
              <w:rPr>
                <w:b/>
                <w:bCs/>
                <w:color w:val="FFFFFF"/>
                <w:sz w:val="18"/>
                <w:szCs w:val="18"/>
              </w:rPr>
              <w:t xml:space="preserve">Purpose</w:t>
            </w:r>
          </w:p>
        </w:tc>
        <w:tc>
          <w:tcPr>
            <w:tcW w:type="dxa" w:w="2440"/>
            <w:shd w:fill="1F3864" w:val="clear"/>
            <w:tcMar>
              <w:top w:type="dxa" w:w="50"/>
              <w:left w:type="dxa" w:w="90"/>
              <w:bottom w:type="dxa" w:w="50"/>
              <w:right w:type="dxa" w:w="90"/>
            </w:tcMar>
          </w:tcPr>
          <w:p>
            <w:pPr>
              <w:spacing w:after="0" w:line="240"/>
            </w:pPr>
            <w:r>
              <w:rPr>
                <w:b/>
                <w:bCs/>
                <w:color w:val="FFFFFF"/>
                <w:sz w:val="18"/>
                <w:szCs w:val="18"/>
              </w:rPr>
              <w:t xml:space="preserve">Method / tools</w:t>
            </w:r>
          </w:p>
        </w:tc>
        <w:tc>
          <w:tcPr>
            <w:tcW w:type="dxa" w:w="2340"/>
            <w:shd w:fill="1F3864" w:val="clear"/>
            <w:tcMar>
              <w:top w:type="dxa" w:w="50"/>
              <w:left w:type="dxa" w:w="90"/>
              <w:bottom w:type="dxa" w:w="50"/>
              <w:right w:type="dxa" w:w="90"/>
            </w:tcMar>
          </w:tcPr>
          <w:p>
            <w:pPr>
              <w:spacing w:after="0" w:line="240"/>
            </w:pPr>
            <w:r>
              <w:rPr>
                <w:b/>
                <w:bCs/>
                <w:color w:val="FFFFFF"/>
                <w:sz w:val="18"/>
                <w:szCs w:val="18"/>
              </w:rPr>
              <w:t xml:space="preserve">Primary data</w:t>
            </w:r>
          </w:p>
        </w:tc>
      </w:tr>
      <w:tr>
        <w:tc>
          <w:tcPr>
            <w:tcW w:type="dxa" w:w="2140"/>
            <w:tcMar>
              <w:top w:type="dxa" w:w="50"/>
              <w:left w:type="dxa" w:w="90"/>
              <w:bottom w:type="dxa" w:w="50"/>
              <w:right w:type="dxa" w:w="90"/>
            </w:tcMar>
          </w:tcPr>
          <w:p>
            <w:pPr>
              <w:spacing w:after="0" w:line="240"/>
            </w:pPr>
            <w:r>
              <w:rPr>
                <w:b w:val="false"/>
                <w:bCs w:val="false"/>
                <w:color w:val="000000"/>
                <w:sz w:val="18"/>
                <w:szCs w:val="18"/>
              </w:rPr>
              <w:t xml:space="preserve">Unit</w:t>
            </w:r>
          </w:p>
        </w:tc>
        <w:tc>
          <w:tcPr>
            <w:tcW w:type="dxa" w:w="2440"/>
            <w:tcMar>
              <w:top w:type="dxa" w:w="50"/>
              <w:left w:type="dxa" w:w="90"/>
              <w:bottom w:type="dxa" w:w="50"/>
              <w:right w:type="dxa" w:w="90"/>
            </w:tcMar>
          </w:tcPr>
          <w:p>
            <w:pPr>
              <w:spacing w:after="0" w:line="240"/>
            </w:pPr>
            <w:r>
              <w:rPr>
                <w:b w:val="false"/>
                <w:bCs w:val="false"/>
                <w:color w:val="000000"/>
                <w:sz w:val="18"/>
                <w:szCs w:val="18"/>
              </w:rPr>
              <w:t xml:space="preserve">Each program/routine correct in isolation</w:t>
            </w:r>
          </w:p>
        </w:tc>
        <w:tc>
          <w:tcPr>
            <w:tcW w:type="dxa" w:w="2440"/>
            <w:tcMar>
              <w:top w:type="dxa" w:w="50"/>
              <w:left w:type="dxa" w:w="90"/>
              <w:bottom w:type="dxa" w:w="50"/>
              <w:right w:type="dxa" w:w="90"/>
            </w:tcMar>
          </w:tcPr>
          <w:p>
            <w:pPr>
              <w:spacing w:after="0" w:line="240"/>
            </w:pPr>
            <w:r>
              <w:rPr>
                <w:b w:val="false"/>
                <w:bCs w:val="false"/>
                <w:color w:val="000000"/>
                <w:sz w:val="18"/>
                <w:szCs w:val="18"/>
              </w:rPr>
              <w:t xml:space="preserve">pytest, hand-computed fixtures</w:t>
            </w:r>
          </w:p>
        </w:tc>
        <w:tc>
          <w:tcPr>
            <w:tcW w:type="dxa" w:w="2340"/>
            <w:tcMar>
              <w:top w:type="dxa" w:w="50"/>
              <w:left w:type="dxa" w:w="90"/>
              <w:bottom w:type="dxa" w:w="50"/>
              <w:right w:type="dxa" w:w="90"/>
            </w:tcMar>
          </w:tcPr>
          <w:p>
            <w:pPr>
              <w:spacing w:after="0" w:line="240"/>
            </w:pPr>
            <w:r>
              <w:rPr>
                <w:b w:val="false"/>
                <w:bCs w:val="false"/>
                <w:color w:val="000000"/>
                <w:sz w:val="18"/>
                <w:szCs w:val="18"/>
              </w:rPr>
              <w:t xml:space="preserve">Tiny synthetic fixtures with known answers</w:t>
            </w:r>
          </w:p>
        </w:tc>
      </w:tr>
      <w:tr>
        <w:tc>
          <w:tcPr>
            <w:tcW w:type="dxa" w:w="2140"/>
            <w:shd w:fill="F2F4F8" w:val="clear"/>
            <w:tcMar>
              <w:top w:type="dxa" w:w="50"/>
              <w:left w:type="dxa" w:w="90"/>
              <w:bottom w:type="dxa" w:w="50"/>
              <w:right w:type="dxa" w:w="90"/>
            </w:tcMar>
          </w:tcPr>
          <w:p>
            <w:pPr>
              <w:spacing w:after="0" w:line="240"/>
            </w:pPr>
            <w:r>
              <w:rPr>
                <w:b w:val="false"/>
                <w:bCs w:val="false"/>
                <w:color w:val="000000"/>
                <w:sz w:val="18"/>
                <w:szCs w:val="18"/>
              </w:rPr>
              <w:t xml:space="preserve">Peer review</w:t>
            </w:r>
          </w:p>
        </w:tc>
        <w:tc>
          <w:tcPr>
            <w:tcW w:type="dxa" w:w="2440"/>
            <w:shd w:fill="F2F4F8" w:val="clear"/>
            <w:tcMar>
              <w:top w:type="dxa" w:w="50"/>
              <w:left w:type="dxa" w:w="90"/>
              <w:bottom w:type="dxa" w:w="50"/>
              <w:right w:type="dxa" w:w="90"/>
            </w:tcMar>
          </w:tcPr>
          <w:p>
            <w:pPr>
              <w:spacing w:after="0" w:line="240"/>
            </w:pPr>
            <w:r>
              <w:rPr>
                <w:b w:val="false"/>
                <w:bCs w:val="false"/>
                <w:color w:val="000000"/>
                <w:sz w:val="18"/>
                <w:szCs w:val="18"/>
              </w:rPr>
              <w:t xml:space="preserve">Second set of eyes on code and tests before merge</w:t>
            </w:r>
          </w:p>
        </w:tc>
        <w:tc>
          <w:tcPr>
            <w:tcW w:type="dxa" w:w="2440"/>
            <w:shd w:fill="F2F4F8" w:val="clear"/>
            <w:tcMar>
              <w:top w:type="dxa" w:w="50"/>
              <w:left w:type="dxa" w:w="90"/>
              <w:bottom w:type="dxa" w:w="50"/>
              <w:right w:type="dxa" w:w="90"/>
            </w:tcMar>
          </w:tcPr>
          <w:p>
            <w:pPr>
              <w:spacing w:after="0" w:line="240"/>
            </w:pPr>
            <w:r>
              <w:rPr>
                <w:b w:val="false"/>
                <w:bCs w:val="false"/>
                <w:color w:val="000000"/>
                <w:sz w:val="18"/>
                <w:szCs w:val="18"/>
              </w:rPr>
              <w:t xml:space="preserve">GitHub pull-request review; reviewer ≠ author</w:t>
            </w:r>
          </w:p>
        </w:tc>
        <w:tc>
          <w:tcPr>
            <w:tcW w:type="dxa" w:w="2340"/>
            <w:shd w:fill="F2F4F8" w:val="clear"/>
            <w:tcMar>
              <w:top w:type="dxa" w:w="50"/>
              <w:left w:type="dxa" w:w="90"/>
              <w:bottom w:type="dxa" w:w="50"/>
              <w:right w:type="dxa" w:w="90"/>
            </w:tcMar>
          </w:tcPr>
          <w:p>
            <w:pPr>
              <w:spacing w:after="0" w:line="240"/>
            </w:pPr>
            <w:r>
              <w:rPr>
                <w:b w:val="false"/>
                <w:bCs w:val="false"/>
                <w:color w:val="000000"/>
                <w:sz w:val="18"/>
                <w:szCs w:val="18"/>
              </w:rPr>
              <w:t xml:space="preserve">n/a (code artifact)</w:t>
            </w:r>
          </w:p>
        </w:tc>
      </w:tr>
      <w:tr>
        <w:tc>
          <w:tcPr>
            <w:tcW w:type="dxa" w:w="2140"/>
            <w:tcMar>
              <w:top w:type="dxa" w:w="50"/>
              <w:left w:type="dxa" w:w="90"/>
              <w:bottom w:type="dxa" w:w="50"/>
              <w:right w:type="dxa" w:w="90"/>
            </w:tcMar>
          </w:tcPr>
          <w:p>
            <w:pPr>
              <w:spacing w:after="0" w:line="240"/>
            </w:pPr>
            <w:r>
              <w:rPr>
                <w:b w:val="false"/>
                <w:bCs w:val="false"/>
                <w:color w:val="000000"/>
                <w:sz w:val="18"/>
                <w:szCs w:val="18"/>
              </w:rPr>
              <w:t xml:space="preserve">Integration / system</w:t>
            </w:r>
          </w:p>
        </w:tc>
        <w:tc>
          <w:tcPr>
            <w:tcW w:type="dxa" w:w="2440"/>
            <w:tcMar>
              <w:top w:type="dxa" w:w="50"/>
              <w:left w:type="dxa" w:w="90"/>
              <w:bottom w:type="dxa" w:w="50"/>
              <w:right w:type="dxa" w:w="90"/>
            </w:tcMar>
          </w:tcPr>
          <w:p>
            <w:pPr>
              <w:spacing w:after="0" w:line="240"/>
            </w:pPr>
            <w:r>
              <w:rPr>
                <w:b w:val="false"/>
                <w:bCs w:val="false"/>
                <w:color w:val="000000"/>
                <w:sz w:val="18"/>
                <w:szCs w:val="18"/>
              </w:rPr>
              <w:t xml:space="preserve">Stages compose; end-to-end input → output correct</w:t>
            </w:r>
          </w:p>
        </w:tc>
        <w:tc>
          <w:tcPr>
            <w:tcW w:type="dxa" w:w="2440"/>
            <w:tcMar>
              <w:top w:type="dxa" w:w="50"/>
              <w:left w:type="dxa" w:w="90"/>
              <w:bottom w:type="dxa" w:w="50"/>
              <w:right w:type="dxa" w:w="90"/>
            </w:tcMar>
          </w:tcPr>
          <w:p>
            <w:pPr>
              <w:spacing w:after="0" w:line="240"/>
            </w:pPr>
            <w:r>
              <w:rPr>
                <w:b w:val="false"/>
                <w:bCs w:val="false"/>
                <w:color w:val="000000"/>
                <w:sz w:val="18"/>
                <w:szCs w:val="18"/>
              </w:rPr>
              <w:t xml:space="preserve">pytest on run_slice / run_batch; golden files; scripted UI walkthroughs</w:t>
            </w:r>
          </w:p>
        </w:tc>
        <w:tc>
          <w:tcPr>
            <w:tcW w:type="dxa" w:w="2340"/>
            <w:tcMar>
              <w:top w:type="dxa" w:w="50"/>
              <w:left w:type="dxa" w:w="90"/>
              <w:bottom w:type="dxa" w:w="50"/>
              <w:right w:type="dxa" w:w="90"/>
            </w:tcMar>
          </w:tcPr>
          <w:p>
            <w:pPr>
              <w:spacing w:after="0" w:line="240"/>
            </w:pPr>
            <w:r>
              <w:rPr>
                <w:b w:val="false"/>
                <w:bCs w:val="false"/>
                <w:color w:val="000000"/>
                <w:sz w:val="18"/>
                <w:szCs w:val="18"/>
              </w:rPr>
              <w:t xml:space="preserve">Brand 1 × Channel 1 slice; full anonymized dataset; alien-format workbook</w:t>
            </w:r>
          </w:p>
        </w:tc>
      </w:tr>
      <w:tr>
        <w:tc>
          <w:tcPr>
            <w:tcW w:type="dxa" w:w="2140"/>
            <w:shd w:fill="F2F4F8" w:val="clear"/>
            <w:tcMar>
              <w:top w:type="dxa" w:w="50"/>
              <w:left w:type="dxa" w:w="90"/>
              <w:bottom w:type="dxa" w:w="50"/>
              <w:right w:type="dxa" w:w="90"/>
            </w:tcMar>
          </w:tcPr>
          <w:p>
            <w:pPr>
              <w:spacing w:after="0" w:line="240"/>
            </w:pPr>
            <w:r>
              <w:rPr>
                <w:b w:val="false"/>
                <w:bCs w:val="false"/>
                <w:color w:val="000000"/>
                <w:sz w:val="18"/>
                <w:szCs w:val="18"/>
              </w:rPr>
              <w:t xml:space="preserve">Dry run</w:t>
            </w:r>
          </w:p>
        </w:tc>
        <w:tc>
          <w:tcPr>
            <w:tcW w:type="dxa" w:w="2440"/>
            <w:shd w:fill="F2F4F8" w:val="clear"/>
            <w:tcMar>
              <w:top w:type="dxa" w:w="50"/>
              <w:left w:type="dxa" w:w="90"/>
              <w:bottom w:type="dxa" w:w="50"/>
              <w:right w:type="dxa" w:w="90"/>
            </w:tcMar>
          </w:tcPr>
          <w:p>
            <w:pPr>
              <w:spacing w:after="0" w:line="240"/>
            </w:pPr>
            <w:r>
              <w:rPr>
                <w:b w:val="false"/>
                <w:bCs w:val="false"/>
                <w:color w:val="000000"/>
                <w:sz w:val="18"/>
                <w:szCs w:val="18"/>
              </w:rPr>
              <w:t xml:space="preserve">New routines exercised on sample data before results are trusted</w:t>
            </w:r>
          </w:p>
        </w:tc>
        <w:tc>
          <w:tcPr>
            <w:tcW w:type="dxa" w:w="2440"/>
            <w:shd w:fill="F2F4F8" w:val="clear"/>
            <w:tcMar>
              <w:top w:type="dxa" w:w="50"/>
              <w:left w:type="dxa" w:w="90"/>
              <w:bottom w:type="dxa" w:w="50"/>
              <w:right w:type="dxa" w:w="90"/>
            </w:tcMar>
          </w:tcPr>
          <w:p>
            <w:pPr>
              <w:spacing w:after="0" w:line="240"/>
            </w:pPr>
            <w:r>
              <w:rPr>
                <w:b w:val="false"/>
                <w:bCs w:val="false"/>
                <w:color w:val="000000"/>
                <w:sz w:val="18"/>
                <w:szCs w:val="18"/>
              </w:rPr>
              <w:t xml:space="preserve">Manual run with outputs inspected against expectations</w:t>
            </w:r>
          </w:p>
        </w:tc>
        <w:tc>
          <w:tcPr>
            <w:tcW w:type="dxa" w:w="2340"/>
            <w:shd w:fill="F2F4F8" w:val="clear"/>
            <w:tcMar>
              <w:top w:type="dxa" w:w="50"/>
              <w:left w:type="dxa" w:w="90"/>
              <w:bottom w:type="dxa" w:w="50"/>
              <w:right w:type="dxa" w:w="90"/>
            </w:tcMar>
          </w:tcPr>
          <w:p>
            <w:pPr>
              <w:spacing w:after="0" w:line="240"/>
            </w:pPr>
            <w:r>
              <w:rPr>
                <w:b w:val="false"/>
                <w:bCs w:val="false"/>
                <w:color w:val="000000"/>
                <w:sz w:val="18"/>
                <w:szCs w:val="18"/>
              </w:rPr>
              <w:t xml:space="preserve">Sample slices from the anonymized dataset</w:t>
            </w:r>
          </w:p>
        </w:tc>
      </w:tr>
      <w:tr>
        <w:tc>
          <w:tcPr>
            <w:tcW w:type="dxa" w:w="2140"/>
            <w:tcMar>
              <w:top w:type="dxa" w:w="50"/>
              <w:left w:type="dxa" w:w="90"/>
              <w:bottom w:type="dxa" w:w="50"/>
              <w:right w:type="dxa" w:w="90"/>
            </w:tcMar>
          </w:tcPr>
          <w:p>
            <w:pPr>
              <w:spacing w:after="0" w:line="240"/>
            </w:pPr>
            <w:r>
              <w:rPr>
                <w:b w:val="false"/>
                <w:bCs w:val="false"/>
                <w:color w:val="000000"/>
                <w:sz w:val="18"/>
                <w:szCs w:val="18"/>
              </w:rPr>
              <w:t xml:space="preserve">Stress</w:t>
            </w:r>
          </w:p>
        </w:tc>
        <w:tc>
          <w:tcPr>
            <w:tcW w:type="dxa" w:w="2440"/>
            <w:tcMar>
              <w:top w:type="dxa" w:w="50"/>
              <w:left w:type="dxa" w:w="90"/>
              <w:bottom w:type="dxa" w:w="50"/>
              <w:right w:type="dxa" w:w="90"/>
            </w:tcMar>
          </w:tcPr>
          <w:p>
            <w:pPr>
              <w:spacing w:after="0" w:line="240"/>
            </w:pPr>
            <w:r>
              <w:rPr>
                <w:b w:val="false"/>
                <w:bCs w:val="false"/>
                <w:color w:val="000000"/>
                <w:sz w:val="18"/>
                <w:szCs w:val="18"/>
              </w:rPr>
              <w:t xml:space="preserve">Behavior at production quality and volume</w:t>
            </w:r>
          </w:p>
        </w:tc>
        <w:tc>
          <w:tcPr>
            <w:tcW w:type="dxa" w:w="2440"/>
            <w:tcMar>
              <w:top w:type="dxa" w:w="50"/>
              <w:left w:type="dxa" w:w="90"/>
              <w:bottom w:type="dxa" w:w="50"/>
              <w:right w:type="dxa" w:w="90"/>
            </w:tcMar>
          </w:tcPr>
          <w:p>
            <w:pPr>
              <w:spacing w:after="0" w:line="240"/>
            </w:pPr>
            <w:r>
              <w:rPr>
                <w:b w:val="false"/>
                <w:bCs w:val="false"/>
                <w:color w:val="000000"/>
                <w:sz w:val="18"/>
                <w:szCs w:val="18"/>
              </w:rPr>
              <w:t xml:space="preserve">Scaled synthetic workbook; repeated batch queries from the UI</w:t>
            </w:r>
          </w:p>
        </w:tc>
        <w:tc>
          <w:tcPr>
            <w:tcW w:type="dxa" w:w="2340"/>
            <w:tcMar>
              <w:top w:type="dxa" w:w="50"/>
              <w:left w:type="dxa" w:w="90"/>
              <w:bottom w:type="dxa" w:w="50"/>
              <w:right w:type="dxa" w:w="90"/>
            </w:tcMar>
          </w:tcPr>
          <w:p>
            <w:pPr>
              <w:spacing w:after="0" w:line="240"/>
            </w:pPr>
            <w:r>
              <w:rPr>
                <w:b w:val="false"/>
                <w:bCs w:val="false"/>
                <w:color w:val="000000"/>
                <w:sz w:val="18"/>
                <w:szCs w:val="18"/>
              </w:rPr>
              <w:t xml:space="preserve">Synthetic 50-sheet workbook</w:t>
            </w:r>
          </w:p>
        </w:tc>
      </w:tr>
      <w:tr>
        <w:tc>
          <w:tcPr>
            <w:tcW w:type="dxa" w:w="2140"/>
            <w:shd w:fill="F2F4F8" w:val="clear"/>
            <w:tcMar>
              <w:top w:type="dxa" w:w="50"/>
              <w:left w:type="dxa" w:w="90"/>
              <w:bottom w:type="dxa" w:w="50"/>
              <w:right w:type="dxa" w:w="90"/>
            </w:tcMar>
          </w:tcPr>
          <w:p>
            <w:pPr>
              <w:spacing w:after="0" w:line="240"/>
            </w:pPr>
            <w:r>
              <w:rPr>
                <w:b w:val="false"/>
                <w:bCs w:val="false"/>
                <w:color w:val="000000"/>
                <w:sz w:val="18"/>
                <w:szCs w:val="18"/>
              </w:rPr>
              <w:t xml:space="preserve">UAT / production workup</w:t>
            </w:r>
          </w:p>
        </w:tc>
        <w:tc>
          <w:tcPr>
            <w:tcW w:type="dxa" w:w="2440"/>
            <w:shd w:fill="F2F4F8" w:val="clear"/>
            <w:tcMar>
              <w:top w:type="dxa" w:w="50"/>
              <w:left w:type="dxa" w:w="90"/>
              <w:bottom w:type="dxa" w:w="50"/>
              <w:right w:type="dxa" w:w="90"/>
            </w:tcMar>
          </w:tcPr>
          <w:p>
            <w:pPr>
              <w:spacing w:after="0" w:line="240"/>
            </w:pPr>
            <w:r>
              <w:rPr>
                <w:b w:val="false"/>
                <w:bCs w:val="false"/>
                <w:color w:val="000000"/>
                <w:sz w:val="18"/>
                <w:szCs w:val="18"/>
              </w:rPr>
              <w:t xml:space="preserve">Fit for analyst use; ready for handoff</w:t>
            </w:r>
          </w:p>
        </w:tc>
        <w:tc>
          <w:tcPr>
            <w:tcW w:type="dxa" w:w="2440"/>
            <w:shd w:fill="F2F4F8" w:val="clear"/>
            <w:tcMar>
              <w:top w:type="dxa" w:w="50"/>
              <w:left w:type="dxa" w:w="90"/>
              <w:bottom w:type="dxa" w:w="50"/>
              <w:right w:type="dxa" w:w="90"/>
            </w:tcMar>
          </w:tcPr>
          <w:p>
            <w:pPr>
              <w:spacing w:after="0" w:line="240"/>
            </w:pPr>
            <w:r>
              <w:rPr>
                <w:b w:val="false"/>
                <w:bCs w:val="false"/>
                <w:color w:val="000000"/>
                <w:sz w:val="18"/>
                <w:szCs w:val="18"/>
              </w:rPr>
              <w:t xml:space="preserve">Scenario scripts with sponsor / peer team</w:t>
            </w:r>
          </w:p>
        </w:tc>
        <w:tc>
          <w:tcPr>
            <w:tcW w:type="dxa" w:w="2340"/>
            <w:shd w:fill="F2F4F8" w:val="clear"/>
            <w:tcMar>
              <w:top w:type="dxa" w:w="50"/>
              <w:left w:type="dxa" w:w="90"/>
              <w:bottom w:type="dxa" w:w="50"/>
              <w:right w:type="dxa" w:w="90"/>
            </w:tcMar>
          </w:tcPr>
          <w:p>
            <w:pPr>
              <w:spacing w:after="0" w:line="240"/>
            </w:pPr>
            <w:r>
              <w:rPr>
                <w:b w:val="false"/>
                <w:bCs w:val="false"/>
                <w:color w:val="000000"/>
                <w:sz w:val="18"/>
                <w:szCs w:val="18"/>
              </w:rPr>
              <w:t xml:space="preserve">Anonymized dataset via the UI</w:t>
            </w:r>
          </w:p>
        </w:tc>
      </w:tr>
    </w:tbl>
    <w:p>
      <w:pPr>
        <w:pStyle w:val="Heading2"/>
        <w:spacing w:after="100" w:before="200"/>
      </w:pPr>
      <w:r>
        <w:rPr>
          <w:b/>
          <w:bCs/>
          <w:color w:val="1F3864"/>
          <w:sz w:val="22"/>
          <w:szCs w:val="22"/>
        </w:rPr>
        <w:t xml:space="preserve">3.1 Environments</w:t>
      </w:r>
    </w:p>
    <w:p>
      <w:pPr>
        <w:spacing w:after="120" w:line="276"/>
      </w:pPr>
      <w:r>
        <w:rPr>
          <w:sz w:val="21"/>
          <w:szCs w:val="21"/>
        </w:rPr>
        <w:t xml:space="preserve">Development and testing are separated: development happens on feature branches with the unit suite as gate; the test stage is a clean checkout of the main branch on a machine other than the author's, using the checked-in test data — catching works-on-my-machine defects and undeclared dependencies. UAT adds a third environment: a participant's machine with no developer setup beyond documented install steps.</w:t>
      </w:r>
    </w:p>
    <w:p>
      <w:pPr>
        <w:pStyle w:val="Heading2"/>
        <w:spacing w:after="100" w:before="200"/>
      </w:pPr>
      <w:r>
        <w:rPr>
          <w:b/>
          <w:bCs/>
          <w:color w:val="1F3864"/>
          <w:sz w:val="22"/>
          <w:szCs w:val="22"/>
        </w:rPr>
        <w:t xml:space="preserve">3.2 Test data</w:t>
      </w:r>
    </w:p>
    <w:p>
      <w:pPr>
        <w:pStyle w:val="ListParagraph"/>
        <w:numPr>
          <w:ilvl w:val="0"/>
          <w:numId w:val="2"/>
        </w:numPr>
        <w:spacing w:after="60" w:line="276"/>
      </w:pPr>
      <w:r>
        <w:rPr>
          <w:b/>
          <w:bCs/>
          <w:sz w:val="21"/>
          <w:szCs w:val="21"/>
        </w:rPr>
        <w:t xml:space="preserve">Anonymized client dataset </w:t>
      </w:r>
      <w:r>
        <w:rPr>
          <w:sz w:val="21"/>
          <w:szCs w:val="21"/>
        </w:rPr>
        <w:t xml:space="preserve">(Anonymized Data for Project.xlsx): 10 brands × up to 9 channels × 156 weeks — the realistic workload; ground truth for grain, naming quirks (e.g., Brand 2's renamed media columns), and scale.</w:t>
      </w:r>
    </w:p>
    <w:p>
      <w:pPr>
        <w:pStyle w:val="ListParagraph"/>
        <w:numPr>
          <w:ilvl w:val="0"/>
          <w:numId w:val="2"/>
        </w:numPr>
        <w:spacing w:after="60" w:line="276"/>
      </w:pPr>
      <w:r>
        <w:rPr>
          <w:b/>
          <w:bCs/>
          <w:sz w:val="21"/>
          <w:szCs w:val="21"/>
        </w:rPr>
        <w:t xml:space="preserve">Synthetic micro-fixtures: </w:t>
      </w:r>
      <w:r>
        <w:rPr>
          <w:sz w:val="21"/>
          <w:szCs w:val="21"/>
        </w:rPr>
        <w:t xml:space="preserve">small arrays/frames constructed in-test where the correct answer is computable by hand — e.g., a 5-week media series for adstock, a 3-variable collinear matrix for VIF, a y generated from known coefficients for selection and fit recovery.</w:t>
      </w:r>
    </w:p>
    <w:p>
      <w:pPr>
        <w:pStyle w:val="ListParagraph"/>
        <w:numPr>
          <w:ilvl w:val="0"/>
          <w:numId w:val="2"/>
        </w:numPr>
        <w:spacing w:after="60" w:line="276"/>
      </w:pPr>
      <w:r>
        <w:rPr>
          <w:b/>
          <w:bCs/>
          <w:sz w:val="21"/>
          <w:szCs w:val="21"/>
        </w:rPr>
        <w:t xml:space="preserve">Synthetic “new client” workbook: </w:t>
      </w:r>
      <w:r>
        <w:rPr>
          <w:sz w:val="21"/>
          <w:szCs w:val="21"/>
        </w:rPr>
        <w:t xml:space="preserve">alien sheet and column naming, used to prove the config-driven design generalizes with zero code change (already exercised once; becomes a permanent regression asset).</w:t>
      </w:r>
    </w:p>
    <w:p>
      <w:pPr>
        <w:pStyle w:val="ListParagraph"/>
        <w:numPr>
          <w:ilvl w:val="0"/>
          <w:numId w:val="2"/>
        </w:numPr>
        <w:spacing w:after="60" w:line="276"/>
      </w:pPr>
      <w:r>
        <w:rPr>
          <w:b/>
          <w:bCs/>
          <w:sz w:val="21"/>
          <w:szCs w:val="21"/>
        </w:rPr>
        <w:t xml:space="preserve">Golden outputs: </w:t>
      </w:r>
      <w:r>
        <w:rPr>
          <w:sz w:val="21"/>
          <w:szCs w:val="21"/>
        </w:rPr>
        <w:t xml:space="preserve">checked-in coefficient tables and summary CSVs from validated runs (e.g., Brand 1 × Channel 1; outputs/all_models_summary.csv) that future runs must reproduce within tolerance.</w:t>
      </w:r>
    </w:p>
    <w:p>
      <w:pPr>
        <w:pStyle w:val="Heading1"/>
        <w:spacing w:after="120" w:before="280"/>
      </w:pPr>
      <w:r>
        <w:rPr>
          <w:b/>
          <w:bCs/>
          <w:color w:val="1F3864"/>
          <w:sz w:val="26"/>
          <w:szCs w:val="26"/>
        </w:rPr>
        <w:t xml:space="preserve">4. Unit Testing</w:t>
      </w:r>
    </w:p>
    <w:p>
      <w:pPr>
        <w:spacing w:after="120" w:line="276"/>
      </w:pPr>
      <w:r>
        <w:rPr>
          <w:sz w:val="21"/>
          <w:szCs w:val="21"/>
        </w:rPr>
        <w:t xml:space="preserve">Unit tests target the pure functions of capstone_pipeline.py. Representative test cases (the suite will extend this table; IDs are stable for traceability in status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700"/>
        <w:gridCol w:w="3100"/>
      </w:tblGrid>
      <w:tr>
        <w:trPr>
          <w:tblHeader/>
        </w:trPr>
        <w:tc>
          <w:tcPr>
            <w:tcW w:type="dxa" w:w="880"/>
            <w:shd w:fill="1F3864" w:val="clear"/>
            <w:tcMar>
              <w:top w:type="dxa" w:w="50"/>
              <w:left w:type="dxa" w:w="90"/>
              <w:bottom w:type="dxa" w:w="50"/>
              <w:right w:type="dxa" w:w="90"/>
            </w:tcMar>
          </w:tcPr>
          <w:p>
            <w:pPr>
              <w:spacing w:after="0" w:line="240"/>
            </w:pPr>
            <w:r>
              <w:rPr>
                <w:b/>
                <w:bCs/>
                <w:color w:val="FFFFFF"/>
                <w:sz w:val="18"/>
                <w:szCs w:val="18"/>
              </w:rPr>
              <w:t xml:space="preserve">ID</w:t>
            </w:r>
          </w:p>
        </w:tc>
        <w:tc>
          <w:tcPr>
            <w:tcW w:type="dxa" w:w="2680"/>
            <w:shd w:fill="1F3864" w:val="clear"/>
            <w:tcMar>
              <w:top w:type="dxa" w:w="50"/>
              <w:left w:type="dxa" w:w="90"/>
              <w:bottom w:type="dxa" w:w="50"/>
              <w:right w:type="dxa" w:w="90"/>
            </w:tcMar>
          </w:tcPr>
          <w:p>
            <w:pPr>
              <w:spacing w:after="0" w:line="240"/>
            </w:pPr>
            <w:r>
              <w:rPr>
                <w:b/>
                <w:bCs/>
                <w:color w:val="FFFFFF"/>
                <w:sz w:val="18"/>
                <w:szCs w:val="18"/>
              </w:rPr>
              <w:t xml:space="preserve">Scenario</w:t>
            </w:r>
          </w:p>
        </w:tc>
        <w:tc>
          <w:tcPr>
            <w:tcW w:type="dxa" w:w="2700"/>
            <w:shd w:fill="1F3864" w:val="clear"/>
            <w:tcMar>
              <w:top w:type="dxa" w:w="50"/>
              <w:left w:type="dxa" w:w="90"/>
              <w:bottom w:type="dxa" w:w="50"/>
              <w:right w:type="dxa" w:w="90"/>
            </w:tcMar>
          </w:tcPr>
          <w:p>
            <w:pPr>
              <w:spacing w:after="0" w:line="240"/>
            </w:pPr>
            <w:r>
              <w:rPr>
                <w:b/>
                <w:bCs/>
                <w:color w:val="FFFFFF"/>
                <w:sz w:val="18"/>
                <w:szCs w:val="18"/>
              </w:rPr>
              <w:t xml:space="preserve">Input / test data</w:t>
            </w:r>
          </w:p>
        </w:tc>
        <w:tc>
          <w:tcPr>
            <w:tcW w:type="dxa" w:w="3100"/>
            <w:shd w:fill="1F3864" w:val="clear"/>
            <w:tcMar>
              <w:top w:type="dxa" w:w="50"/>
              <w:left w:type="dxa" w:w="90"/>
              <w:bottom w:type="dxa" w:w="50"/>
              <w:right w:type="dxa" w:w="90"/>
            </w:tcMar>
          </w:tcPr>
          <w:p>
            <w:pPr>
              <w:spacing w:after="0" w:line="240"/>
            </w:pPr>
            <w:r>
              <w:rPr>
                <w:b/>
                <w:bCs/>
                <w:color w:val="FFFFFF"/>
                <w:sz w:val="18"/>
                <w:szCs w:val="18"/>
              </w:rPr>
              <w:t xml:space="preserve">Expected output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U-01</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Adstock convention (normalized)</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x = [100,0,0,0,0], decay 0.5 → adstock()</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a₁=(1−λ)x₁; geometric decay thereafter; Σadstock ≈ Σraw as spikes flush (totals check passes)</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U-02</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Adstock zero decay</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Any series, decay 0</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Output identical to input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U-03</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Decay suggestion by media type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Column names containing “search”, “CTV”</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_suggest_decay → 0.2 for search, 0.7 for CTV, 0.5 default</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U-04</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Week parsing</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String, datetime, and Excel-serial week values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_parse_week returns correct datetime; invalid → None</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U-05</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Slice loading</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Brand 1 sheet, Channel 1</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load_slice returns 156 weekly rows, sorted by week, one row per week</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U-06</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Target-decomposition exclusion</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Config generated for a sheet with Volume/Dollar Sales components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generate_variable_config marks all target decompositions role=exclude for the chosen target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U-07</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Config round-trip</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Edited config CSV (signs, bounds, decays, roles)</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load_variable_config reproduces every field; invalid roles/signs rejected with clear error</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U-08</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VIF computation</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3-variable matrix with one exact linear combination</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_vif_all flags the redundant variable (VIF → ∞/huge); prune_by_vif removes it, keeps the rest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U-09</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Force-role bypasses pruning</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Collinear matrix where the redundant variable is role=force</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prune_by_vif retains the forced variable regardless of VIF</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U-10</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Stepwise recovery</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y = 2x₁ − 3x₂ + noise, 10 candidate variables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forward_stepwise selects x₁, x₂ (p_enter honored); no spurious entries at n=104</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U-11</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Bounds construction</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Specs with sign +, sign −, custom box, unconstrained</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_bounds_from_specs yields (0,∞), (−∞,0), the box, (−∞,∞) respectively</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U-12</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Constrained fit honors bounds</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Data whose OLS solution violates a sign constraint</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constrained_fit coefficient lands on the bound; never violates it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U-13</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Fit equivalence to sponsor reference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Brand 1 × Channel 1 design matrix</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lsq_linear coefficients match curve_fit reference within 1e-6 relative (currently 3.1e-07)</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U-14</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Model-year assignment</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156 weekly dates, 52-week years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assign_model_years labels 3 years, newest complete year last; boundaries fall on week multiples</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U-15</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Due-tos reconcile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Any fitted slice</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contributions_by_year: intercept its own line; Σ(contributions) = Σ(fitted) per year to 1e-8</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U-16</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Execution-week masking</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Media variable active in 10 of 104 weeks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avg_weekly_contributions averages over the 10 execution weeks only</w:t>
            </w:r>
          </w:p>
        </w:tc>
      </w:tr>
    </w:tbl>
    <w:p>
      <w:pPr>
        <w:pStyle w:val="Heading1"/>
        <w:spacing w:after="120" w:before="280"/>
      </w:pPr>
      <w:r>
        <w:rPr>
          <w:b/>
          <w:bCs/>
          <w:color w:val="1F3864"/>
          <w:sz w:val="26"/>
          <w:szCs w:val="26"/>
        </w:rPr>
        <w:t xml:space="preserve">5. Integration Testing</w:t>
      </w:r>
    </w:p>
    <w:p>
      <w:pPr>
        <w:spacing w:after="120" w:line="276"/>
      </w:pPr>
      <w:r>
        <w:rPr>
          <w:sz w:val="21"/>
          <w:szCs w:val="21"/>
        </w:rPr>
        <w:t xml:space="preserve">Integration tests exercise the composed pipeline (config → features → selection → fit → reporting) and the dashboard's data-access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700"/>
        <w:gridCol w:w="3100"/>
      </w:tblGrid>
      <w:tr>
        <w:trPr>
          <w:tblHeader/>
        </w:trPr>
        <w:tc>
          <w:tcPr>
            <w:tcW w:type="dxa" w:w="880"/>
            <w:shd w:fill="1F3864" w:val="clear"/>
            <w:tcMar>
              <w:top w:type="dxa" w:w="50"/>
              <w:left w:type="dxa" w:w="90"/>
              <w:bottom w:type="dxa" w:w="50"/>
              <w:right w:type="dxa" w:w="90"/>
            </w:tcMar>
          </w:tcPr>
          <w:p>
            <w:pPr>
              <w:spacing w:after="0" w:line="240"/>
            </w:pPr>
            <w:r>
              <w:rPr>
                <w:b/>
                <w:bCs/>
                <w:color w:val="FFFFFF"/>
                <w:sz w:val="18"/>
                <w:szCs w:val="18"/>
              </w:rPr>
              <w:t xml:space="preserve">ID</w:t>
            </w:r>
          </w:p>
        </w:tc>
        <w:tc>
          <w:tcPr>
            <w:tcW w:type="dxa" w:w="2680"/>
            <w:shd w:fill="1F3864" w:val="clear"/>
            <w:tcMar>
              <w:top w:type="dxa" w:w="50"/>
              <w:left w:type="dxa" w:w="90"/>
              <w:bottom w:type="dxa" w:w="50"/>
              <w:right w:type="dxa" w:w="90"/>
            </w:tcMar>
          </w:tcPr>
          <w:p>
            <w:pPr>
              <w:spacing w:after="0" w:line="240"/>
            </w:pPr>
            <w:r>
              <w:rPr>
                <w:b/>
                <w:bCs/>
                <w:color w:val="FFFFFF"/>
                <w:sz w:val="18"/>
                <w:szCs w:val="18"/>
              </w:rPr>
              <w:t xml:space="preserve">Scenario</w:t>
            </w:r>
          </w:p>
        </w:tc>
        <w:tc>
          <w:tcPr>
            <w:tcW w:type="dxa" w:w="2700"/>
            <w:shd w:fill="1F3864" w:val="clear"/>
            <w:tcMar>
              <w:top w:type="dxa" w:w="50"/>
              <w:left w:type="dxa" w:w="90"/>
              <w:bottom w:type="dxa" w:w="50"/>
              <w:right w:type="dxa" w:w="90"/>
            </w:tcMar>
          </w:tcPr>
          <w:p>
            <w:pPr>
              <w:spacing w:after="0" w:line="240"/>
            </w:pPr>
            <w:r>
              <w:rPr>
                <w:b/>
                <w:bCs/>
                <w:color w:val="FFFFFF"/>
                <w:sz w:val="18"/>
                <w:szCs w:val="18"/>
              </w:rPr>
              <w:t xml:space="preserve">Input / test data</w:t>
            </w:r>
          </w:p>
        </w:tc>
        <w:tc>
          <w:tcPr>
            <w:tcW w:type="dxa" w:w="3100"/>
            <w:shd w:fill="1F3864" w:val="clear"/>
            <w:tcMar>
              <w:top w:type="dxa" w:w="50"/>
              <w:left w:type="dxa" w:w="90"/>
              <w:bottom w:type="dxa" w:w="50"/>
              <w:right w:type="dxa" w:w="90"/>
            </w:tcMar>
          </w:tcPr>
          <w:p>
            <w:pPr>
              <w:spacing w:after="0" w:line="240"/>
            </w:pPr>
            <w:r>
              <w:rPr>
                <w:b/>
                <w:bCs/>
                <w:color w:val="FFFFFF"/>
                <w:sz w:val="18"/>
                <w:szCs w:val="18"/>
              </w:rPr>
              <w:t xml:space="preserve">Expected output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I-01</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Single-slice end to end</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run_slice on Brand 1 × Channel 1, default config</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Reproduces golden coefficients, R² 0.83 ± tolerance, holdout MAPE within pinned range; totals check passes</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I-02</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Force-variable workflow (case study)</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Same slice with ACV Weighted Distribution role=force</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Variable enters despite in-sample p=0.93; holdout MAPE drops from ~73% to ~32%; R² ≈ 0.828</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I-03</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Exclude-variable workflow</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Config excluding a previously selected variable</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Variable absent from model; pipeline refits without error; reports reflect removal</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I-04</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Configurable target</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Same slice, target = Dollar Sales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Pipeline runs; target decompositions for the new target auto-excluded; price coefficient sign change surfaces (known behavior)</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I-05</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Full batch</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run_all.py on the anonymized workbook</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80 models built, 2 all-zero slices skipped with reason; all_models_summary.csv schema stable; median R² ≈ 0.89, median holdout MAPE ≈ 10%</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I-06</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Sheet/target auto-detection</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Anonymized workbook + synthetic alien workbook</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detect_product_sheets finds all product sheets in both; target_choices lists valid targets; Brand 2's numeric column header 0 does not crash discovery (regression)</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I-07</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Per-dataset config isolation</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Two different workbooks loaded in sequence</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load_or_create_config writes separate config files; neither clobbers the other</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I-08</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Batch from UI layer</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run_batch via dashboard code path (headless)</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Same results as run_all.py; saved per-product configs applied</w:t>
            </w:r>
          </w:p>
        </w:tc>
      </w:tr>
    </w:tbl>
    <w:p>
      <w:pPr>
        <w:pStyle w:val="Heading1"/>
        <w:spacing w:after="120" w:before="280"/>
      </w:pPr>
      <w:r>
        <w:rPr>
          <w:b/>
          <w:bCs/>
          <w:color w:val="1F3864"/>
          <w:sz w:val="26"/>
          <w:szCs w:val="26"/>
        </w:rPr>
        <w:t xml:space="preserve">6. System Testing</w:t>
      </w:r>
    </w:p>
    <w:p>
      <w:pPr>
        <w:spacing w:after="120" w:line="276"/>
      </w:pPr>
      <w:r>
        <w:rPr>
          <w:sz w:val="21"/>
          <w:szCs w:val="21"/>
        </w:rPr>
        <w:t xml:space="preserve">System tests validate the complete tool against the functional requirements, through the UI, on realistic data. UI walkthroughs are scripted (steps + expected screen state) and executed manually each test cycle; the startup wiring audit (_validate_wiring) must pass before any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700"/>
        <w:gridCol w:w="3100"/>
      </w:tblGrid>
      <w:tr>
        <w:trPr>
          <w:tblHeader/>
        </w:trPr>
        <w:tc>
          <w:tcPr>
            <w:tcW w:type="dxa" w:w="880"/>
            <w:shd w:fill="1F3864" w:val="clear"/>
            <w:tcMar>
              <w:top w:type="dxa" w:w="50"/>
              <w:left w:type="dxa" w:w="90"/>
              <w:bottom w:type="dxa" w:w="50"/>
              <w:right w:type="dxa" w:w="90"/>
            </w:tcMar>
          </w:tcPr>
          <w:p>
            <w:pPr>
              <w:spacing w:after="0" w:line="240"/>
            </w:pPr>
            <w:r>
              <w:rPr>
                <w:b/>
                <w:bCs/>
                <w:color w:val="FFFFFF"/>
                <w:sz w:val="18"/>
                <w:szCs w:val="18"/>
              </w:rPr>
              <w:t xml:space="preserve">ID</w:t>
            </w:r>
          </w:p>
        </w:tc>
        <w:tc>
          <w:tcPr>
            <w:tcW w:type="dxa" w:w="2680"/>
            <w:shd w:fill="1F3864" w:val="clear"/>
            <w:tcMar>
              <w:top w:type="dxa" w:w="50"/>
              <w:left w:type="dxa" w:w="90"/>
              <w:bottom w:type="dxa" w:w="50"/>
              <w:right w:type="dxa" w:w="90"/>
            </w:tcMar>
          </w:tcPr>
          <w:p>
            <w:pPr>
              <w:spacing w:after="0" w:line="240"/>
            </w:pPr>
            <w:r>
              <w:rPr>
                <w:b/>
                <w:bCs/>
                <w:color w:val="FFFFFF"/>
                <w:sz w:val="18"/>
                <w:szCs w:val="18"/>
              </w:rPr>
              <w:t xml:space="preserve">Scenario</w:t>
            </w:r>
          </w:p>
        </w:tc>
        <w:tc>
          <w:tcPr>
            <w:tcW w:type="dxa" w:w="2700"/>
            <w:shd w:fill="1F3864" w:val="clear"/>
            <w:tcMar>
              <w:top w:type="dxa" w:w="50"/>
              <w:left w:type="dxa" w:w="90"/>
              <w:bottom w:type="dxa" w:w="50"/>
              <w:right w:type="dxa" w:w="90"/>
            </w:tcMar>
          </w:tcPr>
          <w:p>
            <w:pPr>
              <w:spacing w:after="0" w:line="240"/>
            </w:pPr>
            <w:r>
              <w:rPr>
                <w:b/>
                <w:bCs/>
                <w:color w:val="FFFFFF"/>
                <w:sz w:val="18"/>
                <w:szCs w:val="18"/>
              </w:rPr>
              <w:t xml:space="preserve">Input / test data</w:t>
            </w:r>
          </w:p>
        </w:tc>
        <w:tc>
          <w:tcPr>
            <w:tcW w:type="dxa" w:w="3100"/>
            <w:shd w:fill="1F3864" w:val="clear"/>
            <w:tcMar>
              <w:top w:type="dxa" w:w="50"/>
              <w:left w:type="dxa" w:w="90"/>
              <w:bottom w:type="dxa" w:w="50"/>
              <w:right w:type="dxa" w:w="90"/>
            </w:tcMar>
          </w:tcPr>
          <w:p>
            <w:pPr>
              <w:spacing w:after="0" w:line="240"/>
            </w:pPr>
            <w:r>
              <w:rPr>
                <w:b/>
                <w:bCs/>
                <w:color w:val="FFFFFF"/>
                <w:sz w:val="18"/>
                <w:szCs w:val="18"/>
              </w:rPr>
              <w:t xml:space="preserve">Expected output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S-01</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Fresh-start batch</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Clean checkout → launch dashboard → load anonymized workbook → Run all</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App starts with wiring audit clean; batch completes ≈ 10 s; batch overview shows 80 models with health dots; high-MAPE rows red-flagged</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S-02</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Drill-down &amp; diagnostics</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Click through from batch overview to Brand 1 × Channel 1</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Fit metrics, actual-vs-fitted with holdout forecast, residuals, coefficient table all render and match engine outputs</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S-03</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Modify &amp; re-run from UI</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Edit variable controls (force ACV), save, re-run slice</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Validation accepts edit; re-run reflects forced variable; contributions and metrics update; config persisted</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S-04</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New client datafile</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Load synthetic alien-format workbook via UI</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Sheets/targets auto-detected; configs generated; batch runs with zero code changes</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S-05</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Bad-input handling</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Zero-byte file; workbook with missing key columns; empty sheet; #N/A channels</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Clear user-facing error or clean skip with reason; no crash, no silent wrong numbers</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S-06</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Reproducibility</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Same inputs run twice</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Byte-identical coefficient tables and summaries</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S-07</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Performance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Full 82-combination batch</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Completes in under 60 s on a standard laptop (current ≈ 9 s)</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S-08</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Contribution reporting rules</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Any completed slice</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Intercept reported as own line; due-tos summed by model year with YoY; media averages over execution weeks only — verified against engine values</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S-09</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Stress at production volume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Synthetic workbook scaled to ~50 product sheets (~450 slices); repeated back-to-back batch runs from the UI</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Batch completes without memory growth or crash; runtime scales roughly linearly; UI stays responsive; results for embedded known slices unchanged</w:t>
            </w:r>
          </w:p>
        </w:tc>
      </w:tr>
    </w:tbl>
    <w:p>
      <w:pPr>
        <w:pStyle w:val="Heading1"/>
        <w:spacing w:after="120" w:before="280"/>
      </w:pPr>
      <w:r>
        <w:rPr>
          <w:b/>
          <w:bCs/>
          <w:color w:val="1F3864"/>
          <w:sz w:val="26"/>
          <w:szCs w:val="26"/>
        </w:rPr>
        <w:t xml:space="preserve">7. User Acceptance Testing</w:t>
      </w:r>
    </w:p>
    <w:p>
      <w:pPr>
        <w:spacing w:after="120" w:line="276"/>
      </w:pPr>
      <w:r>
        <w:rPr>
          <w:sz w:val="21"/>
          <w:szCs w:val="21"/>
        </w:rPr>
        <w:t xml:space="preserve">UAT runs in August with the sponsor (Alex Hathcock) and, per course guidance, may engage the peer capstone team as proxy non-technical analysts. Participants receive only the tool and a one-page task sheet — no coaching — and work through the scenarios below while we observe and record friction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700"/>
        <w:gridCol w:w="3100"/>
      </w:tblGrid>
      <w:tr>
        <w:trPr>
          <w:tblHeader/>
        </w:trPr>
        <w:tc>
          <w:tcPr>
            <w:tcW w:type="dxa" w:w="880"/>
            <w:shd w:fill="1F3864" w:val="clear"/>
            <w:tcMar>
              <w:top w:type="dxa" w:w="50"/>
              <w:left w:type="dxa" w:w="90"/>
              <w:bottom w:type="dxa" w:w="50"/>
              <w:right w:type="dxa" w:w="90"/>
            </w:tcMar>
          </w:tcPr>
          <w:p>
            <w:pPr>
              <w:spacing w:after="0" w:line="240"/>
            </w:pPr>
            <w:r>
              <w:rPr>
                <w:b/>
                <w:bCs/>
                <w:color w:val="FFFFFF"/>
                <w:sz w:val="18"/>
                <w:szCs w:val="18"/>
              </w:rPr>
              <w:t xml:space="preserve">ID</w:t>
            </w:r>
          </w:p>
        </w:tc>
        <w:tc>
          <w:tcPr>
            <w:tcW w:type="dxa" w:w="2680"/>
            <w:shd w:fill="1F3864" w:val="clear"/>
            <w:tcMar>
              <w:top w:type="dxa" w:w="50"/>
              <w:left w:type="dxa" w:w="90"/>
              <w:bottom w:type="dxa" w:w="50"/>
              <w:right w:type="dxa" w:w="90"/>
            </w:tcMar>
          </w:tcPr>
          <w:p>
            <w:pPr>
              <w:spacing w:after="0" w:line="240"/>
            </w:pPr>
            <w:r>
              <w:rPr>
                <w:b/>
                <w:bCs/>
                <w:color w:val="FFFFFF"/>
                <w:sz w:val="18"/>
                <w:szCs w:val="18"/>
              </w:rPr>
              <w:t xml:space="preserve">Scenario</w:t>
            </w:r>
          </w:p>
        </w:tc>
        <w:tc>
          <w:tcPr>
            <w:tcW w:type="dxa" w:w="2700"/>
            <w:shd w:fill="1F3864" w:val="clear"/>
            <w:tcMar>
              <w:top w:type="dxa" w:w="50"/>
              <w:left w:type="dxa" w:w="90"/>
              <w:bottom w:type="dxa" w:w="50"/>
              <w:right w:type="dxa" w:w="90"/>
            </w:tcMar>
          </w:tcPr>
          <w:p>
            <w:pPr>
              <w:spacing w:after="0" w:line="240"/>
            </w:pPr>
            <w:r>
              <w:rPr>
                <w:b/>
                <w:bCs/>
                <w:color w:val="FFFFFF"/>
                <w:sz w:val="18"/>
                <w:szCs w:val="18"/>
              </w:rPr>
              <w:t xml:space="preserve">Input / test data</w:t>
            </w:r>
          </w:p>
        </w:tc>
        <w:tc>
          <w:tcPr>
            <w:tcW w:type="dxa" w:w="3100"/>
            <w:shd w:fill="1F3864" w:val="clear"/>
            <w:tcMar>
              <w:top w:type="dxa" w:w="50"/>
              <w:left w:type="dxa" w:w="90"/>
              <w:bottom w:type="dxa" w:w="50"/>
              <w:right w:type="dxa" w:w="90"/>
            </w:tcMar>
          </w:tcPr>
          <w:p>
            <w:pPr>
              <w:spacing w:after="0" w:line="240"/>
            </w:pPr>
            <w:r>
              <w:rPr>
                <w:b/>
                <w:bCs/>
                <w:color w:val="FFFFFF"/>
                <w:sz w:val="18"/>
                <w:szCs w:val="18"/>
              </w:rPr>
              <w:t xml:space="preserve">Expected output</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A-01</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First-run experience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Task sheet: “load this file and model everything”</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Participant completes load → Run all unaided in under 10 minutes; understands the batch overview</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A-02</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Find the problem models</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“Which models would you not trust?”</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Participant identifies red-flagged high-MAPE slices from the overview without help</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A-03</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Analyst override</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“The client insists distribution matters for Brand 1 Channel 1 — make the model respect that”</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Participant forces the variable via controls, re-runs, and observes the holdout improvement</w:t>
            </w:r>
          </w:p>
        </w:tc>
      </w:tr>
      <w:tr>
        <w:tc>
          <w:tcPr>
            <w:tcW w:type="dxa" w:w="880"/>
            <w:shd w:fill="F2F4F8" w:val="clear"/>
            <w:tcMar>
              <w:top w:type="dxa" w:w="50"/>
              <w:left w:type="dxa" w:w="90"/>
              <w:bottom w:type="dxa" w:w="50"/>
              <w:right w:type="dxa" w:w="90"/>
            </w:tcMar>
          </w:tcPr>
          <w:p>
            <w:pPr>
              <w:spacing w:after="0" w:line="240"/>
            </w:pPr>
            <w:r>
              <w:rPr>
                <w:b w:val="false"/>
                <w:bCs w:val="false"/>
                <w:color w:val="000000"/>
                <w:sz w:val="18"/>
                <w:szCs w:val="18"/>
              </w:rPr>
              <w:t xml:space="preserve">A-04</w:t>
            </w:r>
          </w:p>
        </w:tc>
        <w:tc>
          <w:tcPr>
            <w:tcW w:type="dxa" w:w="2680"/>
            <w:shd w:fill="F2F4F8" w:val="clear"/>
            <w:tcMar>
              <w:top w:type="dxa" w:w="50"/>
              <w:left w:type="dxa" w:w="90"/>
              <w:bottom w:type="dxa" w:w="50"/>
              <w:right w:type="dxa" w:w="90"/>
            </w:tcMar>
          </w:tcPr>
          <w:p>
            <w:pPr>
              <w:spacing w:after="0" w:line="240"/>
            </w:pPr>
            <w:r>
              <w:rPr>
                <w:b w:val="false"/>
                <w:bCs w:val="false"/>
                <w:color w:val="000000"/>
                <w:sz w:val="18"/>
                <w:szCs w:val="18"/>
              </w:rPr>
              <w:t xml:space="preserve">Read the due-tos</w:t>
            </w:r>
          </w:p>
        </w:tc>
        <w:tc>
          <w:tcPr>
            <w:tcW w:type="dxa" w:w="2700"/>
            <w:shd w:fill="F2F4F8" w:val="clear"/>
            <w:tcMar>
              <w:top w:type="dxa" w:w="50"/>
              <w:left w:type="dxa" w:w="90"/>
              <w:bottom w:type="dxa" w:w="50"/>
              <w:right w:type="dxa" w:w="90"/>
            </w:tcMar>
          </w:tcPr>
          <w:p>
            <w:pPr>
              <w:spacing w:after="0" w:line="240"/>
            </w:pPr>
            <w:r>
              <w:rPr>
                <w:b w:val="false"/>
                <w:bCs w:val="false"/>
                <w:color w:val="000000"/>
                <w:sz w:val="18"/>
                <w:szCs w:val="18"/>
              </w:rPr>
              <w:t xml:space="preserve">“What drove this brand's volume change year over year?”</w:t>
            </w:r>
          </w:p>
        </w:tc>
        <w:tc>
          <w:tcPr>
            <w:tcW w:type="dxa" w:w="3100"/>
            <w:shd w:fill="F2F4F8" w:val="clear"/>
            <w:tcMar>
              <w:top w:type="dxa" w:w="50"/>
              <w:left w:type="dxa" w:w="90"/>
              <w:bottom w:type="dxa" w:w="50"/>
              <w:right w:type="dxa" w:w="90"/>
            </w:tcMar>
          </w:tcPr>
          <w:p>
            <w:pPr>
              <w:spacing w:after="0" w:line="240"/>
            </w:pPr>
            <w:r>
              <w:rPr>
                <w:b w:val="false"/>
                <w:bCs w:val="false"/>
                <w:color w:val="000000"/>
                <w:sz w:val="18"/>
                <w:szCs w:val="18"/>
              </w:rPr>
              <w:t xml:space="preserve">Participant interprets the contributions tab correctly (signs, intercept line, YoY)</w:t>
            </w:r>
          </w:p>
        </w:tc>
      </w:tr>
      <w:tr>
        <w:tc>
          <w:tcPr>
            <w:tcW w:type="dxa" w:w="880"/>
            <w:tcMar>
              <w:top w:type="dxa" w:w="50"/>
              <w:left w:type="dxa" w:w="90"/>
              <w:bottom w:type="dxa" w:w="50"/>
              <w:right w:type="dxa" w:w="90"/>
            </w:tcMar>
          </w:tcPr>
          <w:p>
            <w:pPr>
              <w:spacing w:after="0" w:line="240"/>
            </w:pPr>
            <w:r>
              <w:rPr>
                <w:b w:val="false"/>
                <w:bCs w:val="false"/>
                <w:color w:val="000000"/>
                <w:sz w:val="18"/>
                <w:szCs w:val="18"/>
              </w:rPr>
              <w:t xml:space="preserve">A-05</w:t>
            </w:r>
          </w:p>
        </w:tc>
        <w:tc>
          <w:tcPr>
            <w:tcW w:type="dxa" w:w="2680"/>
            <w:tcMar>
              <w:top w:type="dxa" w:w="50"/>
              <w:left w:type="dxa" w:w="90"/>
              <w:bottom w:type="dxa" w:w="50"/>
              <w:right w:type="dxa" w:w="90"/>
            </w:tcMar>
          </w:tcPr>
          <w:p>
            <w:pPr>
              <w:spacing w:after="0" w:line="240"/>
            </w:pPr>
            <w:r>
              <w:rPr>
                <w:b w:val="false"/>
                <w:bCs w:val="false"/>
                <w:color w:val="000000"/>
                <w:sz w:val="18"/>
                <w:szCs w:val="18"/>
              </w:rPr>
              <w:t xml:space="preserve">New data, no help</w:t>
            </w:r>
          </w:p>
        </w:tc>
        <w:tc>
          <w:tcPr>
            <w:tcW w:type="dxa" w:w="2700"/>
            <w:tcMar>
              <w:top w:type="dxa" w:w="50"/>
              <w:left w:type="dxa" w:w="90"/>
              <w:bottom w:type="dxa" w:w="50"/>
              <w:right w:type="dxa" w:w="90"/>
            </w:tcMar>
          </w:tcPr>
          <w:p>
            <w:pPr>
              <w:spacing w:after="0" w:line="240"/>
            </w:pPr>
            <w:r>
              <w:rPr>
                <w:b w:val="false"/>
                <w:bCs w:val="false"/>
                <w:color w:val="000000"/>
                <w:sz w:val="18"/>
                <w:szCs w:val="18"/>
              </w:rPr>
              <w:t xml:space="preserve">Unseen workbook in a different layout</w:t>
            </w:r>
          </w:p>
        </w:tc>
        <w:tc>
          <w:tcPr>
            <w:tcW w:type="dxa" w:w="3100"/>
            <w:tcMar>
              <w:top w:type="dxa" w:w="50"/>
              <w:left w:type="dxa" w:w="90"/>
              <w:bottom w:type="dxa" w:w="50"/>
              <w:right w:type="dxa" w:w="90"/>
            </w:tcMar>
          </w:tcPr>
          <w:p>
            <w:pPr>
              <w:spacing w:after="0" w:line="240"/>
            </w:pPr>
            <w:r>
              <w:rPr>
                <w:b w:val="false"/>
                <w:bCs w:val="false"/>
                <w:color w:val="000000"/>
                <w:sz w:val="18"/>
                <w:szCs w:val="18"/>
              </w:rPr>
              <w:t xml:space="preserve">Participant loads and batch-runs it without developer intervention</w:t>
            </w:r>
          </w:p>
        </w:tc>
      </w:tr>
    </w:tbl>
    <w:p>
      <w:pPr>
        <w:pStyle w:val="Heading2"/>
        <w:spacing w:after="100" w:before="200"/>
      </w:pPr>
      <w:r>
        <w:rPr>
          <w:b/>
          <w:bCs/>
          <w:color w:val="1F3864"/>
          <w:sz w:val="22"/>
          <w:szCs w:val="22"/>
        </w:rPr>
        <w:t xml:space="preserve">7.1 Acceptance criteria</w:t>
      </w:r>
    </w:p>
    <w:p>
      <w:pPr>
        <w:pStyle w:val="ListParagraph"/>
        <w:numPr>
          <w:ilvl w:val="0"/>
          <w:numId w:val="2"/>
        </w:numPr>
        <w:spacing w:after="60" w:line="276"/>
      </w:pPr>
      <w:r>
        <w:rPr>
          <w:sz w:val="21"/>
          <w:szCs w:val="21"/>
        </w:rPr>
        <w:t xml:space="preserve">All A-scenarios completed by at least one non-developer participant without code-level assistance.</w:t>
      </w:r>
    </w:p>
    <w:p>
      <w:pPr>
        <w:pStyle w:val="ListParagraph"/>
        <w:numPr>
          <w:ilvl w:val="0"/>
          <w:numId w:val="2"/>
        </w:numPr>
        <w:spacing w:after="60" w:line="276"/>
      </w:pPr>
      <w:r>
        <w:rPr>
          <w:sz w:val="21"/>
          <w:szCs w:val="21"/>
        </w:rPr>
        <w:t xml:space="preserve">Sponsor confirms modeling conventions (adstock, window, contribution rules) match Big Chalk practice.</w:t>
      </w:r>
    </w:p>
    <w:p>
      <w:pPr>
        <w:pStyle w:val="ListParagraph"/>
        <w:numPr>
          <w:ilvl w:val="0"/>
          <w:numId w:val="2"/>
        </w:numPr>
        <w:spacing w:after="60" w:line="276"/>
      </w:pPr>
      <w:r>
        <w:rPr>
          <w:sz w:val="21"/>
          <w:szCs w:val="21"/>
        </w:rPr>
        <w:t xml:space="preserve">No open critical or major defects; every flagged model has a documented reason or workaround.</w:t>
      </w:r>
    </w:p>
    <w:p>
      <w:pPr>
        <w:pStyle w:val="Heading1"/>
        <w:spacing w:after="120" w:before="280"/>
      </w:pPr>
      <w:r>
        <w:rPr>
          <w:b/>
          <w:bCs/>
          <w:color w:val="1F3864"/>
          <w:sz w:val="26"/>
          <w:szCs w:val="26"/>
        </w:rPr>
        <w:t xml:space="preserve">8. Test Reporting and Defect Management</w:t>
      </w:r>
    </w:p>
    <w:p>
      <w:pPr>
        <w:pStyle w:val="ListParagraph"/>
        <w:numPr>
          <w:ilvl w:val="0"/>
          <w:numId w:val="2"/>
        </w:numPr>
        <w:spacing w:after="60" w:line="276"/>
      </w:pPr>
      <w:r>
        <w:rPr>
          <w:b/>
          <w:bCs/>
          <w:sz w:val="21"/>
          <w:szCs w:val="21"/>
        </w:rPr>
        <w:t xml:space="preserve">Test reports: </w:t>
      </w:r>
      <w:r>
        <w:rPr>
          <w:sz w:val="21"/>
          <w:szCs w:val="21"/>
        </w:rPr>
        <w:t xml:space="preserve">each status report includes the pytest summary (pass/fail counts by level), the test data and inputs used, expected vs. actual outputs for any failures, and UAT observations once those cycles begin.</w:t>
      </w:r>
    </w:p>
    <w:p>
      <w:pPr>
        <w:pStyle w:val="ListParagraph"/>
        <w:numPr>
          <w:ilvl w:val="0"/>
          <w:numId w:val="2"/>
        </w:numPr>
        <w:spacing w:after="60" w:line="276"/>
      </w:pPr>
      <w:r>
        <w:rPr>
          <w:b/>
          <w:bCs/>
          <w:sz w:val="21"/>
          <w:szCs w:val="21"/>
        </w:rPr>
        <w:t xml:space="preserve">Defect tracking: </w:t>
      </w:r>
      <w:r>
        <w:rPr>
          <w:sz w:val="21"/>
          <w:szCs w:val="21"/>
        </w:rPr>
        <w:t xml:space="preserve">GitHub issues with severity — critical (wrong numbers or crash on valid input), major (requirement not met), minor (usability/cosmetic). Critical and major defects block release; each fix lands with a regression test.</w:t>
      </w:r>
    </w:p>
    <w:p>
      <w:pPr>
        <w:pStyle w:val="ListParagraph"/>
        <w:numPr>
          <w:ilvl w:val="0"/>
          <w:numId w:val="2"/>
        </w:numPr>
        <w:spacing w:after="60" w:line="276"/>
      </w:pPr>
      <w:r>
        <w:rPr>
          <w:b/>
          <w:bCs/>
          <w:sz w:val="21"/>
          <w:szCs w:val="21"/>
        </w:rPr>
        <w:t xml:space="preserve">Known past defects as regression tests: </w:t>
      </w:r>
      <w:r>
        <w:rPr>
          <w:sz w:val="21"/>
          <w:szCs w:val="21"/>
        </w:rPr>
        <w:t xml:space="preserve">Brand 2's numeric column header crashing target discovery, and the falsy empty Dash component that silently disabled the Run callback — both already fixed, both encoded as permanent tests.</w:t>
      </w:r>
    </w:p>
    <w:p>
      <w:pPr>
        <w:pStyle w:val="Heading1"/>
        <w:spacing w:after="120" w:before="280"/>
      </w:pPr>
      <w:r>
        <w:rPr>
          <w:b/>
          <w:bCs/>
          <w:color w:val="1F3864"/>
          <w:sz w:val="26"/>
          <w:szCs w:val="26"/>
        </w:rPr>
        <w:t xml:space="preserve">9. Schedule, Responsibilities, and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60"/>
        <w:gridCol w:w="3900"/>
      </w:tblGrid>
      <w:tr>
        <w:trPr>
          <w:tblHeader/>
        </w:trPr>
        <w:tc>
          <w:tcPr>
            <w:tcW w:type="dxa" w:w="2900"/>
            <w:shd w:fill="1F3864" w:val="clear"/>
            <w:tcMar>
              <w:top w:type="dxa" w:w="50"/>
              <w:left w:type="dxa" w:w="90"/>
              <w:bottom w:type="dxa" w:w="50"/>
              <w:right w:type="dxa" w:w="90"/>
            </w:tcMar>
          </w:tcPr>
          <w:p>
            <w:pPr>
              <w:spacing w:after="0" w:line="240"/>
            </w:pPr>
            <w:r>
              <w:rPr>
                <w:b/>
                <w:bCs/>
                <w:color w:val="FFFFFF"/>
                <w:sz w:val="18"/>
                <w:szCs w:val="18"/>
              </w:rPr>
              <w:t xml:space="preserve">Activity</w:t>
            </w:r>
          </w:p>
        </w:tc>
        <w:tc>
          <w:tcPr>
            <w:tcW w:type="dxa" w:w="2560"/>
            <w:shd w:fill="1F3864" w:val="clear"/>
            <w:tcMar>
              <w:top w:type="dxa" w:w="50"/>
              <w:left w:type="dxa" w:w="90"/>
              <w:bottom w:type="dxa" w:w="50"/>
              <w:right w:type="dxa" w:w="90"/>
            </w:tcMar>
          </w:tcPr>
          <w:p>
            <w:pPr>
              <w:spacing w:after="0" w:line="240"/>
            </w:pPr>
            <w:r>
              <w:rPr>
                <w:b/>
                <w:bCs/>
                <w:color w:val="FFFFFF"/>
                <w:sz w:val="18"/>
                <w:szCs w:val="18"/>
              </w:rPr>
              <w:t xml:space="preserve">Window</w:t>
            </w:r>
          </w:p>
        </w:tc>
        <w:tc>
          <w:tcPr>
            <w:tcW w:type="dxa" w:w="3900"/>
            <w:shd w:fill="1F3864" w:val="clear"/>
            <w:tcMar>
              <w:top w:type="dxa" w:w="50"/>
              <w:left w:type="dxa" w:w="90"/>
              <w:bottom w:type="dxa" w:w="50"/>
              <w:right w:type="dxa" w:w="90"/>
            </w:tcMar>
          </w:tcPr>
          <w:p>
            <w:pPr>
              <w:spacing w:after="0" w:line="240"/>
            </w:pPr>
            <w:r>
              <w:rPr>
                <w:b/>
                <w:bCs/>
                <w:color w:val="FFFFFF"/>
                <w:sz w:val="18"/>
                <w:szCs w:val="18"/>
              </w:rPr>
              <w:t xml:space="preserve">Notes</w:t>
            </w:r>
          </w:p>
        </w:tc>
      </w:tr>
      <w:tr>
        <w:tc>
          <w:tcPr>
            <w:tcW w:type="dxa" w:w="2900"/>
            <w:tcMar>
              <w:top w:type="dxa" w:w="50"/>
              <w:left w:type="dxa" w:w="90"/>
              <w:bottom w:type="dxa" w:w="50"/>
              <w:right w:type="dxa" w:w="90"/>
            </w:tcMar>
          </w:tcPr>
          <w:p>
            <w:pPr>
              <w:spacing w:after="0" w:line="240"/>
            </w:pPr>
            <w:r>
              <w:rPr>
                <w:b w:val="false"/>
                <w:bCs w:val="false"/>
                <w:color w:val="000000"/>
                <w:sz w:val="18"/>
                <w:szCs w:val="18"/>
              </w:rPr>
              <w:t xml:space="preserve">Build pytest suite (unit + integration)</w:t>
            </w:r>
          </w:p>
        </w:tc>
        <w:tc>
          <w:tcPr>
            <w:tcW w:type="dxa" w:w="2560"/>
            <w:tcMar>
              <w:top w:type="dxa" w:w="50"/>
              <w:left w:type="dxa" w:w="90"/>
              <w:bottom w:type="dxa" w:w="50"/>
              <w:right w:type="dxa" w:w="90"/>
            </w:tcMar>
          </w:tcPr>
          <w:p>
            <w:pPr>
              <w:spacing w:after="0" w:line="240"/>
            </w:pPr>
            <w:r>
              <w:rPr>
                <w:b w:val="false"/>
                <w:bCs w:val="false"/>
                <w:color w:val="000000"/>
                <w:sz w:val="18"/>
                <w:szCs w:val="18"/>
              </w:rPr>
              <w:t xml:space="preserve">Jul 13 – Jul 26</w:t>
            </w:r>
          </w:p>
        </w:tc>
        <w:tc>
          <w:tcPr>
            <w:tcW w:type="dxa" w:w="3900"/>
            <w:tcMar>
              <w:top w:type="dxa" w:w="50"/>
              <w:left w:type="dxa" w:w="90"/>
              <w:bottom w:type="dxa" w:w="50"/>
              <w:right w:type="dxa" w:w="90"/>
            </w:tcMar>
          </w:tcPr>
          <w:p>
            <w:pPr>
              <w:spacing w:after="0" w:line="240"/>
            </w:pPr>
            <w:r>
              <w:rPr>
                <w:b w:val="false"/>
                <w:bCs w:val="false"/>
                <w:color w:val="000000"/>
                <w:sz w:val="18"/>
                <w:szCs w:val="18"/>
              </w:rPr>
              <w:t xml:space="preserve">Alongside remaining UI work; suite required green before merges</w:t>
            </w:r>
          </w:p>
        </w:tc>
      </w:tr>
      <w:tr>
        <w:tc>
          <w:tcPr>
            <w:tcW w:type="dxa" w:w="2900"/>
            <w:shd w:fill="F2F4F8" w:val="clear"/>
            <w:tcMar>
              <w:top w:type="dxa" w:w="50"/>
              <w:left w:type="dxa" w:w="90"/>
              <w:bottom w:type="dxa" w:w="50"/>
              <w:right w:type="dxa" w:w="90"/>
            </w:tcMar>
          </w:tcPr>
          <w:p>
            <w:pPr>
              <w:spacing w:after="0" w:line="240"/>
            </w:pPr>
            <w:r>
              <w:rPr>
                <w:b w:val="false"/>
                <w:bCs w:val="false"/>
                <w:color w:val="000000"/>
                <w:sz w:val="18"/>
                <w:szCs w:val="18"/>
              </w:rPr>
              <w:t xml:space="preserve">System test cycle 1</w:t>
            </w:r>
          </w:p>
        </w:tc>
        <w:tc>
          <w:tcPr>
            <w:tcW w:type="dxa" w:w="2560"/>
            <w:shd w:fill="F2F4F8" w:val="clear"/>
            <w:tcMar>
              <w:top w:type="dxa" w:w="50"/>
              <w:left w:type="dxa" w:w="90"/>
              <w:bottom w:type="dxa" w:w="50"/>
              <w:right w:type="dxa" w:w="90"/>
            </w:tcMar>
          </w:tcPr>
          <w:p>
            <w:pPr>
              <w:spacing w:after="0" w:line="240"/>
            </w:pPr>
            <w:r>
              <w:rPr>
                <w:b w:val="false"/>
                <w:bCs w:val="false"/>
                <w:color w:val="000000"/>
                <w:sz w:val="18"/>
                <w:szCs w:val="18"/>
              </w:rPr>
              <w:t xml:space="preserve">Jul 27 – Aug 2</w:t>
            </w:r>
          </w:p>
        </w:tc>
        <w:tc>
          <w:tcPr>
            <w:tcW w:type="dxa" w:w="3900"/>
            <w:shd w:fill="F2F4F8" w:val="clear"/>
            <w:tcMar>
              <w:top w:type="dxa" w:w="50"/>
              <w:left w:type="dxa" w:w="90"/>
              <w:bottom w:type="dxa" w:w="50"/>
              <w:right w:type="dxa" w:w="90"/>
            </w:tcMar>
          </w:tcPr>
          <w:p>
            <w:pPr>
              <w:spacing w:after="0" w:line="240"/>
            </w:pPr>
            <w:r>
              <w:rPr>
                <w:b w:val="false"/>
                <w:bCs w:val="false"/>
                <w:color w:val="000000"/>
                <w:sz w:val="18"/>
                <w:szCs w:val="18"/>
              </w:rPr>
              <w:t xml:space="preserve">Scripted UI walkthroughs; defect triage</w:t>
            </w:r>
          </w:p>
        </w:tc>
      </w:tr>
      <w:tr>
        <w:tc>
          <w:tcPr>
            <w:tcW w:type="dxa" w:w="2900"/>
            <w:tcMar>
              <w:top w:type="dxa" w:w="50"/>
              <w:left w:type="dxa" w:w="90"/>
              <w:bottom w:type="dxa" w:w="50"/>
              <w:right w:type="dxa" w:w="90"/>
            </w:tcMar>
          </w:tcPr>
          <w:p>
            <w:pPr>
              <w:spacing w:after="0" w:line="240"/>
            </w:pPr>
            <w:r>
              <w:rPr>
                <w:b w:val="false"/>
                <w:bCs w:val="false"/>
                <w:color w:val="000000"/>
                <w:sz w:val="18"/>
                <w:szCs w:val="18"/>
              </w:rPr>
              <w:t xml:space="preserve">System test cycle 2 + fixes</w:t>
            </w:r>
          </w:p>
        </w:tc>
        <w:tc>
          <w:tcPr>
            <w:tcW w:type="dxa" w:w="2560"/>
            <w:tcMar>
              <w:top w:type="dxa" w:w="50"/>
              <w:left w:type="dxa" w:w="90"/>
              <w:bottom w:type="dxa" w:w="50"/>
              <w:right w:type="dxa" w:w="90"/>
            </w:tcMar>
          </w:tcPr>
          <w:p>
            <w:pPr>
              <w:spacing w:after="0" w:line="240"/>
            </w:pPr>
            <w:r>
              <w:rPr>
                <w:b w:val="false"/>
                <w:bCs w:val="false"/>
                <w:color w:val="000000"/>
                <w:sz w:val="18"/>
                <w:szCs w:val="18"/>
              </w:rPr>
              <w:t xml:space="preserve">Aug 3 – Aug 9</w:t>
            </w:r>
          </w:p>
        </w:tc>
        <w:tc>
          <w:tcPr>
            <w:tcW w:type="dxa" w:w="3900"/>
            <w:tcMar>
              <w:top w:type="dxa" w:w="50"/>
              <w:left w:type="dxa" w:w="90"/>
              <w:bottom w:type="dxa" w:w="50"/>
              <w:right w:type="dxa" w:w="90"/>
            </w:tcMar>
          </w:tcPr>
          <w:p>
            <w:pPr>
              <w:spacing w:after="0" w:line="240"/>
            </w:pPr>
            <w:r>
              <w:rPr>
                <w:b w:val="false"/>
                <w:bCs w:val="false"/>
                <w:color w:val="000000"/>
                <w:sz w:val="18"/>
                <w:szCs w:val="18"/>
              </w:rPr>
              <w:t xml:space="preserve">Re-run full matrix after fixes</w:t>
            </w:r>
          </w:p>
        </w:tc>
      </w:tr>
      <w:tr>
        <w:tc>
          <w:tcPr>
            <w:tcW w:type="dxa" w:w="2900"/>
            <w:shd w:fill="F2F4F8" w:val="clear"/>
            <w:tcMar>
              <w:top w:type="dxa" w:w="50"/>
              <w:left w:type="dxa" w:w="90"/>
              <w:bottom w:type="dxa" w:w="50"/>
              <w:right w:type="dxa" w:w="90"/>
            </w:tcMar>
          </w:tcPr>
          <w:p>
            <w:pPr>
              <w:spacing w:after="0" w:line="240"/>
            </w:pPr>
            <w:r>
              <w:rPr>
                <w:b w:val="false"/>
                <w:bCs w:val="false"/>
                <w:color w:val="000000"/>
                <w:sz w:val="18"/>
                <w:szCs w:val="18"/>
              </w:rPr>
              <w:t xml:space="preserve">UAT with sponsor / peer team</w:t>
            </w:r>
          </w:p>
        </w:tc>
        <w:tc>
          <w:tcPr>
            <w:tcW w:type="dxa" w:w="2560"/>
            <w:shd w:fill="F2F4F8" w:val="clear"/>
            <w:tcMar>
              <w:top w:type="dxa" w:w="50"/>
              <w:left w:type="dxa" w:w="90"/>
              <w:bottom w:type="dxa" w:w="50"/>
              <w:right w:type="dxa" w:w="90"/>
            </w:tcMar>
          </w:tcPr>
          <w:p>
            <w:pPr>
              <w:spacing w:after="0" w:line="240"/>
            </w:pPr>
            <w:r>
              <w:rPr>
                <w:b w:val="false"/>
                <w:bCs w:val="false"/>
                <w:color w:val="000000"/>
                <w:sz w:val="18"/>
                <w:szCs w:val="18"/>
              </w:rPr>
              <w:t xml:space="preserve">Aug 10 – Aug 16</w:t>
            </w:r>
          </w:p>
        </w:tc>
        <w:tc>
          <w:tcPr>
            <w:tcW w:type="dxa" w:w="3900"/>
            <w:shd w:fill="F2F4F8" w:val="clear"/>
            <w:tcMar>
              <w:top w:type="dxa" w:w="50"/>
              <w:left w:type="dxa" w:w="90"/>
              <w:bottom w:type="dxa" w:w="50"/>
              <w:right w:type="dxa" w:w="90"/>
            </w:tcMar>
          </w:tcPr>
          <w:p>
            <w:pPr>
              <w:spacing w:after="0" w:line="240"/>
            </w:pPr>
            <w:r>
              <w:rPr>
                <w:b w:val="false"/>
                <w:bCs w:val="false"/>
                <w:color w:val="000000"/>
                <w:sz w:val="18"/>
                <w:szCs w:val="18"/>
              </w:rPr>
              <w:t xml:space="preserve">Scenarios A-01 … A-05; observations logged</w:t>
            </w:r>
          </w:p>
        </w:tc>
      </w:tr>
      <w:tr>
        <w:tc>
          <w:tcPr>
            <w:tcW w:type="dxa" w:w="2900"/>
            <w:tcMar>
              <w:top w:type="dxa" w:w="50"/>
              <w:left w:type="dxa" w:w="90"/>
              <w:bottom w:type="dxa" w:w="50"/>
              <w:right w:type="dxa" w:w="90"/>
            </w:tcMar>
          </w:tcPr>
          <w:p>
            <w:pPr>
              <w:spacing w:after="0" w:line="240"/>
            </w:pPr>
            <w:r>
              <w:rPr>
                <w:b w:val="false"/>
                <w:bCs w:val="false"/>
                <w:color w:val="000000"/>
                <w:sz w:val="18"/>
                <w:szCs w:val="18"/>
              </w:rPr>
              <w:t xml:space="preserve">Final regression pass</w:t>
            </w:r>
          </w:p>
        </w:tc>
        <w:tc>
          <w:tcPr>
            <w:tcW w:type="dxa" w:w="2560"/>
            <w:tcMar>
              <w:top w:type="dxa" w:w="50"/>
              <w:left w:type="dxa" w:w="90"/>
              <w:bottom w:type="dxa" w:w="50"/>
              <w:right w:type="dxa" w:w="90"/>
            </w:tcMar>
          </w:tcPr>
          <w:p>
            <w:pPr>
              <w:spacing w:after="0" w:line="240"/>
            </w:pPr>
            <w:r>
              <w:rPr>
                <w:b w:val="false"/>
                <w:bCs w:val="false"/>
                <w:color w:val="000000"/>
                <w:sz w:val="18"/>
                <w:szCs w:val="18"/>
              </w:rPr>
              <w:t xml:space="preserve">Aug 17 – Aug 21</w:t>
            </w:r>
          </w:p>
        </w:tc>
        <w:tc>
          <w:tcPr>
            <w:tcW w:type="dxa" w:w="3900"/>
            <w:tcMar>
              <w:top w:type="dxa" w:w="50"/>
              <w:left w:type="dxa" w:w="90"/>
              <w:bottom w:type="dxa" w:w="50"/>
              <w:right w:type="dxa" w:w="90"/>
            </w:tcMar>
          </w:tcPr>
          <w:p>
            <w:pPr>
              <w:spacing w:after="0" w:line="240"/>
            </w:pPr>
            <w:r>
              <w:rPr>
                <w:b w:val="false"/>
                <w:bCs w:val="false"/>
                <w:color w:val="000000"/>
                <w:sz w:val="18"/>
                <w:szCs w:val="18"/>
              </w:rPr>
              <w:t xml:space="preserve">Full suite + golden-file comparison before final report</w:t>
            </w:r>
          </w:p>
        </w:tc>
      </w:tr>
    </w:tbl>
    <w:p>
      <w:pPr>
        <w:spacing w:after="120" w:line="276"/>
      </w:pPr>
      <w:r>
        <w:rPr>
          <w:sz w:val="21"/>
          <w:szCs w:val="21"/>
        </w:rPr>
        <w:t xml:space="preserve">Responsibilities follow the project plan's shared-ownership model: the author of a component never solely tests it — every test case is reviewed, and manual system/UAT scripts are executed, by a different team member than the one who wrote the code under test.</w:t>
      </w:r>
    </w:p>
    <w:p>
      <w:pPr>
        <w:pStyle w:val="Heading2"/>
        <w:spacing w:after="100" w:before="200"/>
      </w:pPr>
      <w:r>
        <w:rPr>
          <w:b/>
          <w:bCs/>
          <w:color w:val="1F3864"/>
          <w:sz w:val="22"/>
          <w:szCs w:val="22"/>
        </w:rPr>
        <w:t xml:space="preserve">9.1 Entry and exit criteria</w:t>
      </w:r>
    </w:p>
    <w:p>
      <w:pPr>
        <w:pStyle w:val="ListParagraph"/>
        <w:numPr>
          <w:ilvl w:val="0"/>
          <w:numId w:val="2"/>
        </w:numPr>
        <w:spacing w:after="60" w:line="276"/>
      </w:pPr>
      <w:r>
        <w:rPr>
          <w:b/>
          <w:bCs/>
          <w:sz w:val="21"/>
          <w:szCs w:val="21"/>
        </w:rPr>
        <w:t xml:space="preserve">Entry (per level): </w:t>
      </w:r>
      <w:r>
        <w:rPr>
          <w:sz w:val="21"/>
          <w:szCs w:val="21"/>
        </w:rPr>
        <w:t xml:space="preserve">code merged and running; test data available; prior level substantially passing (unit → integration → system → UAT).</w:t>
      </w:r>
    </w:p>
    <w:p>
      <w:pPr>
        <w:pStyle w:val="ListParagraph"/>
        <w:numPr>
          <w:ilvl w:val="0"/>
          <w:numId w:val="2"/>
        </w:numPr>
        <w:spacing w:after="60" w:line="276"/>
      </w:pPr>
      <w:r>
        <w:rPr>
          <w:b/>
          <w:bCs/>
          <w:sz w:val="21"/>
          <w:szCs w:val="21"/>
        </w:rPr>
        <w:t xml:space="preserve">Exit: </w:t>
      </w:r>
      <w:r>
        <w:rPr>
          <w:sz w:val="21"/>
          <w:szCs w:val="21"/>
        </w:rPr>
        <w:t xml:space="preserve">100% of unit/integration tests passing; all system scenarios executed with no open critical/major defects; UAT acceptance criteria met and signed off by the sponsor.</w:t>
      </w:r>
    </w:p>
    <w:p>
      <w:pPr>
        <w:pStyle w:val="ListParagraph"/>
        <w:numPr>
          <w:ilvl w:val="0"/>
          <w:numId w:val="2"/>
        </w:numPr>
        <w:spacing w:after="60" w:line="276"/>
      </w:pPr>
      <w:r>
        <w:rPr>
          <w:b/>
          <w:bCs/>
          <w:sz w:val="21"/>
          <w:szCs w:val="21"/>
        </w:rPr>
        <w:t xml:space="preserve">Suspension: </w:t>
      </w:r>
      <w:r>
        <w:rPr>
          <w:sz w:val="21"/>
          <w:szCs w:val="21"/>
        </w:rPr>
        <w:t xml:space="preserve">testing halts and reverts to development if a critical defect invalidates model outputs; resumes after fix + regression 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2026-07-14T18:04:18.919Z</dcterms:created>
  <dcterms:modified xsi:type="dcterms:W3CDTF">2026-07-14T18:04:18.919Z</dcterms:modified>
</cp:coreProperties>
</file>

<file path=docProps/custom.xml><?xml version="1.0" encoding="utf-8"?>
<Properties xmlns="http://schemas.openxmlformats.org/officeDocument/2006/custom-properties" xmlns:vt="http://schemas.openxmlformats.org/officeDocument/2006/docPropsVTypes"/>
</file>