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8FA3"/>
          <w:sz w:val="18"/>
          <w:szCs w:val="18"/>
        </w:rPr>
        <w:t xml:space="preserve">AUTOMATED MODELING · MARKETING-MIX REGRESSION</w:t>
      </w:r>
    </w:p>
    <w:p>
      <w:pPr>
        <w:spacing w:after="120"/>
      </w:pPr>
      <w:r>
        <w:rPr>
          <w:rFonts w:ascii="Cambria" w:cs="Cambria" w:eastAsia="Cambria" w:hAnsi="Cambria"/>
          <w:b/>
          <w:bCs/>
          <w:color w:val="1E2761"/>
          <w:sz w:val="44"/>
          <w:szCs w:val="44"/>
        </w:rPr>
        <w:t xml:space="preserve">Modeling Engine — Self-Review &amp; Improvement Plan</w:t>
      </w:r>
    </w:p>
    <w:p>
      <w:pPr>
        <w:spacing w:after="300"/>
      </w:pPr>
      <w:r>
        <w:rPr>
          <w:rFonts w:ascii="Calibri" w:cs="Calibri" w:eastAsia="Calibri" w:hAnsi="Calibri"/>
          <w:color w:val="5A6B85"/>
          <w:sz w:val="20"/>
          <w:szCs w:val="20"/>
        </w:rPr>
        <w:t xml:space="preserve">Big Chalk Analytics × Northwestern MSDS Capstone  ·  Prepared for Alex Hathcock  ·  July 21, 2026</w:t>
      </w:r>
      <w:r>
        <w:rPr>
          <w:rFonts w:ascii="Calibri" w:cs="Calibri" w:eastAsia="Calibri" w:hAnsi="Calibri"/>
          <w:color w:val="5A6B85"/>
          <w:sz w:val="20"/>
          <w:szCs w:val="20"/>
        </w:rPr>
        <w:br/>
        <w:t xml:space="preserve">Feifan Liu · Boqi Niu · Jiahao Li (Edison)</w:t>
      </w:r>
    </w:p>
    <w:p>
      <w:pPr>
        <w:pStyle w:val="Heading1"/>
        <w:spacing w:after="140" w:before="320"/>
      </w:pPr>
      <w:r>
        <w:rPr>
          <w:rFonts w:ascii="Cambria" w:cs="Cambria" w:eastAsia="Cambria" w:hAnsi="Cambria"/>
          <w:b/>
          <w:bCs/>
          <w:color w:val="1E2761"/>
          <w:sz w:val="30"/>
          <w:szCs w:val="30"/>
        </w:rPr>
        <w:t xml:space="preserve">1 · Executive summary</w:t>
      </w:r>
    </w:p>
    <w:p>
      <w:pPr>
        <w:spacing w:after="160" w:line="276"/>
      </w:pPr>
      <w:r>
        <w:rPr>
          <w:rFonts w:ascii="Calibri" w:cs="Calibri" w:eastAsia="Calibri" w:hAnsi="Calibri"/>
          <w:color w:val="22304A"/>
          <w:sz w:val="22"/>
          <w:szCs w:val="22"/>
        </w:rPr>
        <w:t xml:space="preserve">With Phases 1–4 functional, we turned a critical eye on our own engine and audited it against current MMM and forecasting practice — the validation literature on rolling-origin evaluation, and the design choices behind Robyn, Google Meridian, and PyMC-Marketing. The verdict we reached: the engine is a </w:t>
      </w:r>
      <w:r>
        <w:rPr>
          <w:rFonts w:ascii="Calibri" w:cs="Calibri" w:eastAsia="Calibri" w:hAnsi="Calibri"/>
          <w:b/>
          <w:bCs/>
          <w:color w:val="22304A"/>
          <w:sz w:val="22"/>
          <w:szCs w:val="22"/>
        </w:rPr>
        <w:t xml:space="preserve">strong automated baseline</w:t>
      </w:r>
      <w:r>
        <w:rPr>
          <w:rFonts w:ascii="Calibri" w:cs="Calibri" w:eastAsia="Calibri" w:hAnsi="Calibri"/>
          <w:color w:val="22304A"/>
          <w:sz w:val="22"/>
          <w:szCs w:val="22"/>
        </w:rPr>
        <w:t xml:space="preserve"> — 80 models from 82 slices, median R² 0.885, median holdout MAPE ~10%, contribution decompositions that reconstruct predictions to machine precision, and estimator equivalence with your production curve_fit to 3.1e-07. It is not yet, however, what we would call </w:t>
      </w:r>
      <w:r>
        <w:rPr>
          <w:rFonts w:ascii="Calibri" w:cs="Calibri" w:eastAsia="Calibri" w:hAnsi="Calibri"/>
          <w:b/>
          <w:bCs/>
          <w:color w:val="22304A"/>
          <w:sz w:val="22"/>
          <w:szCs w:val="22"/>
        </w:rPr>
        <w:t xml:space="preserve">planning-grade</w:t>
      </w:r>
      <w:r>
        <w:rPr>
          <w:rFonts w:ascii="Calibri" w:cs="Calibri" w:eastAsia="Calibri" w:hAnsi="Calibri"/>
          <w:color w:val="22304A"/>
          <w:sz w:val="22"/>
          <w:szCs w:val="22"/>
        </w:rPr>
        <w:t xml:space="preserve">: the level of statistical evidence we would want before the outputs drive budget decisions.</w:t>
      </w:r>
    </w:p>
    <w:p>
      <w:pPr>
        <w:spacing w:after="160" w:line="276"/>
      </w:pPr>
      <w:r>
        <w:rPr>
          <w:rFonts w:ascii="Calibri" w:cs="Calibri" w:eastAsia="Calibri" w:hAnsi="Calibri"/>
          <w:color w:val="22304A"/>
          <w:sz w:val="22"/>
          <w:szCs w:val="22"/>
        </w:rPr>
        <w:t xml:space="preserve">Our own batch outputs make the case. Six of 80 models currently carry no valid holdout MAPE at all (four have zero holdout weeks — they enter the results with no out-of-sample evidence). The portfolio median hides a long tail: nine slices sit above 40% holdout error. And 29 of 80 slices show Durbin–Watson below 1.3 — materially positive residual autocorrelation that biases every t-statistic the stepwise selection relies on. None of this is visible in a single median number, which is precisely the problem.</w:t>
      </w:r>
    </w:p>
    <w:p>
      <w:pPr>
        <w:spacing w:after="160" w:line="276"/>
      </w:pPr>
      <w:r>
        <w:rPr>
          <w:rFonts w:ascii="Calibri" w:cs="Calibri" w:eastAsia="Calibri" w:hAnsi="Calibri"/>
          <w:color w:val="22304A"/>
          <w:sz w:val="22"/>
          <w:szCs w:val="22"/>
        </w:rPr>
        <w:t xml:space="preserve">This document proposes a prioritized fix: validation and eligibility first, a more stable fitting core second, time-structure and media transformations third, and targeted Bayesian pilots last. </w:t>
      </w:r>
      <w:r>
        <w:rPr>
          <w:rFonts w:ascii="Calibri" w:cs="Calibri" w:eastAsia="Calibri" w:hAnsi="Calibri"/>
          <w:b/>
          <w:bCs/>
          <w:color w:val="22304A"/>
          <w:sz w:val="22"/>
          <w:szCs w:val="22"/>
        </w:rPr>
        <w:t xml:space="preserve">We are not proposing a rewrite.</w:t>
      </w:r>
      <w:r>
        <w:rPr>
          <w:rFonts w:ascii="Calibri" w:cs="Calibri" w:eastAsia="Calibri" w:hAnsi="Calibri"/>
          <w:color w:val="22304A"/>
          <w:sz w:val="22"/>
          <w:szCs w:val="22"/>
        </w:rPr>
        <w:t xml:space="preserve"> The CSV outputs, the config table, the due-to interface, and the dashboard all stay; we replace the fit-validate-grade internals behind them. Section 8 lists the specific decisions we need from you.</w:t>
      </w:r>
    </w:p>
    <w:p>
      <w:pPr>
        <w:pStyle w:val="Heading1"/>
        <w:spacing w:after="140" w:before="320"/>
      </w:pPr>
      <w:r>
        <w:rPr>
          <w:rFonts w:ascii="Cambria" w:cs="Cambria" w:eastAsia="Cambria" w:hAnsi="Cambria"/>
          <w:b/>
          <w:bCs/>
          <w:color w:val="1E2761"/>
          <w:sz w:val="30"/>
          <w:szCs w:val="30"/>
        </w:rPr>
        <w:t xml:space="preserve">2 · What is working — and stays</w:t>
      </w:r>
    </w:p>
    <w:p>
      <w:pPr>
        <w:spacing w:after="160" w:line="276"/>
      </w:pPr>
      <w:r>
        <w:rPr>
          <w:rFonts w:ascii="Calibri" w:cs="Calibri" w:eastAsia="Calibri" w:hAnsi="Calibri"/>
          <w:color w:val="22304A"/>
          <w:sz w:val="22"/>
          <w:szCs w:val="22"/>
        </w:rPr>
        <w:t xml:space="preserve">The engineering layer is mature and is not the problem. Leakage exclusion is systematic and dynamic per target. The constrained solver is numerically stable and provably equivalent to your production estimator. The config-driven variable system absorbed real-world data quirks with zero code change. The batch runs 80 models in ~9 seconds, which is what makes everything proposed below computationally feasible — nested time-series validation is cheap when a slice fits in half a second. And the additive due-to interface is exactly the right output contract to preserve: coefficient × transformed variable, intercept on its own line, sums reconciling to the prediction. Every improvement below plugs in behind this interface.</w:t>
      </w:r>
    </w:p>
    <w:p>
      <w:pPr>
        <w:pStyle w:val="Heading1"/>
        <w:spacing w:after="140" w:before="320"/>
      </w:pPr>
      <w:r>
        <w:rPr>
          <w:rFonts w:ascii="Cambria" w:cs="Cambria" w:eastAsia="Cambria" w:hAnsi="Cambria"/>
          <w:b/>
          <w:bCs/>
          <w:color w:val="1E2761"/>
          <w:sz w:val="30"/>
          <w:szCs w:val="30"/>
        </w:rPr>
        <w:t xml:space="preserve">3 · What the review found</w:t>
      </w:r>
    </w:p>
    <w:p>
      <w:pPr>
        <w:pStyle w:val="Heading2"/>
        <w:spacing w:after="100" w:before="220"/>
      </w:pPr>
      <w:r>
        <w:rPr>
          <w:rFonts w:ascii="Calibri" w:cs="Calibri" w:eastAsia="Calibri" w:hAnsi="Calibri"/>
          <w:b/>
          <w:bCs/>
          <w:color w:val="1E2761"/>
          <w:sz w:val="24"/>
          <w:szCs w:val="24"/>
        </w:rPr>
        <w:t xml:space="preserve">F1 — Some models have no real out-of-sample test</w:t>
      </w:r>
    </w:p>
    <w:p>
      <w:pPr>
        <w:spacing w:after="160" w:line="276"/>
      </w:pPr>
      <w:r>
        <w:rPr>
          <w:rFonts w:ascii="Calibri" w:cs="Calibri" w:eastAsia="Calibri" w:hAnsi="Calibri"/>
          <w:color w:val="22304A"/>
          <w:sz w:val="22"/>
          <w:szCs w:val="22"/>
        </w:rPr>
        <w:t xml:space="preserve">The holdout is defined as the weeks beyond the 104-week training window; when a slice has ≤104 weeks of usable data, the holdout shrinks to zero and the model still enters the results table. Four slices run with zero holdout weeks and six lack a computable holdout MAPE. A single fixed 13-week holdout is also, at best, one snapshot of generalization — the forecasting literature is clear that rolling-origin evaluation over several test windows is the robust standard. Models without out-of-sample evidence should be labeled as such, not averaged into portfolio statistics.</w:t>
      </w:r>
    </w:p>
    <w:p>
      <w:pPr>
        <w:pStyle w:val="Heading2"/>
        <w:spacing w:after="100" w:before="220"/>
      </w:pPr>
      <w:r>
        <w:rPr>
          <w:rFonts w:ascii="Calibri" w:cs="Calibri" w:eastAsia="Calibri" w:hAnsi="Calibri"/>
          <w:b/>
          <w:bCs/>
          <w:color w:val="1E2761"/>
          <w:sz w:val="24"/>
          <w:szCs w:val="24"/>
        </w:rPr>
        <w:t xml:space="preserve">F2 — MAPE is the wrong primary metric for this data</w:t>
      </w:r>
    </w:p>
    <w:p>
      <w:pPr>
        <w:spacing w:after="160" w:line="276"/>
      </w:pPr>
      <w:r>
        <w:rPr>
          <w:rFonts w:ascii="Calibri" w:cs="Calibri" w:eastAsia="Calibri" w:hAnsi="Calibri"/>
          <w:color w:val="22304A"/>
          <w:sz w:val="22"/>
          <w:szCs w:val="22"/>
        </w:rPr>
        <w:t xml:space="preserve">MAPE is undefined or explosive at zero and near-zero actuals — common in our portfolio (two slices are skipped for all-zero targets; others have intermittent low-volume weeks; we already exclude zero-actual weeks from MAPE, which quietly shrinks the evaluation set). Scale-free alternatives — MASE against a seasonal-naive benchmark, plus WAPE and bias — are the appropriate primary gates. MAPE stays as a familiar secondary readout.</w:t>
      </w:r>
    </w:p>
    <w:p>
      <w:pPr>
        <w:pStyle w:val="Heading2"/>
        <w:spacing w:after="100" w:before="220"/>
      </w:pPr>
      <w:r>
        <w:rPr>
          <w:rFonts w:ascii="Calibri" w:cs="Calibri" w:eastAsia="Calibri" w:hAnsi="Calibri"/>
          <w:b/>
          <w:bCs/>
          <w:color w:val="1E2761"/>
          <w:sz w:val="24"/>
          <w:szCs w:val="24"/>
        </w:rPr>
        <w:t xml:space="preserve">F3 — Stepwise + VIF is an unstable selection core</w:t>
      </w:r>
    </w:p>
    <w:p>
      <w:pPr>
        <w:spacing w:after="160" w:line="276"/>
      </w:pPr>
      <w:r>
        <w:rPr>
          <w:rFonts w:ascii="Calibri" w:cs="Calibri" w:eastAsia="Calibri" w:hAnsi="Calibri"/>
          <w:color w:val="22304A"/>
          <w:sz w:val="22"/>
          <w:szCs w:val="22"/>
        </w:rPr>
        <w:t xml:space="preserve">VIF is a collinearity diagnostic, not a selection principle, and forward stepwise inherits every instability of greedy search — small data perturbations produce different models, and post-selection t-statistics are biased by the search itself. We have direct evidence in our own results: on Brand 1 × Channel 1, the selection dropped ACV distribution as insignificant (p = 0.93 in-sample) while it carried the structural out-of-sample signal — forcing it cut holdout error from 73% to 32%. The literature-standard remedy fits our constraints well: sign- and bound-constrained ridge regression (elastic net as a challenger) selected under nested time-series cross-validation, with VIF demoted to a reported diagnostic. Force/exclude roles survive unchanged — forced variables simply carry zero penalty.</w:t>
      </w:r>
    </w:p>
    <w:p>
      <w:pPr>
        <w:pStyle w:val="Heading2"/>
        <w:spacing w:after="100" w:before="220"/>
      </w:pPr>
      <w:r>
        <w:rPr>
          <w:rFonts w:ascii="Calibri" w:cs="Calibri" w:eastAsia="Calibri" w:hAnsi="Calibri"/>
          <w:b/>
          <w:bCs/>
          <w:color w:val="1E2761"/>
          <w:sz w:val="24"/>
          <w:szCs w:val="24"/>
        </w:rPr>
        <w:t xml:space="preserve">F4 — Residual time structure is under-modeled</w:t>
      </w:r>
    </w:p>
    <w:p>
      <w:pPr>
        <w:spacing w:after="160" w:line="276"/>
      </w:pPr>
      <w:r>
        <w:rPr>
          <w:rFonts w:ascii="Calibri" w:cs="Calibri" w:eastAsia="Calibri" w:hAnsi="Calibri"/>
          <w:color w:val="22304A"/>
          <w:sz w:val="22"/>
          <w:szCs w:val="22"/>
        </w:rPr>
        <w:t xml:space="preserve">29 of 80 slices show DW &lt; 1.3 (Brand 1 × Channel 1: 1.18). Positive autocorrelation of this size usually means missing trend and seasonal baseline structure, not missing media effects — and it distorts the very p-values the current selection uses. The fix is a mandatory temporal baseline (intercept, optional trend, Fourier annual seasonality with K chosen in inner CV, existing event variables), standard residual diagnostics on every model (DW, Ljung-Box, Breusch-Godfrey, CUSUM), and GLSAR/SARIMAX as challengers only where diagnostics stay red.</w:t>
      </w:r>
    </w:p>
    <w:p>
      <w:pPr>
        <w:pStyle w:val="Heading2"/>
        <w:spacing w:after="100" w:before="220"/>
      </w:pPr>
      <w:r>
        <w:rPr>
          <w:rFonts w:ascii="Calibri" w:cs="Calibri" w:eastAsia="Calibri" w:hAnsi="Calibri"/>
          <w:b/>
          <w:bCs/>
          <w:color w:val="1E2761"/>
          <w:sz w:val="24"/>
          <w:szCs w:val="24"/>
        </w:rPr>
        <w:t xml:space="preserve">F5 — Due-tos should be stated as model-implied, not causal</w:t>
      </w:r>
    </w:p>
    <w:p>
      <w:pPr>
        <w:spacing w:after="160" w:line="276"/>
      </w:pPr>
      <w:r>
        <w:rPr>
          <w:rFonts w:ascii="Calibri" w:cs="Calibri" w:eastAsia="Calibri" w:hAnsi="Calibri"/>
          <w:color w:val="22304A"/>
          <w:sz w:val="22"/>
          <w:szCs w:val="22"/>
        </w:rPr>
        <w:t xml:space="preserve">Without experiments, geo randomization, or an explicit identification design, our contributions are model-implied attributions under stated assumptions — good for direction and decomposition, not proof of incremental sales. This is a labeling and communication fix now, and an opportunity later: if Big Chalk has any lift tests or geo experiments for these brands, they become calibration targets that raise ROI credibility more than any model upgrade would. Also in this bucket: media transformations should come from a restricted candidate library (none / geometric-short / geometric-medium / weibull-cdf, saturation only where spend variation supports it) chosen in nested validation — free per-slice optimization of decay and shape on 104 weekly points is weakly identified and mostly buys in-sample R².</w:t>
      </w:r>
    </w:p>
    <w:p>
      <w:pPr>
        <w:pStyle w:val="Heading1"/>
        <w:spacing w:after="140" w:before="320"/>
      </w:pPr>
      <w:r>
        <w:rPr>
          <w:rFonts w:ascii="Cambria" w:cs="Cambria" w:eastAsia="Cambria" w:hAnsi="Cambria"/>
          <w:b/>
          <w:bCs/>
          <w:color w:val="1E2761"/>
          <w:sz w:val="30"/>
          <w:szCs w:val="30"/>
        </w:rPr>
        <w:t xml:space="preserve">4 · Proposed improvements, in priority order</w:t>
      </w:r>
    </w:p>
    <w:p>
      <w:pPr>
        <w:spacing w:after="160" w:line="276"/>
      </w:pPr>
      <w:r>
        <w:rPr>
          <w:rFonts w:ascii="Calibri" w:cs="Calibri" w:eastAsia="Calibri" w:hAnsi="Calibri"/>
          <w:b/>
          <w:bCs/>
          <w:color w:val="22304A"/>
          <w:sz w:val="22"/>
          <w:szCs w:val="22"/>
        </w:rPr>
        <w:t xml:space="preserve">P1 — Validation, eligibility, and grading (highest priority).</w:t>
      </w:r>
      <w:r>
        <w:rPr>
          <w:rFonts w:ascii="Calibri" w:cs="Calibri" w:eastAsia="Calibri" w:hAnsi="Calibri"/>
          <w:color w:val="22304A"/>
          <w:sz w:val="22"/>
          <w:szCs w:val="22"/>
        </w:rPr>
        <w:t xml:space="preserve">  Slice eligibility tiers before modeling: Full (≥91 weeks, ≥40 non-zero → three 13-week rolling outer folds), Limited (60–90 weeks → 1–2 folds, grade capped at Yellow), Reject/pooled-only (below that — no standalone model). An explicit Unscorable class replaces silently passing models with no holdout. Primary metrics become MASE/WAPE/bias; every model gets a Green/Yellow/Red grade (Section 5). This is the cheapest change and removes the biggest credibility gap.</w:t>
      </w:r>
    </w:p>
    <w:p>
      <w:pPr>
        <w:spacing w:after="160" w:line="276"/>
      </w:pPr>
      <w:r>
        <w:rPr>
          <w:rFonts w:ascii="Calibri" w:cs="Calibri" w:eastAsia="Calibri" w:hAnsi="Calibri"/>
          <w:b/>
          <w:bCs/>
          <w:color w:val="22304A"/>
          <w:sz w:val="22"/>
          <w:szCs w:val="22"/>
        </w:rPr>
        <w:t xml:space="preserve">P2 — Constrained regularized fitting core.</w:t>
      </w:r>
      <w:r>
        <w:rPr>
          <w:rFonts w:ascii="Calibri" w:cs="Calibri" w:eastAsia="Calibri" w:hAnsi="Calibri"/>
          <w:color w:val="22304A"/>
          <w:sz w:val="22"/>
          <w:szCs w:val="22"/>
        </w:rPr>
        <w:t xml:space="preserve">  Replace stepwise + VIF with sign/bound-constrained ridge (CVXPY; elastic-net challenger), hyperparameters chosen only in inner time-series CV. Dead-predictor pruning becomes a four-condition rule (small absolute and relative contribution, near-zero standardized coefficient, unstable under subsampling, and removal does not hurt outer-fold error) instead of a single contribution threshold. This is the step most likely to genuinely improve out-of-sample performance and coefficient stability.</w:t>
      </w:r>
    </w:p>
    <w:p>
      <w:pPr>
        <w:spacing w:after="160" w:line="276"/>
      </w:pPr>
      <w:r>
        <w:rPr>
          <w:rFonts w:ascii="Calibri" w:cs="Calibri" w:eastAsia="Calibri" w:hAnsi="Calibri"/>
          <w:b/>
          <w:bCs/>
          <w:color w:val="22304A"/>
          <w:sz w:val="22"/>
          <w:szCs w:val="22"/>
        </w:rPr>
        <w:t xml:space="preserve">P3 — Temporal baseline, transformation library, diagnostics.</w:t>
      </w:r>
      <w:r>
        <w:rPr>
          <w:rFonts w:ascii="Calibri" w:cs="Calibri" w:eastAsia="Calibri" w:hAnsi="Calibri"/>
          <w:color w:val="22304A"/>
          <w:sz w:val="22"/>
          <w:szCs w:val="22"/>
        </w:rPr>
        <w:t xml:space="preserve">  As in F4/F5: Fourier-based baseline, restricted adstock/saturation candidates, full residual diagnostic block on every model, time-structure challengers where needed.</w:t>
      </w:r>
    </w:p>
    <w:p>
      <w:pPr>
        <w:spacing w:after="160" w:line="276"/>
      </w:pPr>
      <w:r>
        <w:rPr>
          <w:rFonts w:ascii="Calibri" w:cs="Calibri" w:eastAsia="Calibri" w:hAnsi="Calibri"/>
          <w:b/>
          <w:bCs/>
          <w:color w:val="22304A"/>
          <w:sz w:val="22"/>
          <w:szCs w:val="22"/>
        </w:rPr>
        <w:t xml:space="preserve">P4 — Targeted Bayesian/hierarchical pilots (not a rewrite).</w:t>
      </w:r>
      <w:r>
        <w:rPr>
          <w:rFonts w:ascii="Calibri" w:cs="Calibri" w:eastAsia="Calibri" w:hAnsi="Calibri"/>
          <w:color w:val="22304A"/>
          <w:sz w:val="22"/>
          <w:szCs w:val="22"/>
        </w:rPr>
        <w:t xml:space="preserve">  PyMC-Marketing pilots only for short-history, high-value, or extreme-coefficient slices, plus an experiment-calibration interface if lift data exists. Full-portfolio Bayesian is deliberately out of scope: on single 104-week slices the added parameters are weakly identified, and the runtime and maintenance costs land before the statistical benefits do. Same reasoning: we borrow Robyn's ideas, not its Python beta as a dependency.</w:t>
      </w:r>
    </w:p>
    <w:p>
      <w:pPr>
        <w:pStyle w:val="Heading1"/>
        <w:spacing w:after="140" w:before="320"/>
      </w:pPr>
      <w:r>
        <w:rPr>
          <w:rFonts w:ascii="Cambria" w:cs="Cambria" w:eastAsia="Cambria" w:hAnsi="Cambria"/>
          <w:b/>
          <w:bCs/>
          <w:color w:val="1E2761"/>
          <w:sz w:val="30"/>
          <w:szCs w:val="30"/>
        </w:rPr>
        <w:t xml:space="preserve">5 · Model quality framework</w:t>
      </w:r>
    </w:p>
    <w:p>
      <w:pPr>
        <w:spacing w:after="160" w:line="276"/>
      </w:pPr>
      <w:r>
        <w:rPr>
          <w:rFonts w:ascii="Calibri" w:cs="Calibri" w:eastAsia="Calibri" w:hAnsi="Calibri"/>
          <w:color w:val="22304A"/>
          <w:sz w:val="22"/>
          <w:szCs w:val="22"/>
        </w:rPr>
        <w:t xml:space="preserve">Gates, not a blended score — a weighted composite would let hard defects (no holdout, severe autocorrelation) be averaged away by pretty sub-scores. A model must first be eligible to be scored, then earns a grade: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900"/>
        <w:gridCol w:w="2940"/>
      </w:tblGrid>
      <w:tr>
        <w:trPr>
          <w:tblHeader/>
        </w:trPr>
        <w:tc>
          <w:tcPr>
            <w:tcW w:type="dxa" w:w="110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Grade</w:t>
            </w:r>
          </w:p>
        </w:tc>
        <w:tc>
          <w:tcPr>
            <w:tcW w:type="dxa" w:w="260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Hard gates</w:t>
            </w:r>
          </w:p>
        </w:tc>
        <w:tc>
          <w:tcPr>
            <w:tcW w:type="dxa" w:w="290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Statistical gates</w:t>
            </w:r>
          </w:p>
        </w:tc>
        <w:tc>
          <w:tcPr>
            <w:tcW w:type="dxa" w:w="294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Use and action</w:t>
            </w:r>
          </w:p>
        </w:tc>
      </w:tr>
      <w:tr>
        <w:tc>
          <w:tcPr>
            <w:tcW w:type="dxa" w:w="11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Green</w:t>
            </w:r>
          </w:p>
        </w:tc>
        <w:tc>
          <w:tcPr>
            <w:tcW w:type="dxa" w:w="26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Full eligibility; no leakage; ≥3 valid outer folds</w:t>
            </w:r>
          </w:p>
        </w:tc>
        <w:tc>
          <w:tcPr>
            <w:tcW w:type="dxa" w:w="29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Median outer MASE ≤ 0.90; WAPE ≤ 15%; bias within ±5%; DW 1.5–2.5 or Ljung-Box n.s.; signs stable across ≥90% of folds</w:t>
            </w:r>
          </w:p>
        </w:tc>
        <w:tc>
          <w:tcPr>
            <w:tcW w:type="dxa" w:w="294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Interpretation, scenarios, directional planning — auto-pass</w:t>
            </w:r>
          </w:p>
        </w:tc>
      </w:tr>
      <w:tr>
        <w:tc>
          <w:tcPr>
            <w:tcW w:type="dxa" w:w="11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Yellow</w:t>
            </w:r>
          </w:p>
        </w:tc>
        <w:tc>
          <w:tcPr>
            <w:tcW w:type="dxa" w:w="26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 Limited eligibility; no leakage; ≥1 valid outer fold</w:t>
            </w:r>
          </w:p>
        </w:tc>
        <w:tc>
          <w:tcPr>
            <w:tcW w:type="dxa" w:w="29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MASE 0.90–1.10 or WAPE 15–25%; or mild residual/stability issues; short-history models capped here</w:t>
            </w:r>
          </w:p>
        </w:tc>
        <w:tc>
          <w:tcPr>
            <w:tcW w:type="dxa" w:w="294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Interpretation with mandatory human review; not for budget optimization</w:t>
            </w:r>
          </w:p>
        </w:tc>
      </w:tr>
      <w:tr>
        <w:tc>
          <w:tcPr>
            <w:tcW w:type="dxa" w:w="11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Red</w:t>
            </w:r>
          </w:p>
        </w:tc>
        <w:tc>
          <w:tcPr>
            <w:tcW w:type="dxa" w:w="26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Fits, but fails statistical gates</w:t>
            </w:r>
          </w:p>
        </w:tc>
        <w:tc>
          <w:tcPr>
            <w:tcW w:type="dxa" w:w="29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MASE &gt; 1.10 or WAPE &gt; 25% or |bias| &gt; 10%; DW &lt; 1.3 or unstable signs/contributions</w:t>
            </w:r>
          </w:p>
        </w:tc>
        <w:tc>
          <w:tcPr>
            <w:tcW w:type="dxa" w:w="294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Not for interpretation or decisions — auto-reject</w:t>
            </w:r>
          </w:p>
        </w:tc>
      </w:tr>
      <w:tr>
        <w:tc>
          <w:tcPr>
            <w:tcW w:type="dxa" w:w="11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Unscorable</w:t>
            </w:r>
          </w:p>
        </w:tc>
        <w:tc>
          <w:tcPr>
            <w:tcW w:type="dxa" w:w="26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No valid holdout; target all/near zero; below data minimums</w:t>
            </w:r>
          </w:p>
        </w:tc>
        <w:tc>
          <w:tcPr>
            <w:tcW w:type="dxa" w:w="29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Not applicable</w:t>
            </w:r>
          </w:p>
        </w:tc>
        <w:tc>
          <w:tcPr>
            <w:tcW w:type="dxa" w:w="294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Excluded from comparable model pool — flagged</w:t>
            </w:r>
          </w:p>
        </w:tc>
      </w:tr>
    </w:tbl>
    <w:p>
      <w:pPr>
        <w:spacing w:after="160" w:before="140"/>
      </w:pPr>
      <w:r>
        <w:rPr>
          <w:rFonts w:ascii="Calibri" w:cs="Calibri" w:eastAsia="Calibri" w:hAnsi="Calibri"/>
          <w:color w:val="22304A"/>
          <w:sz w:val="22"/>
          <w:szCs w:val="22"/>
        </w:rPr>
        <w:t xml:space="preserve">Green means “sufficient out-of-sample, residual, and stability evidence under observational-MMM assumptions” — not “causally identified.” A separate Calibrated tag is reserved for slices validated against experiments, if that data exists.</w:t>
      </w:r>
    </w:p>
    <w:p>
      <w:pPr>
        <w:pStyle w:val="Heading1"/>
        <w:spacing w:after="140" w:before="320"/>
      </w:pPr>
      <w:r>
        <w:rPr>
          <w:rFonts w:ascii="Cambria" w:cs="Cambria" w:eastAsia="Cambria" w:hAnsi="Cambria"/>
          <w:b/>
          <w:bCs/>
          <w:color w:val="1E2761"/>
          <w:sz w:val="30"/>
          <w:szCs w:val="30"/>
        </w:rPr>
        <w:t xml:space="preserve">6 · How we prove the new core is better</w:t>
      </w:r>
    </w:p>
    <w:p>
      <w:pPr>
        <w:spacing w:after="160" w:line="276"/>
      </w:pPr>
      <w:r>
        <w:rPr>
          <w:rFonts w:ascii="Calibri" w:cs="Calibri" w:eastAsia="Calibri" w:hAnsi="Calibri"/>
          <w:color w:val="22304A"/>
          <w:sz w:val="22"/>
          <w:szCs w:val="22"/>
        </w:rPr>
        <w:t xml:space="preserve">Champion–challenger on identical data and splits: the current engine is the frozen baseline; each phase's challenger runs the same slices, same outer folds, same output interface. Comparison covers five groups, not one number: forecast accuracy (outer MASE/WAPE/MAE/bias), residual structure (DW, Ljung-Box, BG), coefficient stability across folds, contribution stability of top drivers, and business plausibility (signs, boundary hits, extreme values). Portfolio success criteria: median outer MASE improves ≥10%; tail (75th/90th percentile) WAPE drops; the Red + Unscorable share does not grow; sign consistency of price, distribution, and media improves. Paired bootstrap or Wilcoxon on per-slice fold errors backs the comparison statistically. A dedicated leakage audit confirms that every transform, scaling, selection, and pruning step learns from training folds only.</w:t>
      </w:r>
    </w:p>
    <w:p>
      <w:pPr>
        <w:pStyle w:val="Heading1"/>
        <w:spacing w:after="140" w:before="320"/>
      </w:pPr>
      <w:r>
        <w:rPr>
          <w:rFonts w:ascii="Cambria" w:cs="Cambria" w:eastAsia="Cambria" w:hAnsi="Cambria"/>
          <w:b/>
          <w:bCs/>
          <w:color w:val="1E2761"/>
          <w:sz w:val="30"/>
          <w:szCs w:val="30"/>
        </w:rPr>
        <w:t xml:space="preserve">7 · Implementation roadmap</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0"/>
        <w:gridCol w:w="3350"/>
        <w:gridCol w:w="2700"/>
        <w:gridCol w:w="2540"/>
      </w:tblGrid>
      <w:tr>
        <w:trPr>
          <w:tblHeader/>
        </w:trPr>
        <w:tc>
          <w:tcPr>
            <w:tcW w:type="dxa" w:w="95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335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Work</w:t>
            </w:r>
          </w:p>
        </w:tc>
        <w:tc>
          <w:tcPr>
            <w:tcW w:type="dxa" w:w="270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Acceptance</w:t>
            </w:r>
          </w:p>
        </w:tc>
        <w:tc>
          <w:tcPr>
            <w:tcW w:type="dxa" w:w="2540"/>
            <w:tcBorders>
              <w:top w:val="single" w:color="D9E1EC" w:sz="4"/>
              <w:left w:val="single" w:color="D9E1EC" w:sz="4"/>
              <w:bottom w:val="single" w:color="D9E1EC" w:sz="4"/>
              <w:right w:val="single" w:color="D9E1EC" w:sz="4"/>
            </w:tcBorders>
            <w:shd w:fill="1E2761" w:val="clear"/>
            <w:tcMar>
              <w:top w:type="dxa" w:w="60"/>
              <w:left w:type="dxa" w:w="100"/>
              <w:bottom w:type="dxa" w:w="60"/>
              <w:right w:type="dxa" w:w="100"/>
            </w:tcMar>
          </w:tcPr>
          <w:p>
            <w:r>
              <w:rPr>
                <w:rFonts w:ascii="Calibri" w:cs="Calibri" w:eastAsia="Calibri" w:hAnsi="Calibri"/>
                <w:b/>
                <w:bCs/>
                <w:color w:val="FFFFFF"/>
                <w:sz w:val="19"/>
                <w:szCs w:val="19"/>
              </w:rPr>
              <w:t xml:space="preserve">Timing vs Aug 25</w:t>
            </w:r>
          </w:p>
        </w:tc>
      </w:tr>
      <w:tr>
        <w:tc>
          <w:tcPr>
            <w:tcW w:type="dxa" w:w="9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0</w:t>
            </w:r>
          </w:p>
        </w:tc>
        <w:tc>
          <w:tcPr>
            <w:tcW w:type="dxa" w:w="33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Freeze baseline; automated tests; unified outer-fold splitter</w:t>
            </w:r>
          </w:p>
        </w:tc>
        <w:tc>
          <w:tcPr>
            <w:tcW w:type="dxa" w:w="27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Current 80-model results exactly reproducible</w:t>
            </w:r>
          </w:p>
        </w:tc>
        <w:tc>
          <w:tcPr>
            <w:tcW w:type="dxa" w:w="254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Week of Jul 27 — in scope</w:t>
            </w:r>
          </w:p>
        </w:tc>
      </w:tr>
      <w:tr>
        <w:tc>
          <w:tcPr>
            <w:tcW w:type="dxa" w:w="9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1</w:t>
            </w:r>
          </w:p>
        </w:tc>
        <w:tc>
          <w:tcPr>
            <w:tcW w:type="dxa" w:w="33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Eligibility tiers, Unscorable, rolling-origin validation, MASE/WAPE/bias, grading</w:t>
            </w:r>
          </w:p>
        </w:tc>
        <w:tc>
          <w:tcPr>
            <w:tcW w:type="dxa" w:w="27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No model passes with holdout = 0; grades reproducible</w:t>
            </w:r>
          </w:p>
        </w:tc>
        <w:tc>
          <w:tcPr>
            <w:tcW w:type="dxa" w:w="254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Week of Jul 27 — in scope</w:t>
            </w:r>
          </w:p>
        </w:tc>
      </w:tr>
      <w:tr>
        <w:tc>
          <w:tcPr>
            <w:tcW w:type="dxa" w:w="9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2</w:t>
            </w:r>
          </w:p>
        </w:tc>
        <w:tc>
          <w:tcPr>
            <w:tcW w:type="dxa" w:w="33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Fourier/trend/event baseline; residual diagnostic block; MAPE demoted</w:t>
            </w:r>
          </w:p>
        </w:tc>
        <w:tc>
          <w:tcPr>
            <w:tcW w:type="dxa" w:w="27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DW/Ljung-Box improve on most slices without OOS regression</w:t>
            </w:r>
          </w:p>
        </w:tc>
        <w:tc>
          <w:tcPr>
            <w:tcW w:type="dxa" w:w="254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Early Aug — in scope</w:t>
            </w:r>
          </w:p>
        </w:tc>
      </w:tr>
      <w:tr>
        <w:tc>
          <w:tcPr>
            <w:tcW w:type="dxa" w:w="9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3</w:t>
            </w:r>
          </w:p>
        </w:tc>
        <w:tc>
          <w:tcPr>
            <w:tcW w:type="dxa" w:w="33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Constrained ridge/EN core replaces stepwise+VIF; composite pruning</w:t>
            </w:r>
          </w:p>
        </w:tc>
        <w:tc>
          <w:tcPr>
            <w:tcW w:type="dxa" w:w="27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Challenger beats baseline on portfolio success criteria</w:t>
            </w:r>
          </w:p>
        </w:tc>
        <w:tc>
          <w:tcPr>
            <w:tcW w:type="dxa" w:w="254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Mid Aug — core goal</w:t>
            </w:r>
          </w:p>
        </w:tc>
      </w:tr>
      <w:tr>
        <w:tc>
          <w:tcPr>
            <w:tcW w:type="dxa" w:w="9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4</w:t>
            </w:r>
          </w:p>
        </w:tc>
        <w:tc>
          <w:tcPr>
            <w:tcW w:type="dxa" w:w="335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Bayesian/hierarchical pilots; experiment-calibration interface</w:t>
            </w:r>
          </w:p>
        </w:tc>
        <w:tc>
          <w:tcPr>
            <w:tcW w:type="dxa" w:w="270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Pilot slices demonstrably beat frequentist champion</w:t>
            </w:r>
          </w:p>
        </w:tc>
        <w:tc>
          <w:tcPr>
            <w:tcW w:type="dxa" w:w="2540"/>
            <w:tcBorders>
              <w:top w:val="single" w:color="D9E1EC" w:sz="4"/>
              <w:left w:val="single" w:color="D9E1EC" w:sz="4"/>
              <w:bottom w:val="single" w:color="D9E1EC" w:sz="4"/>
              <w:right w:val="single" w:color="D9E1EC" w:sz="4"/>
            </w:tcBorders>
            <w:tcMar>
              <w:top w:type="dxa" w:w="60"/>
              <w:left w:type="dxa" w:w="100"/>
              <w:bottom w:type="dxa" w:w="60"/>
              <w:right w:type="dxa" w:w="100"/>
            </w:tcMar>
          </w:tcPr>
          <w:p>
            <w:r>
              <w:rPr>
                <w:rFonts w:ascii="Calibri" w:cs="Calibri" w:eastAsia="Calibri" w:hAnsi="Calibri"/>
                <w:color w:val="22304A"/>
                <w:sz w:val="19"/>
                <w:szCs w:val="19"/>
              </w:rPr>
              <w:t xml:space="preserve">Post-capstone / handover option</w:t>
            </w:r>
          </w:p>
        </w:tc>
      </w:tr>
      <w:tr>
        <w:tc>
          <w:tcPr>
            <w:tcW w:type="dxa" w:w="9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5</w:t>
            </w:r>
          </w:p>
        </w:tc>
        <w:tc>
          <w:tcPr>
            <w:tcW w:type="dxa" w:w="335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Monitoring, drift alerts, review workflow, versioning</w:t>
            </w:r>
          </w:p>
        </w:tc>
        <w:tc>
          <w:tcPr>
            <w:tcW w:type="dxa" w:w="270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Tracked, explainable, reversible model updates</w:t>
            </w:r>
          </w:p>
        </w:tc>
        <w:tc>
          <w:tcPr>
            <w:tcW w:type="dxa" w:w="2540"/>
            <w:tcBorders>
              <w:top w:val="single" w:color="D9E1EC" w:sz="4"/>
              <w:left w:val="single" w:color="D9E1EC" w:sz="4"/>
              <w:bottom w:val="single" w:color="D9E1EC" w:sz="4"/>
              <w:right w:val="single" w:color="D9E1EC" w:sz="4"/>
            </w:tcBorders>
            <w:shd w:fill="F3F6FB" w:val="clear"/>
            <w:tcMar>
              <w:top w:type="dxa" w:w="60"/>
              <w:left w:type="dxa" w:w="100"/>
              <w:bottom w:type="dxa" w:w="60"/>
              <w:right w:type="dxa" w:w="100"/>
            </w:tcMar>
          </w:tcPr>
          <w:p>
            <w:r>
              <w:rPr>
                <w:rFonts w:ascii="Calibri" w:cs="Calibri" w:eastAsia="Calibri" w:hAnsi="Calibri"/>
                <w:color w:val="22304A"/>
                <w:sz w:val="19"/>
                <w:szCs w:val="19"/>
              </w:rPr>
              <w:t xml:space="preserve">Handover recommendation</w:t>
            </w:r>
          </w:p>
        </w:tc>
      </w:tr>
    </w:tbl>
    <w:p>
      <w:pPr>
        <w:spacing w:after="160" w:before="140"/>
      </w:pPr>
      <w:r>
        <w:rPr>
          <w:rFonts w:ascii="Calibri" w:cs="Calibri" w:eastAsia="Calibri" w:hAnsi="Calibri"/>
          <w:color w:val="22304A"/>
          <w:sz w:val="22"/>
          <w:szCs w:val="22"/>
        </w:rPr>
        <w:t xml:space="preserve">Phases 0–3 fit inside the capstone timeline and are the substance of this plan; Phases 4–5 are framed as pilot and handover recommendations. Every phase preserves the existing CSV columns, config table, due-to interface, and dashboard — deliverables you have seen continue to work throughout.</w:t>
      </w:r>
    </w:p>
    <w:p>
      <w:pPr>
        <w:pStyle w:val="Heading1"/>
        <w:spacing w:after="140" w:before="320"/>
      </w:pPr>
      <w:r>
        <w:rPr>
          <w:rFonts w:ascii="Cambria" w:cs="Cambria" w:eastAsia="Cambria" w:hAnsi="Cambria"/>
          <w:b/>
          <w:bCs/>
          <w:color w:val="1E2761"/>
          <w:sz w:val="30"/>
          <w:szCs w:val="30"/>
        </w:rPr>
        <w:t xml:space="preserve">8 · Decisions we need from you</w:t>
      </w:r>
    </w:p>
    <w:p>
      <w:pPr>
        <w:pStyle w:val="ListParagraph"/>
        <w:numPr>
          <w:ilvl w:val="0"/>
          <w:numId w:val="2"/>
        </w:numPr>
        <w:spacing w:after="120" w:line="276"/>
      </w:pPr>
      <w:r>
        <w:rPr>
          <w:rFonts w:ascii="Calibri" w:cs="Calibri" w:eastAsia="Calibri" w:hAnsi="Calibri"/>
          <w:color w:val="22304A"/>
          <w:sz w:val="22"/>
          <w:szCs w:val="22"/>
        </w:rPr>
        <w:t xml:space="preserve">Priority order — do you agree validation (P1) and the fitting core (P2) come before transformation work (P3) and Bayesian pilots (P4)?</w:t>
      </w:r>
    </w:p>
    <w:p>
      <w:pPr>
        <w:pStyle w:val="ListParagraph"/>
        <w:numPr>
          <w:ilvl w:val="0"/>
          <w:numId w:val="2"/>
        </w:numPr>
        <w:spacing w:after="120" w:line="276"/>
      </w:pPr>
      <w:r>
        <w:rPr>
          <w:rFonts w:ascii="Calibri" w:cs="Calibri" w:eastAsia="Calibri" w:hAnsi="Calibri"/>
          <w:color w:val="22304A"/>
          <w:sz w:val="22"/>
          <w:szCs w:val="22"/>
        </w:rPr>
        <w:t xml:space="preserve">Quality gates — do the Green/Yellow/Red thresholds (MASE 0.90/1.10, WAPE 15%/25%, bias ±5%/±10%) match how Big Chalk judges model fitness, and should any slice grades gate what clients see?</w:t>
      </w:r>
    </w:p>
    <w:p>
      <w:pPr>
        <w:pStyle w:val="ListParagraph"/>
        <w:numPr>
          <w:ilvl w:val="0"/>
          <w:numId w:val="2"/>
        </w:numPr>
        <w:spacing w:after="120" w:line="276"/>
      </w:pPr>
      <w:r>
        <w:rPr>
          <w:rFonts w:ascii="Calibri" w:cs="Calibri" w:eastAsia="Calibri" w:hAnsi="Calibri"/>
          <w:color w:val="22304A"/>
          <w:sz w:val="22"/>
          <w:szCs w:val="22"/>
        </w:rPr>
        <w:t xml:space="preserve">Eligibility floors — are 91/60-week and 40/26 non-zero-week minimums reasonable for your engagements, or does Big Chalk practice suggest different floors?</w:t>
      </w:r>
    </w:p>
    <w:p>
      <w:pPr>
        <w:pStyle w:val="ListParagraph"/>
        <w:numPr>
          <w:ilvl w:val="0"/>
          <w:numId w:val="2"/>
        </w:numPr>
        <w:spacing w:after="120" w:line="276"/>
      </w:pPr>
      <w:r>
        <w:rPr>
          <w:rFonts w:ascii="Calibri" w:cs="Calibri" w:eastAsia="Calibri" w:hAnsi="Calibri"/>
          <w:color w:val="22304A"/>
          <w:sz w:val="22"/>
          <w:szCs w:val="22"/>
        </w:rPr>
        <w:t xml:space="preserve">Experiment data — do any lift tests or geo experiments exist for these brands that we could use as calibration targets in a Phase 4 pilot?</w:t>
      </w:r>
    </w:p>
    <w:p>
      <w:pPr>
        <w:pStyle w:val="ListParagraph"/>
        <w:numPr>
          <w:ilvl w:val="0"/>
          <w:numId w:val="2"/>
        </w:numPr>
        <w:spacing w:after="120" w:line="276"/>
      </w:pPr>
      <w:r>
        <w:rPr>
          <w:rFonts w:ascii="Calibri" w:cs="Calibri" w:eastAsia="Calibri" w:hAnsi="Calibri"/>
          <w:color w:val="22304A"/>
          <w:sz w:val="22"/>
          <w:szCs w:val="22"/>
        </w:rPr>
        <w:t xml:space="preserve">Scope guard — with Aug 25 fixed, we propose committing to Phases 0–3 and documenting 4–5 as handover recommendations. Agreed?</w:t>
      </w:r>
    </w:p>
    <w:p>
      <w:pPr>
        <w:spacing w:before="120"/>
      </w:pPr>
      <w:r>
        <w:rPr>
          <w:rFonts w:ascii="Calibri" w:cs="Calibri" w:eastAsia="Calibri" w:hAnsi="Calibri"/>
          <w:color w:val="22304A"/>
          <w:sz w:val="22"/>
          <w:szCs w:val="22"/>
        </w:rPr>
        <w:t xml:space="preserve">We would rather surface these limits ourselves now, with a costed plan, than have them surface in production later. The engine's engineering is solid; this plan makes its statistics worthy of it.</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2026-07-21T06:31:46.451Z</dcterms:created>
  <dcterms:modified xsi:type="dcterms:W3CDTF">2026-07-21T06:31:46.451Z</dcterms:modified>
</cp:coreProperties>
</file>

<file path=docProps/custom.xml><?xml version="1.0" encoding="utf-8"?>
<Properties xmlns="http://schemas.openxmlformats.org/officeDocument/2006/custom-properties" xmlns:vt="http://schemas.openxmlformats.org/officeDocument/2006/docPropsVTypes"/>
</file>