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9A4CA" w14:textId="77777777" w:rsidR="00B72DCF" w:rsidRDefault="00000000">
      <w:pPr>
        <w:pStyle w:val="Title"/>
      </w:pPr>
      <w:r>
        <w:t>Primary Zone Mechanistic Hypotheses</w:t>
      </w:r>
    </w:p>
    <w:p w14:paraId="1083CC07" w14:textId="77777777" w:rsidR="00B72DCF" w:rsidRDefault="00000000">
      <w:pPr>
        <w:spacing w:after="280"/>
        <w:rPr>
          <w:rFonts w:hint="eastAsia"/>
        </w:rPr>
      </w:pPr>
      <w:r>
        <w:rPr>
          <w:color w:val="464646"/>
          <w:sz w:val="21"/>
        </w:rPr>
        <w:t>Each entry contains exactly five sentences condensed from the model's own primary-zone rationale and mechanistic hypothesis; no external interpretation has been added.</w:t>
      </w:r>
    </w:p>
    <w:p w14:paraId="2B36D893" w14:textId="77777777" w:rsidR="00B72DCF" w:rsidRDefault="00000000">
      <w:pPr>
        <w:pStyle w:val="Heading1"/>
      </w:pPr>
      <w:r>
        <w:t>GABA</w:t>
      </w:r>
    </w:p>
    <w:p w14:paraId="721F436F" w14:textId="77777777" w:rsidR="00B72DCF" w:rsidRDefault="00000000">
      <w:pPr>
        <w:spacing w:after="40" w:line="96" w:lineRule="auto"/>
        <w:rPr>
          <w:rFonts w:hint="eastAsia"/>
        </w:rPr>
      </w:pPr>
      <w:r>
        <w:rPr>
          <w:sz w:val="4"/>
        </w:rPr>
        <w:t xml:space="preserve"> </w:t>
      </w:r>
    </w:p>
    <w:p w14:paraId="346AF6D5" w14:textId="2D4BF650" w:rsidR="00B72DCF" w:rsidRDefault="00000000">
      <w:pPr>
        <w:pStyle w:val="ModelLabel"/>
        <w:rPr>
          <w:rFonts w:hint="eastAsia"/>
        </w:rPr>
      </w:pPr>
      <w:r>
        <w:rPr>
          <w:b/>
        </w:rPr>
        <w:t>Qwen 2.4T A95B -</w:t>
      </w:r>
      <w:r w:rsidR="00A10358">
        <w:rPr>
          <w:b/>
        </w:rPr>
        <w:t xml:space="preserve"> A</w:t>
      </w:r>
      <w:r>
        <w:rPr>
          <w:b/>
        </w:rPr>
        <w:t xml:space="preserve"> </w:t>
      </w:r>
      <w:r>
        <w:t>This zone captures a differentiating or early post-mitotic CGE-associated neuromodulatory interneuron state marked by low Coro6 (≤ -0.877), high Cnr1 (&gt; 1.370), high Htr3a (&gt; 2.532), and low Flt3 (≤ 1.030). In this state, Fxyd6 modulates the Na+/K+-ATPase, stabilizing ionic gradients and resting membrane properties. High Htr3a creates cation-influx potential and a demand for pump-mediated recovery, while high Cnr1 places the cell in a Gi/o-coupled excitability state in which resting conductances are actively regulated. Low Coro6 and low Flt3 mark cells that have moved away from motility- or progenitor-associated programs, making Fxyd6-mediated ion homeostasis more directly relevant to input resistance. Fxyd6 serves both as a marker of this interneuron state and as a functional regulator of the pump-dependent homeostatic mechanisms that shape or stabilize higher input resistance.</w:t>
      </w:r>
    </w:p>
    <w:p w14:paraId="068C0673" w14:textId="77777777" w:rsidR="00B72DCF" w:rsidRDefault="00000000">
      <w:pPr>
        <w:spacing w:after="0" w:line="140" w:lineRule="exact"/>
        <w:rPr>
          <w:rFonts w:hint="eastAsia"/>
        </w:rPr>
      </w:pPr>
      <w:r>
        <w:rPr>
          <w:sz w:val="14"/>
        </w:rPr>
        <w:t> </w:t>
      </w:r>
    </w:p>
    <w:p w14:paraId="44E01EAD" w14:textId="4F7273A9" w:rsidR="00B72DCF" w:rsidRDefault="00000000">
      <w:pPr>
        <w:pStyle w:val="ModelLabel"/>
        <w:rPr>
          <w:rFonts w:hint="eastAsia"/>
        </w:rPr>
      </w:pPr>
      <w:r>
        <w:rPr>
          <w:b/>
        </w:rPr>
        <w:t>Gemini 3.1 pro -</w:t>
      </w:r>
      <w:r w:rsidR="00A10358">
        <w:rPr>
          <w:b/>
        </w:rPr>
        <w:t xml:space="preserve"> B</w:t>
      </w:r>
      <w:r>
        <w:rPr>
          <w:b/>
        </w:rPr>
        <w:t xml:space="preserve"> </w:t>
      </w:r>
      <w:r>
        <w:t>This node perfectly describes a well-known post-mitotic CGE-derived CCK-positive interneuron population: Coro6 is low (≤ -0.877), Cnr1 is high (&gt; 1.370), Htr3a is high (&gt; 2.532), and Flt3 is low (≤ 1.030). Fxyd6 modulates the electrogenic Na+/K+-ATPase, which becomes a primary driver of resting membrane potential and conductance while developing neurons lack the full suite of mature leak-potassium channels. The receptor-pump coupling hypothesis holds that 5-HT3R and CB1R signaling cascades converge to regulate Fxyd6 activity or its interaction with the Na+/K+-ATPase. In this mechanism, CB1R agonism alters input resistance only when Fxyd6 is present, making Fxyd6 a downstream effector of endocannabinoid signaling during development. Low Flt3 marks a post-mitotic, migrating or maturing window in which Fxyd6-mediated input-resistance regulation is transiently required before mature potassium leak channels such as TASK channels take over resting conductance.</w:t>
      </w:r>
    </w:p>
    <w:p w14:paraId="6505B5D3" w14:textId="77777777" w:rsidR="00B72DCF" w:rsidRDefault="00000000">
      <w:pPr>
        <w:spacing w:after="0" w:line="140" w:lineRule="exact"/>
        <w:rPr>
          <w:rFonts w:hint="eastAsia"/>
        </w:rPr>
      </w:pPr>
      <w:r>
        <w:rPr>
          <w:sz w:val="14"/>
        </w:rPr>
        <w:t> </w:t>
      </w:r>
    </w:p>
    <w:p w14:paraId="271D5DD5" w14:textId="530309D3" w:rsidR="00B72DCF" w:rsidRDefault="00000000">
      <w:pPr>
        <w:pStyle w:val="ModelLabel"/>
        <w:rPr>
          <w:rFonts w:hint="eastAsia"/>
        </w:rPr>
      </w:pPr>
      <w:r>
        <w:rPr>
          <w:b/>
        </w:rPr>
        <w:t>Qwen 3.8 9B -</w:t>
      </w:r>
      <w:r w:rsidR="00A10358">
        <w:rPr>
          <w:b/>
        </w:rPr>
        <w:t xml:space="preserve"> C</w:t>
      </w:r>
      <w:r>
        <w:rPr>
          <w:b/>
        </w:rPr>
        <w:t xml:space="preserve"> </w:t>
      </w:r>
      <w:r>
        <w:t>This zone defines developing neurons in which input resistance is maximized and strongly dependent on Fxyd6, with low Coro6 (≤ -0.877), high Cnr1 (&gt; 1.370), high Htr3a (&gt; 2.532), and low Flt3 (≤ 1.030) revealing intense neuromodulatory signaling and cytoskeletal quiescence. The scaffold-stabilization hypothesis holds that Fxyd6 acts as a scaffold for Htr3a and Cnr1 heterocomplexes specifically when Coro6-driven actin remodeling is suppressed. Fxyd6 physically links these receptors to the lipid bilayer and prevents their internalization. This stabilization maintains high ligand-gated conductance capacity that paradoxically correlates with high attributed input resistance. This paradox is attributed to the lack of competing Shaker-like potassium leak currents during the same developmental window.</w:t>
      </w:r>
    </w:p>
    <w:p w14:paraId="2CA589B9" w14:textId="77777777" w:rsidR="00B72DCF" w:rsidRDefault="00000000">
      <w:pPr>
        <w:rPr>
          <w:rFonts w:hint="eastAsia"/>
        </w:rPr>
      </w:pPr>
      <w:r>
        <w:br w:type="page"/>
      </w:r>
    </w:p>
    <w:p w14:paraId="65A153C6" w14:textId="77777777" w:rsidR="00B72DCF" w:rsidRDefault="00000000">
      <w:pPr>
        <w:pStyle w:val="Heading1"/>
      </w:pPr>
      <w:r>
        <w:lastRenderedPageBreak/>
        <w:t>pERK</w:t>
      </w:r>
    </w:p>
    <w:p w14:paraId="7917BD66" w14:textId="77777777" w:rsidR="00B72DCF" w:rsidRDefault="00000000">
      <w:pPr>
        <w:spacing w:after="40" w:line="96" w:lineRule="auto"/>
        <w:rPr>
          <w:rFonts w:hint="eastAsia"/>
        </w:rPr>
      </w:pPr>
      <w:r>
        <w:rPr>
          <w:sz w:val="4"/>
        </w:rPr>
        <w:t xml:space="preserve"> </w:t>
      </w:r>
    </w:p>
    <w:p w14:paraId="1EC9F688" w14:textId="06A42D28" w:rsidR="00B72DCF" w:rsidRDefault="00000000">
      <w:pPr>
        <w:pStyle w:val="ModelLabel"/>
        <w:rPr>
          <w:rFonts w:hint="eastAsia"/>
        </w:rPr>
      </w:pPr>
      <w:r>
        <w:rPr>
          <w:b/>
        </w:rPr>
        <w:t xml:space="preserve">Qwen 2.4T A95B </w:t>
      </w:r>
      <w:r w:rsidR="00A10358">
        <w:rPr>
          <w:b/>
        </w:rPr>
        <w:t>–</w:t>
      </w:r>
      <w:r>
        <w:rPr>
          <w:b/>
        </w:rPr>
        <w:t xml:space="preserve"> </w:t>
      </w:r>
      <w:r w:rsidR="00A10358">
        <w:rPr>
          <w:b/>
        </w:rPr>
        <w:t>B</w:t>
      </w:r>
      <w:r w:rsidR="00A10358" w:rsidRPr="00C65F09">
        <w:rPr>
          <w:bCs/>
        </w:rPr>
        <w:t xml:space="preserve"> </w:t>
      </w:r>
      <w:r w:rsidR="00C65F09" w:rsidRPr="00C65F09">
        <w:rPr>
          <w:bCs/>
        </w:rPr>
        <w:t>The</w:t>
      </w:r>
      <w:r w:rsidR="00C65F09">
        <w:rPr>
          <w:b/>
        </w:rPr>
        <w:t xml:space="preserve"> </w:t>
      </w:r>
      <w:r w:rsidR="003E0EE3">
        <w:t>n</w:t>
      </w:r>
      <w:r>
        <w:t>ode defines a high-adhesion, high-cytoskeletal-tension, YAP-permissive state in which cytoplasmic Actin strongly predicts pERK: cytoplasmic Paxillin is high (&gt; 1.342), cytobody Paxillin is high (&gt; 1.597), and nuclear YAP is not suppressed (&gt; -0.236). Paxillin-rich adhesions provide a scaffold that integrates EGF-EGFR-Ras/Raf/MEK/ERK signaling with Src/FAK-associated adhesion signaling. High cytobody Paxillin represents mature, force-bearing adhesions or central cytoskeletal anchoring sites associated with the strongest Actin-pERK relationship. In this context, cytoplasmic Actin indexes a signaling-competent network that sustains tension, adhesion organization, receptor trafficking, and spatial coordination of EGFR/MAPK signaling. Nuclear YAP above the threshold marks a mechanotransductively and transcriptionally permissive state that allows EGF-induced ERK activation to be reinforced by actin-paxillin-YAP-associated signaling.</w:t>
      </w:r>
    </w:p>
    <w:p w14:paraId="45037847" w14:textId="77777777" w:rsidR="00B72DCF" w:rsidRDefault="00000000">
      <w:pPr>
        <w:spacing w:after="0" w:line="140" w:lineRule="exact"/>
        <w:rPr>
          <w:rFonts w:hint="eastAsia"/>
        </w:rPr>
      </w:pPr>
      <w:r>
        <w:rPr>
          <w:sz w:val="14"/>
        </w:rPr>
        <w:t> </w:t>
      </w:r>
    </w:p>
    <w:p w14:paraId="312A1077" w14:textId="50AD14A1" w:rsidR="00B72DCF" w:rsidRDefault="00000000">
      <w:pPr>
        <w:pStyle w:val="ModelLabel"/>
        <w:rPr>
          <w:rFonts w:hint="eastAsia"/>
        </w:rPr>
      </w:pPr>
      <w:r>
        <w:rPr>
          <w:b/>
        </w:rPr>
        <w:t xml:space="preserve">Gemini 3.1 pro </w:t>
      </w:r>
      <w:r w:rsidR="00A10358">
        <w:rPr>
          <w:b/>
        </w:rPr>
        <w:t>–</w:t>
      </w:r>
      <w:r>
        <w:rPr>
          <w:b/>
        </w:rPr>
        <w:t xml:space="preserve"> </w:t>
      </w:r>
      <w:r w:rsidR="00A10358">
        <w:rPr>
          <w:b/>
        </w:rPr>
        <w:t xml:space="preserve">C </w:t>
      </w:r>
      <w:r>
        <w:t>This node defines a tense-scaffold phenotype characterized by high global focal-adhesion presence—cytoplasmic Paxillin &gt; 1.342 and cytobody Paxillin &gt; 1.597—and active mechanotransduction marked by nuclear YAP &gt; -0.236. High Paxillin indicates that the cell is firmly attached to the substrate, while nuclear YAP indicates that the actin cytoskeleton is under high mechanical tension. Pre-existing integrin-EGFR crosstalk at these focal adhesions uses the tense actin network to cluster and optimally activate the RAF/MEK/ERK cascade after EGF stimulation. EGF-induced pERK activation is strictly dependent on RhoA/ROCK-mediated actin contractility only when whole-cell Paxillin exceeds a critical threshold. In this primed state, the tension of the actin network, rather than simply the presence of actin filaments, is the driver of pERK.</w:t>
      </w:r>
    </w:p>
    <w:p w14:paraId="35C66273" w14:textId="77777777" w:rsidR="00B72DCF" w:rsidRDefault="00000000">
      <w:pPr>
        <w:spacing w:after="0" w:line="140" w:lineRule="exact"/>
        <w:rPr>
          <w:rFonts w:hint="eastAsia"/>
        </w:rPr>
      </w:pPr>
      <w:r>
        <w:rPr>
          <w:sz w:val="14"/>
        </w:rPr>
        <w:t> </w:t>
      </w:r>
    </w:p>
    <w:p w14:paraId="16BB989E" w14:textId="3868C210" w:rsidR="00B72DCF" w:rsidRDefault="00000000">
      <w:pPr>
        <w:pStyle w:val="ModelLabel"/>
        <w:rPr>
          <w:rFonts w:hint="eastAsia"/>
        </w:rPr>
      </w:pPr>
      <w:r>
        <w:rPr>
          <w:b/>
        </w:rPr>
        <w:t>Qwen 3.8 9B -</w:t>
      </w:r>
      <w:r w:rsidR="00A10358">
        <w:rPr>
          <w:b/>
        </w:rPr>
        <w:t xml:space="preserve"> A</w:t>
      </w:r>
      <w:r>
        <w:rPr>
          <w:b/>
        </w:rPr>
        <w:t xml:space="preserve"> </w:t>
      </w:r>
      <w:r>
        <w:t>The combined thresholds—cytoplasmic Paxillin &gt; 1.342, cytobody Paxillin &gt; 1.597, and nuclear YAP &gt; -0.236—identify a “Mechanical Priming” phase in which high-density focal adhesions coexist with compartmentalized Paxillin bodies. High cytobody Paxillin represents subcellular segregation of adhesion components into cytoplasmic bodies, likely endocytic vesicles or storage granules containing Paxillin. In this state, the actin cytoskeleton is actively remodeled for high-fidelity force transmission, while moderate nuclear YAP may synergize with the pathway and the cytoskeleton provides the structural scaffold for ERK nuclear entry. EGF induces Paxillin-rich cytoplasmic vesicles that retain active Src/FAK signaling complexes away from degradation, enhancing the pool of substrates available for ERK phosphorylation. Mature focal adhesions amplify MAPK/ERK signaling, while Paxillin trafficking or endosomal recycling is a prerequisite for optimal EGF-induced pERK attribution.</w:t>
      </w:r>
    </w:p>
    <w:p w14:paraId="35DA99C6" w14:textId="77777777" w:rsidR="00B72DCF" w:rsidRDefault="00000000">
      <w:pPr>
        <w:rPr>
          <w:rFonts w:hint="eastAsia"/>
        </w:rPr>
      </w:pPr>
      <w:r>
        <w:br w:type="page"/>
      </w:r>
    </w:p>
    <w:p w14:paraId="1E4A197F" w14:textId="77777777" w:rsidR="00B72DCF" w:rsidRDefault="00000000">
      <w:pPr>
        <w:pStyle w:val="Heading1"/>
      </w:pPr>
      <w:r>
        <w:lastRenderedPageBreak/>
        <w:t>Ki-67</w:t>
      </w:r>
    </w:p>
    <w:p w14:paraId="1BC0EB70" w14:textId="77777777" w:rsidR="00B72DCF" w:rsidRDefault="00000000">
      <w:pPr>
        <w:spacing w:after="40" w:line="96" w:lineRule="auto"/>
        <w:rPr>
          <w:rFonts w:hint="eastAsia"/>
        </w:rPr>
      </w:pPr>
      <w:r>
        <w:rPr>
          <w:sz w:val="4"/>
        </w:rPr>
        <w:t xml:space="preserve"> </w:t>
      </w:r>
    </w:p>
    <w:p w14:paraId="5314FA68" w14:textId="4E255542" w:rsidR="00B72DCF" w:rsidRDefault="00000000">
      <w:pPr>
        <w:pStyle w:val="ModelLabel"/>
        <w:rPr>
          <w:rFonts w:hint="eastAsia"/>
        </w:rPr>
      </w:pPr>
      <w:r>
        <w:rPr>
          <w:b/>
        </w:rPr>
        <w:t xml:space="preserve">Qwen 2.4T A95B </w:t>
      </w:r>
      <w:r w:rsidR="00A10358">
        <w:rPr>
          <w:b/>
        </w:rPr>
        <w:t>–</w:t>
      </w:r>
      <w:r>
        <w:rPr>
          <w:b/>
        </w:rPr>
        <w:t xml:space="preserve"> </w:t>
      </w:r>
      <w:r w:rsidR="00A10358">
        <w:rPr>
          <w:b/>
        </w:rPr>
        <w:t xml:space="preserve">C </w:t>
      </w:r>
      <w:r>
        <w:t>The Node signature isolates a breast cancer state with three coordinated modules: HNRNPA2B1-high RNA processing (&gt; 0.333), TUBB4B-high microtubule/mitotic execution (&gt; 0.489), and RPLP0-high ribosomal/translation capacity (&gt; 0.169). Within this state, PTMA acts upstream as a chromatin-associated proliferation amplifier that opens or sustains transcriptionally permissive chromatin at MKI67 and other cell-cycle loci. HNRNPA2B1 then supports the processing, export, stability, or splicing of the resulting proliferation-associated transcripts. RPLP0 supplies the ribosomal capacity for protein synthesis, while TUBB4B supplies the microtubule and mitotic machinery needed to execute the proliferative program. Together, these components form a fully enabled proliferation circuit in which transcriptional activation, RNA maturation, translation, and mitotic competence are simultaneously high, stabilizing Ki-67 expression and the cycling state.</w:t>
      </w:r>
    </w:p>
    <w:p w14:paraId="66D75600" w14:textId="77777777" w:rsidR="00B72DCF" w:rsidRDefault="00000000">
      <w:pPr>
        <w:spacing w:after="0" w:line="140" w:lineRule="exact"/>
        <w:rPr>
          <w:rFonts w:hint="eastAsia"/>
        </w:rPr>
      </w:pPr>
      <w:r>
        <w:rPr>
          <w:sz w:val="14"/>
        </w:rPr>
        <w:t> </w:t>
      </w:r>
    </w:p>
    <w:p w14:paraId="6E0B1F41" w14:textId="00551A90" w:rsidR="00B72DCF" w:rsidRDefault="00000000">
      <w:pPr>
        <w:pStyle w:val="ModelLabel"/>
        <w:rPr>
          <w:rFonts w:hint="eastAsia"/>
        </w:rPr>
      </w:pPr>
      <w:r>
        <w:rPr>
          <w:b/>
        </w:rPr>
        <w:t xml:space="preserve">Gemini 3.1 pro </w:t>
      </w:r>
      <w:r w:rsidR="00A10358">
        <w:rPr>
          <w:b/>
        </w:rPr>
        <w:t>–</w:t>
      </w:r>
      <w:r>
        <w:rPr>
          <w:b/>
        </w:rPr>
        <w:t xml:space="preserve"> </w:t>
      </w:r>
      <w:r w:rsidR="00A10358">
        <w:rPr>
          <w:b/>
        </w:rPr>
        <w:t xml:space="preserve">A </w:t>
      </w:r>
      <w:r>
        <w:t>The “Hyper-Translational Mitotic” phenotype appears when HNRNPA2B1 (&gt; 0.333), TUBB4B (&gt; 0.489), and RPLP0 (&gt; 0.169) are all high, creating a transcriptomic microenvironment dominated by RNA processing, ribosome biogenesis, and mitotic structural components. PTMA acts as an upstream chromatin remodeler that drives proliferation-gene transcription, but its effect culminates in Ki-67 expression only when HNRNPA2B1 supplies RNA-processing machinery and RPLP0 supplies massive translational capacity. TUBB4B provides the mitotic-spindle building block required for successful cell division. In this state, PTMA is the ignition, and the HNRNPA2B1/RPLP0/TUBB4B axis is the engine required for successful mitosis in breast cancer cells. PTMA-mediated chromatin unwinding may open the HNRNPA2B1 and RPLP0 promoters, while HNRNPA2B1 may regulate the splicing or export of TUBB4B and MKI67 transcripts.</w:t>
      </w:r>
    </w:p>
    <w:p w14:paraId="3BBAF7FA" w14:textId="77777777" w:rsidR="00B72DCF" w:rsidRDefault="00000000">
      <w:pPr>
        <w:spacing w:after="0" w:line="140" w:lineRule="exact"/>
        <w:rPr>
          <w:rFonts w:hint="eastAsia"/>
        </w:rPr>
      </w:pPr>
      <w:r>
        <w:rPr>
          <w:sz w:val="14"/>
        </w:rPr>
        <w:t> </w:t>
      </w:r>
    </w:p>
    <w:p w14:paraId="0EC7F2F0" w14:textId="496572D0" w:rsidR="00B72DCF" w:rsidRDefault="00000000">
      <w:pPr>
        <w:pStyle w:val="ModelLabel"/>
        <w:rPr>
          <w:rFonts w:hint="eastAsia"/>
        </w:rPr>
      </w:pPr>
      <w:r>
        <w:rPr>
          <w:b/>
        </w:rPr>
        <w:t xml:space="preserve">Qwen 3.8 9B </w:t>
      </w:r>
      <w:r w:rsidR="00A10358">
        <w:rPr>
          <w:b/>
        </w:rPr>
        <w:t>–</w:t>
      </w:r>
      <w:r>
        <w:rPr>
          <w:b/>
        </w:rPr>
        <w:t xml:space="preserve"> </w:t>
      </w:r>
      <w:r w:rsidR="00A10358">
        <w:rPr>
          <w:b/>
        </w:rPr>
        <w:t xml:space="preserve">B </w:t>
      </w:r>
      <w:r>
        <w:t>The co-expression of high HNRNPA2B1 (&gt; 0.333), high TUBB4B (&gt; 0.489), and high RPLP0 (&gt; 0.169) defines a state of maximal cellular plasticity, with simultaneous splicing, translation, and microtubule-polymerization activity required for rapid division. PTMA acts as a master regulator, potentially a scaffolding protein or RNA-binding element, that stabilizes the co-transcription of splicing factors and cytoskeletal components. High HNRNPA2B1 and RPLP0 couple intense pre-mRNA processing and transcript maturation to immediate import into translating ribosomes. High TUBB4B supplies beta-tubulin for stress-fiber formation and neuronal or epithelial structural integrity before mitosis. PTMA may bind HNRNPA2B1 or TUBB4B promoters or 3-prime untranslated regions to enhance co-transcription, while HNRNPA2B1 may stabilize TUBB4B mRNA.</w:t>
      </w:r>
    </w:p>
    <w:p w14:paraId="27BF8EBF" w14:textId="77777777" w:rsidR="00B72DCF" w:rsidRDefault="00000000">
      <w:pPr>
        <w:rPr>
          <w:rFonts w:hint="eastAsia"/>
        </w:rPr>
      </w:pPr>
      <w:r>
        <w:br w:type="page"/>
      </w:r>
    </w:p>
    <w:p w14:paraId="7AD3F9A5" w14:textId="77777777" w:rsidR="00B72DCF" w:rsidRDefault="00000000">
      <w:pPr>
        <w:pStyle w:val="Heading1"/>
      </w:pPr>
      <w:r>
        <w:lastRenderedPageBreak/>
        <w:t>CD45RA</w:t>
      </w:r>
    </w:p>
    <w:p w14:paraId="311D1AFD" w14:textId="77777777" w:rsidR="00B72DCF" w:rsidRDefault="00000000">
      <w:pPr>
        <w:spacing w:after="40" w:line="96" w:lineRule="auto"/>
        <w:rPr>
          <w:rFonts w:hint="eastAsia"/>
        </w:rPr>
      </w:pPr>
      <w:r>
        <w:rPr>
          <w:sz w:val="4"/>
        </w:rPr>
        <w:t xml:space="preserve"> </w:t>
      </w:r>
    </w:p>
    <w:p w14:paraId="44A1330D" w14:textId="77777777" w:rsidR="00B72DCF" w:rsidRDefault="00000000">
      <w:pPr>
        <w:pStyle w:val="ModelLabel"/>
        <w:rPr>
          <w:rFonts w:hint="eastAsia"/>
        </w:rPr>
      </w:pPr>
      <w:r>
        <w:rPr>
          <w:b/>
          <w:sz w:val="17"/>
        </w:rPr>
        <w:t xml:space="preserve">Qwen 2.4T A95B - </w:t>
      </w:r>
      <w:r>
        <w:rPr>
          <w:sz w:val="17"/>
        </w:rPr>
        <w:t>Node 20 first places the samples in a cytotoxic lymphoid compartment through NKG7 &gt; 1.220, then refines that state through GZMB &gt; 1.419, CST3 ≤ 0.784, and KLRD1 &gt; 2.154 into a CD94-positive cytotoxic population in cord blood. In this state, GNLY becomes highly informative for CD45RA because it is embedded in a coherent NKG7/GZMB/GNLY/KLRD1 cytotoxic-granule module, while low CST3 excludes myeloid or protease-inhibitor-rich states. GNLY functions as a surrogate marker of a CD45RA-associated cytotoxic differentiation state rather than as a direct regulator of CD45RA expression. CD94/NKG2A-HLA-E signaling may restrain activation-induced switching from CD45RA toward CD45RO while still permitting GNLY, GZMB, and NKG7 expression. Low CST3 may mark reduced inhibition of lysosomal cysteine proteases, creating a state more compatible with cytotoxic-granule maturation, trafficking, or effector-gene expression.</w:t>
      </w:r>
    </w:p>
    <w:p w14:paraId="77305D13" w14:textId="77777777" w:rsidR="00B72DCF" w:rsidRDefault="00000000">
      <w:pPr>
        <w:spacing w:after="0" w:line="140" w:lineRule="exact"/>
        <w:rPr>
          <w:rFonts w:hint="eastAsia"/>
        </w:rPr>
      </w:pPr>
      <w:r>
        <w:rPr>
          <w:sz w:val="14"/>
        </w:rPr>
        <w:t> </w:t>
      </w:r>
    </w:p>
    <w:p w14:paraId="156F9C90" w14:textId="77777777" w:rsidR="00B72DCF" w:rsidRDefault="00000000">
      <w:pPr>
        <w:pStyle w:val="ModelLabel"/>
        <w:rPr>
          <w:rFonts w:hint="eastAsia"/>
        </w:rPr>
      </w:pPr>
      <w:r>
        <w:rPr>
          <w:b/>
          <w:sz w:val="17"/>
        </w:rPr>
        <w:t xml:space="preserve">Gemini 3.1 pro - </w:t>
      </w:r>
      <w:r>
        <w:rPr>
          <w:sz w:val="17"/>
        </w:rPr>
        <w:t>This rule isolates a highly pure population of mature cytotoxic NK cells, likely a neonatal CD56dim-equivalent population, through high NKG7 (&gt; 1.220), high GZMB (&gt; 1.419), low CST3 (≤ 0.784), and high KLRD1 (&gt; 2.154). High NKG7 and GZMB indicate an active cytotoxic state, high KLRD1/CD94 confirms the NK lineage, and low CST3 filters out monocytes and dendritic cells. Because GNLY is co-packaged with GZMB in cytotoxic granules and mature neonatal NK cells constitutively express CD45RA, GNLY becomes a near-perfect proxy for CD45RA-positive mature NK cells in cord blood. The GNLY-CD45RA link is strictly gated by KLRD1/CD94 expression, and HLA-E recognition is required to maintain the stable CD45RA-positive, GNLY-positive phenotype. In this mechanism, CD94 signaling maintains the GNLY/GZMB cytotoxic axis while preventing loss or isoform switching of CD45RA.</w:t>
      </w:r>
    </w:p>
    <w:p w14:paraId="75D6011F" w14:textId="77777777" w:rsidR="00B72DCF" w:rsidRDefault="00000000">
      <w:pPr>
        <w:spacing w:after="0" w:line="140" w:lineRule="exact"/>
        <w:rPr>
          <w:rFonts w:hint="eastAsia"/>
        </w:rPr>
      </w:pPr>
      <w:r>
        <w:rPr>
          <w:sz w:val="14"/>
        </w:rPr>
        <w:t> </w:t>
      </w:r>
    </w:p>
    <w:p w14:paraId="2DF60709" w14:textId="77777777" w:rsidR="00B72DCF" w:rsidRDefault="00000000">
      <w:pPr>
        <w:pStyle w:val="ModelLabel"/>
        <w:rPr>
          <w:rFonts w:hint="eastAsia"/>
        </w:rPr>
      </w:pPr>
      <w:r>
        <w:rPr>
          <w:b/>
          <w:sz w:val="17"/>
        </w:rPr>
        <w:t xml:space="preserve">Qwen 3.8 9B - </w:t>
      </w:r>
      <w:r>
        <w:rPr>
          <w:sz w:val="17"/>
        </w:rPr>
        <w:t>The Node 20 signature—NKG7 &gt; 1.220, GZMB &gt; 1.419, CST3 ≤ 0.784, and KLRD1 &gt; 2.154—challenges the traditional view that high GNLY strictly denotes terminal activation and instead reveals a neonatal naive-primed cytotoxic phenotype with retained CD45RA. High NKG7 and GZMB indicate immediate lytic machinery in innately educated progenitors or early T/NK precursors before antigen encounter. Low CST3 marks an active proteolytic environment that permits maturation or migration, and high KLRD1 acts as the stabilizing receptor that prevents premature commitment to CD45RO-positive memory differentiation. The developmental-lock hypothesis holds that high-density KLRD1-ligand interactions suppress differentiation signals while maintaining cytotoxic-protein translation. Through this lock, the cells retain CD45RA despite their cytotoxic armamentarium instead of converting toward a CD45RO-positive memory state.</w:t>
      </w:r>
    </w:p>
    <w:sectPr w:rsidR="00B72DCF"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86B444" w14:textId="77777777" w:rsidR="003B49C4" w:rsidRDefault="003B49C4">
      <w:pPr>
        <w:spacing w:after="0" w:line="240" w:lineRule="auto"/>
        <w:rPr>
          <w:rFonts w:hint="eastAsia"/>
        </w:rPr>
      </w:pPr>
      <w:r>
        <w:separator/>
      </w:r>
    </w:p>
  </w:endnote>
  <w:endnote w:type="continuationSeparator" w:id="0">
    <w:p w14:paraId="58047E5F" w14:textId="77777777" w:rsidR="003B49C4" w:rsidRDefault="003B49C4">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iberation Sans">
    <w:altName w:val="Arial"/>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A382E" w14:textId="77777777" w:rsidR="00B72DCF" w:rsidRDefault="00000000">
    <w:pPr>
      <w:pStyle w:val="Footer"/>
      <w:jc w:val="center"/>
      <w:rPr>
        <w:rFonts w:hint="eastAsia"/>
      </w:rPr>
    </w:pPr>
    <w:r>
      <w:rPr>
        <w:color w:val="646464"/>
        <w:sz w:val="18"/>
      </w:rPr>
      <w:fldChar w:fldCharType="begin"/>
    </w:r>
    <w:r>
      <w:rPr>
        <w:color w:val="646464"/>
        <w:sz w:val="18"/>
      </w:rPr>
      <w:instrText xml:space="preserve"> PAGE </w:instrText>
    </w:r>
    <w:r>
      <w:rPr>
        <w:color w:val="646464"/>
        <w:sz w:val="18"/>
      </w:rPr>
      <w:fldChar w:fldCharType="separate"/>
    </w:r>
    <w:r w:rsidR="0065214A">
      <w:rPr>
        <w:rFonts w:hint="eastAsia"/>
        <w:noProof/>
        <w:color w:val="646464"/>
        <w:sz w:val="18"/>
      </w:rPr>
      <w:t>1</w:t>
    </w:r>
    <w:r>
      <w:rPr>
        <w:color w:val="646464"/>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DD7E2A" w14:textId="77777777" w:rsidR="003B49C4" w:rsidRDefault="003B49C4">
      <w:pPr>
        <w:spacing w:after="0" w:line="240" w:lineRule="auto"/>
        <w:rPr>
          <w:rFonts w:hint="eastAsia"/>
        </w:rPr>
      </w:pPr>
      <w:r>
        <w:separator/>
      </w:r>
    </w:p>
  </w:footnote>
  <w:footnote w:type="continuationSeparator" w:id="0">
    <w:p w14:paraId="760F3426" w14:textId="77777777" w:rsidR="003B49C4" w:rsidRDefault="003B49C4">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94153402">
    <w:abstractNumId w:val="8"/>
  </w:num>
  <w:num w:numId="2" w16cid:durableId="747464763">
    <w:abstractNumId w:val="6"/>
  </w:num>
  <w:num w:numId="3" w16cid:durableId="936324700">
    <w:abstractNumId w:val="5"/>
  </w:num>
  <w:num w:numId="4" w16cid:durableId="1440635940">
    <w:abstractNumId w:val="4"/>
  </w:num>
  <w:num w:numId="5" w16cid:durableId="1905918028">
    <w:abstractNumId w:val="7"/>
  </w:num>
  <w:num w:numId="6" w16cid:durableId="873930179">
    <w:abstractNumId w:val="3"/>
  </w:num>
  <w:num w:numId="7" w16cid:durableId="1473669744">
    <w:abstractNumId w:val="2"/>
  </w:num>
  <w:num w:numId="8" w16cid:durableId="886137876">
    <w:abstractNumId w:val="1"/>
  </w:num>
  <w:num w:numId="9" w16cid:durableId="8575464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49C4"/>
    <w:rsid w:val="003E0EE3"/>
    <w:rsid w:val="0065214A"/>
    <w:rsid w:val="00A10358"/>
    <w:rsid w:val="00A56883"/>
    <w:rsid w:val="00AA1D8D"/>
    <w:rsid w:val="00B47730"/>
    <w:rsid w:val="00B72DCF"/>
    <w:rsid w:val="00C23688"/>
    <w:rsid w:val="00C65F0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B9801F"/>
  <w14:defaultImageDpi w14:val="300"/>
  <w15:docId w15:val="{873084CF-F9FC-469B-A877-80FE57590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0" w:lineRule="auto"/>
    </w:pPr>
    <w:rPr>
      <w:rFonts w:ascii="Liberation Sans" w:hAnsi="Liberation Sans"/>
      <w:color w:val="000000"/>
      <w:sz w:val="20"/>
    </w:rPr>
  </w:style>
  <w:style w:type="paragraph" w:styleId="Heading1">
    <w:name w:val="heading 1"/>
    <w:basedOn w:val="Normal"/>
    <w:next w:val="Normal"/>
    <w:link w:val="Heading1Char"/>
    <w:uiPriority w:val="9"/>
    <w:qFormat/>
    <w:rsid w:val="00FC693F"/>
    <w:pPr>
      <w:keepNext/>
      <w:keepLines/>
      <w:spacing w:after="18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delLabel">
    <w:name w:val="Model Label"/>
    <w:pPr>
      <w:spacing w:after="80" w:line="240" w:lineRule="auto"/>
    </w:pPr>
    <w:rPr>
      <w:rFonts w:ascii="Liberation Sans" w:hAnsi="Liberation Sans"/>
      <w:color w:val="00000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176</TotalTime>
  <Pages>4</Pages>
  <Words>1682</Words>
  <Characters>9592</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Primary Zone Mechanistic Hypotheses</vt:lpstr>
    </vt:vector>
  </TitlesOfParts>
  <Manager/>
  <Company/>
  <LinksUpToDate>false</LinksUpToDate>
  <CharactersWithSpaces>11252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Primary Zone Mechanistic Hypotheses</dc:title>
  <dc:subject>Five-sentence mechanistic hypotheses for four datasets and three language models</dc:subject>
  <dc:creator/>
  <cp:keywords/>
  <dc:description>generated by python-docx</dc:description>
  <cp:lastModifiedBy/>
  <cp:revision>4</cp:revision>
  <dcterms:created xsi:type="dcterms:W3CDTF">2013-12-23T23:15:00Z</dcterms:created>
  <dcterms:modified xsi:type="dcterms:W3CDTF">2026-09-25T18:12:00Z</dcterms:modified>
  <cp:category/>
</cp:coreProperties>
</file>