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FFD7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Valuation Approach: Equity Value Calculation</w:t>
      </w:r>
    </w:p>
    <w:p w14:paraId="00078059" w14:textId="77777777" w:rsidR="006B158F" w:rsidRPr="006B158F" w:rsidRDefault="006B158F" w:rsidP="006B158F">
      <w:r w:rsidRPr="006B158F">
        <w:t>This valuation method estimates the equity value of a company through a three-step process, leveraging fundamental financial principles. Each step is designed to systematically derive cash flows available to equity holders, discount them appropriately, and adjust for debt and non-operating assets. Below, we outline the steps, formulas, and key components.</w:t>
      </w:r>
    </w:p>
    <w:p w14:paraId="3AD39460" w14:textId="77777777" w:rsidR="006B158F" w:rsidRPr="006B158F" w:rsidRDefault="00000000" w:rsidP="006B158F">
      <w:r>
        <w:pict w14:anchorId="2A45CFDD">
          <v:rect id="_x0000_i1025" style="width:0;height:1.5pt" o:hralign="center" o:hrstd="t" o:hr="t" fillcolor="#a0a0a0" stroked="f"/>
        </w:pict>
      </w:r>
    </w:p>
    <w:p w14:paraId="61EFE9A3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Step 1: Calculate Free Cash Flow to Equity (FCFE)</w:t>
      </w:r>
    </w:p>
    <w:p w14:paraId="4BE2F39F" w14:textId="77777777" w:rsidR="006B158F" w:rsidRPr="006B158F" w:rsidRDefault="006B158F" w:rsidP="006B158F">
      <w:r w:rsidRPr="006B158F">
        <w:t>FCFE represents the cash available to equity holders after accounting for operating expenses, reinvestments, taxes, and interest obligations. The formula is:</w:t>
      </w:r>
    </w:p>
    <w:p w14:paraId="5CA8F9B2" w14:textId="623C8446" w:rsidR="006B158F" w:rsidRPr="006B158F" w:rsidRDefault="006B158F" w:rsidP="006B158F">
      <w:r w:rsidRPr="006B158F">
        <w:rPr>
          <w:b/>
          <w:bCs/>
        </w:rPr>
        <w:t>FCFE = (Normalized Operating EBIT + Depreciation &amp; Amortization – Capital Expenditures) + Stable Non-Operating EBIT + Net Interest Income – Taxes</w:t>
      </w:r>
      <w:r w:rsidR="001342B7">
        <w:rPr>
          <w:rFonts w:hint="eastAsia"/>
          <w:b/>
          <w:bCs/>
        </w:rPr>
        <w:t xml:space="preserve"> </w:t>
      </w:r>
      <w:r w:rsidR="001342B7" w:rsidRPr="001342B7">
        <w:rPr>
          <w:b/>
          <w:bCs/>
        </w:rPr>
        <w:t>– NCI’s Share of Profits</w:t>
      </w:r>
      <w:r w:rsidRPr="006B158F">
        <w:rPr>
          <w:b/>
          <w:bCs/>
        </w:rPr>
        <w:t xml:space="preserve"> – Working Capital Investment + Net Borrowing</w:t>
      </w:r>
    </w:p>
    <w:p w14:paraId="598000D2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Key Components:</w:t>
      </w:r>
    </w:p>
    <w:p w14:paraId="1EAC6C5B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Normalized Operating EBIT</w:t>
      </w:r>
      <w:r w:rsidRPr="006B158F">
        <w:t>: Earnings before interest and taxes from core business operations, adjusted to remove one-time or irregular items for a sustainable earnings base.</w:t>
      </w:r>
    </w:p>
    <w:p w14:paraId="57C5A065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Depreciation &amp; Amortization (D&amp;A)</w:t>
      </w:r>
      <w:r w:rsidRPr="006B158F">
        <w:t>: Non-cash expenses added back to reflect cash generated from operations.</w:t>
      </w:r>
    </w:p>
    <w:p w14:paraId="53A72B84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Capital Expenditures (Capex)</w:t>
      </w:r>
      <w:r w:rsidRPr="006B158F">
        <w:t>: Cash outflows required to maintain or expand operational assets, subtracted from the cash flow.</w:t>
      </w:r>
    </w:p>
    <w:p w14:paraId="4F3D4536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Stable Non-Operating EBIT</w:t>
      </w:r>
      <w:r w:rsidRPr="006B158F">
        <w:t>: Consistent earnings from non-core assets, such as fixed-income investments, dividend-paying stocks, or rental properties.</w:t>
      </w:r>
    </w:p>
    <w:p w14:paraId="7C9515C9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Net Interest Income</w:t>
      </w:r>
      <w:r w:rsidRPr="006B158F">
        <w:t xml:space="preserve">: Interest income minus interest expense, calculated as: </w:t>
      </w:r>
    </w:p>
    <w:p w14:paraId="7E71B2CE" w14:textId="77777777" w:rsidR="006B158F" w:rsidRPr="006B158F" w:rsidRDefault="006B158F" w:rsidP="006B158F">
      <w:pPr>
        <w:numPr>
          <w:ilvl w:val="1"/>
          <w:numId w:val="1"/>
        </w:numPr>
      </w:pPr>
      <w:r w:rsidRPr="006B158F">
        <w:rPr>
          <w:b/>
          <w:bCs/>
        </w:rPr>
        <w:t>Interest Income</w:t>
      </w:r>
      <w:r w:rsidRPr="006B158F">
        <w:t>: Total cash and deposits multiplied by the applicable bank interest rate for similar deposits.</w:t>
      </w:r>
    </w:p>
    <w:p w14:paraId="6AE59387" w14:textId="77777777" w:rsidR="006B158F" w:rsidRPr="006B158F" w:rsidRDefault="006B158F" w:rsidP="006B158F">
      <w:pPr>
        <w:numPr>
          <w:ilvl w:val="1"/>
          <w:numId w:val="1"/>
        </w:numPr>
      </w:pPr>
      <w:r w:rsidRPr="006B158F">
        <w:rPr>
          <w:b/>
          <w:bCs/>
        </w:rPr>
        <w:t>Interest Expense</w:t>
      </w:r>
      <w:r w:rsidRPr="006B158F">
        <w:t>: Total interest-bearing debt multiplied by the market interest rate for comparable loans.</w:t>
      </w:r>
    </w:p>
    <w:p w14:paraId="04598447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Taxes</w:t>
      </w:r>
      <w:r w:rsidRPr="006B158F">
        <w:t xml:space="preserve">: Calculated as: </w:t>
      </w:r>
      <w:r w:rsidRPr="006B158F">
        <w:rPr>
          <w:b/>
          <w:bCs/>
        </w:rPr>
        <w:t>Tax = (Normalized Operating EBIT + Stable Non-Operating EBIT + Interest Income – Interest Expense) × Tax Rate</w:t>
      </w:r>
    </w:p>
    <w:p w14:paraId="7934505C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Working Capital Investment (</w:t>
      </w:r>
      <w:proofErr w:type="spellStart"/>
      <w:r w:rsidRPr="006B158F">
        <w:rPr>
          <w:b/>
          <w:bCs/>
        </w:rPr>
        <w:t>WCInv</w:t>
      </w:r>
      <w:proofErr w:type="spellEnd"/>
      <w:r w:rsidRPr="006B158F">
        <w:rPr>
          <w:b/>
          <w:bCs/>
        </w:rPr>
        <w:t>)</w:t>
      </w:r>
      <w:r w:rsidRPr="006B158F">
        <w:t>: Incremental cash invested in day-to-day operations, subtracted from the cash flow.</w:t>
      </w:r>
    </w:p>
    <w:p w14:paraId="66FBDEF1" w14:textId="77777777" w:rsidR="006B158F" w:rsidRPr="006B158F" w:rsidRDefault="006B158F" w:rsidP="006B158F">
      <w:pPr>
        <w:numPr>
          <w:ilvl w:val="0"/>
          <w:numId w:val="1"/>
        </w:numPr>
      </w:pPr>
      <w:r w:rsidRPr="006B158F">
        <w:rPr>
          <w:b/>
          <w:bCs/>
        </w:rPr>
        <w:t>Net Borrowing</w:t>
      </w:r>
      <w:r w:rsidRPr="006B158F">
        <w:t>: Assumed to be zero in this model to focus solely on existing cash flows without additional financing assumptions.</w:t>
      </w:r>
    </w:p>
    <w:p w14:paraId="67A4B7C3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Purpose:</w:t>
      </w:r>
    </w:p>
    <w:p w14:paraId="352AA97A" w14:textId="77777777" w:rsidR="006B158F" w:rsidRPr="006B158F" w:rsidRDefault="006B158F" w:rsidP="006B158F">
      <w:r w:rsidRPr="006B158F">
        <w:t>This step ensures a comprehensive measure of cash flow by incorporating both operating and stable non-operating sources while accounting for taxes and reinvestment needs.</w:t>
      </w:r>
    </w:p>
    <w:p w14:paraId="40B48DE7" w14:textId="77777777" w:rsidR="006B158F" w:rsidRPr="006B158F" w:rsidRDefault="00000000" w:rsidP="006B158F">
      <w:r>
        <w:pict w14:anchorId="534423EE">
          <v:rect id="_x0000_i1026" style="width:0;height:1.5pt" o:hralign="center" o:hrstd="t" o:hr="t" fillcolor="#a0a0a0" stroked="f"/>
        </w:pict>
      </w:r>
    </w:p>
    <w:p w14:paraId="69B4B5ED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Step 2: Calculate Stable Income Value Using FCFE</w:t>
      </w:r>
    </w:p>
    <w:p w14:paraId="54B42B39" w14:textId="77777777" w:rsidR="006B158F" w:rsidRPr="006B158F" w:rsidRDefault="006B158F" w:rsidP="006B158F">
      <w:r w:rsidRPr="006B158F">
        <w:t>The stable income value represents the present value of FCFE, assuming it grows at a constant rate indefinitely. This is calculated using the Gordon Growth Model:</w:t>
      </w:r>
    </w:p>
    <w:p w14:paraId="1EEB19A7" w14:textId="77777777" w:rsidR="006B158F" w:rsidRPr="006B158F" w:rsidRDefault="006B158F" w:rsidP="006B158F">
      <w:r w:rsidRPr="006B158F">
        <w:rPr>
          <w:b/>
          <w:bCs/>
        </w:rPr>
        <w:t>Stable Income Value = Normalized FCFE / (Cost of Equity – Perpetual Growth Rate)</w:t>
      </w:r>
    </w:p>
    <w:p w14:paraId="3C43DD61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Key Components:</w:t>
      </w:r>
    </w:p>
    <w:p w14:paraId="1290B78B" w14:textId="77777777" w:rsidR="006B158F" w:rsidRPr="006B158F" w:rsidRDefault="006B158F" w:rsidP="006B158F">
      <w:pPr>
        <w:numPr>
          <w:ilvl w:val="0"/>
          <w:numId w:val="2"/>
        </w:numPr>
      </w:pPr>
      <w:r w:rsidRPr="006B158F">
        <w:rPr>
          <w:b/>
          <w:bCs/>
        </w:rPr>
        <w:lastRenderedPageBreak/>
        <w:t>Normalized FCFE</w:t>
      </w:r>
      <w:r w:rsidRPr="006B158F">
        <w:t>: The FCFE from Step 1, adjusted to reflect a sustainable, long-term level.</w:t>
      </w:r>
    </w:p>
    <w:p w14:paraId="54DE1926" w14:textId="77777777" w:rsidR="006B158F" w:rsidRPr="006B158F" w:rsidRDefault="006B158F" w:rsidP="006B158F">
      <w:pPr>
        <w:numPr>
          <w:ilvl w:val="0"/>
          <w:numId w:val="2"/>
        </w:numPr>
      </w:pPr>
      <w:r w:rsidRPr="006B158F">
        <w:rPr>
          <w:b/>
          <w:bCs/>
        </w:rPr>
        <w:t>Cost of Equity (r)</w:t>
      </w:r>
      <w:r w:rsidRPr="006B158F">
        <w:t>: The required rate of return for equity investors, serving as the discount rate.</w:t>
      </w:r>
    </w:p>
    <w:p w14:paraId="6777B5D9" w14:textId="77777777" w:rsidR="006B158F" w:rsidRPr="006B158F" w:rsidRDefault="006B158F" w:rsidP="006B158F">
      <w:pPr>
        <w:numPr>
          <w:ilvl w:val="0"/>
          <w:numId w:val="2"/>
        </w:numPr>
      </w:pPr>
      <w:r w:rsidRPr="006B158F">
        <w:rPr>
          <w:b/>
          <w:bCs/>
        </w:rPr>
        <w:t>Perpetual Growth Rate (g)</w:t>
      </w:r>
      <w:r w:rsidRPr="006B158F">
        <w:t>: The expected long-term growth rate of FCFE, typically aligned with economic or industry growth trends.</w:t>
      </w:r>
    </w:p>
    <w:p w14:paraId="76882703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Purpose:</w:t>
      </w:r>
    </w:p>
    <w:p w14:paraId="604D8E7B" w14:textId="77777777" w:rsidR="006B158F" w:rsidRPr="006B158F" w:rsidRDefault="006B158F" w:rsidP="006B158F">
      <w:r w:rsidRPr="006B158F">
        <w:t>This step capitalizes the FCFE into perpetuity, making it suitable for valuing mature companies with predictable cash flows. The Gordon Growth Model assumes stable growth, balancing simplicity with accuracy.</w:t>
      </w:r>
    </w:p>
    <w:p w14:paraId="1A5FF035" w14:textId="77777777" w:rsidR="006B158F" w:rsidRPr="006B158F" w:rsidRDefault="00000000" w:rsidP="006B158F">
      <w:r>
        <w:pict w14:anchorId="782348B6">
          <v:rect id="_x0000_i1027" style="width:0;height:1.5pt" o:hralign="center" o:hrstd="t" o:hr="t" fillcolor="#a0a0a0" stroked="f"/>
        </w:pict>
      </w:r>
    </w:p>
    <w:p w14:paraId="6D8EEDD4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Step 3: Calculate Equity Value</w:t>
      </w:r>
    </w:p>
    <w:p w14:paraId="1F46D049" w14:textId="77777777" w:rsidR="006B158F" w:rsidRPr="006B158F" w:rsidRDefault="006B158F" w:rsidP="006B158F">
      <w:r w:rsidRPr="006B158F">
        <w:t>The final equity value adjusts the stable income value for debt and incorporates non-operating resources available to equity holders. The formula is:</w:t>
      </w:r>
    </w:p>
    <w:p w14:paraId="7AB13424" w14:textId="77777777" w:rsidR="006B158F" w:rsidRPr="006B158F" w:rsidRDefault="006B158F" w:rsidP="006B158F">
      <w:r w:rsidRPr="006B158F">
        <w:rPr>
          <w:b/>
          <w:bCs/>
        </w:rPr>
        <w:t>Equity Value = Stable Income Value – Total Interest-Bearing Debt + Non-Operating Cash + Other Non-Operating Assets</w:t>
      </w:r>
    </w:p>
    <w:p w14:paraId="7B2A4F0C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Key Components:</w:t>
      </w:r>
    </w:p>
    <w:p w14:paraId="212776DF" w14:textId="77777777" w:rsidR="006B158F" w:rsidRPr="006B158F" w:rsidRDefault="006B158F" w:rsidP="006B158F">
      <w:pPr>
        <w:numPr>
          <w:ilvl w:val="0"/>
          <w:numId w:val="3"/>
        </w:numPr>
      </w:pPr>
      <w:r w:rsidRPr="006B158F">
        <w:rPr>
          <w:b/>
          <w:bCs/>
        </w:rPr>
        <w:t>Stable Income Value</w:t>
      </w:r>
      <w:r w:rsidRPr="006B158F">
        <w:t>: The present value of FCFE derived in Step 2.</w:t>
      </w:r>
    </w:p>
    <w:p w14:paraId="02081811" w14:textId="77777777" w:rsidR="006B158F" w:rsidRPr="006B158F" w:rsidRDefault="006B158F" w:rsidP="006B158F">
      <w:pPr>
        <w:numPr>
          <w:ilvl w:val="0"/>
          <w:numId w:val="3"/>
        </w:numPr>
      </w:pPr>
      <w:r w:rsidRPr="006B158F">
        <w:rPr>
          <w:b/>
          <w:bCs/>
        </w:rPr>
        <w:t>Total Interest-Bearing Debt</w:t>
      </w:r>
      <w:r w:rsidRPr="006B158F">
        <w:t>: All outstanding debt obligations, subtracted as they represent claims senior to equity.</w:t>
      </w:r>
    </w:p>
    <w:p w14:paraId="0B8FE97E" w14:textId="77777777" w:rsidR="006B158F" w:rsidRPr="006B158F" w:rsidRDefault="006B158F" w:rsidP="006B158F">
      <w:pPr>
        <w:numPr>
          <w:ilvl w:val="0"/>
          <w:numId w:val="3"/>
        </w:numPr>
      </w:pPr>
      <w:r w:rsidRPr="006B158F">
        <w:rPr>
          <w:b/>
          <w:bCs/>
        </w:rPr>
        <w:t>Non-Operating Cash</w:t>
      </w:r>
      <w:r w:rsidRPr="006B158F">
        <w:t xml:space="preserve">: Excess cash not required for operations, calculated as: </w:t>
      </w:r>
      <w:r w:rsidRPr="006B158F">
        <w:rPr>
          <w:b/>
          <w:bCs/>
        </w:rPr>
        <w:t>Non-Operating Cash = Total Cash – Estimated Operating Cash</w:t>
      </w:r>
    </w:p>
    <w:p w14:paraId="2AFD4BC9" w14:textId="77777777" w:rsidR="006B158F" w:rsidRPr="006B158F" w:rsidRDefault="006B158F" w:rsidP="006B158F">
      <w:pPr>
        <w:numPr>
          <w:ilvl w:val="0"/>
          <w:numId w:val="3"/>
        </w:numPr>
      </w:pPr>
      <w:r w:rsidRPr="006B158F">
        <w:rPr>
          <w:b/>
          <w:bCs/>
        </w:rPr>
        <w:t>Other Non-Operating Assets</w:t>
      </w:r>
      <w:r w:rsidRPr="006B158F">
        <w:t xml:space="preserve">: Assets not contributing to FCFE (e.g., non-income-generating investments or properties), added to reflect their value to equity holders. </w:t>
      </w:r>
    </w:p>
    <w:p w14:paraId="525133A7" w14:textId="77777777" w:rsidR="006B158F" w:rsidRPr="006B158F" w:rsidRDefault="006B158F" w:rsidP="006B158F">
      <w:pPr>
        <w:numPr>
          <w:ilvl w:val="1"/>
          <w:numId w:val="3"/>
        </w:numPr>
      </w:pPr>
      <w:r w:rsidRPr="006B158F">
        <w:t>Note: Non-operating assets with stable income are already captured in FCFE via Stable Non-Operating EBIT, so only additional non-operating assets are included here.</w:t>
      </w:r>
    </w:p>
    <w:p w14:paraId="10376FDD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Purpose:</w:t>
      </w:r>
    </w:p>
    <w:p w14:paraId="39CB3984" w14:textId="77777777" w:rsidR="006B158F" w:rsidRPr="006B158F" w:rsidRDefault="006B158F" w:rsidP="006B158F">
      <w:r w:rsidRPr="006B158F">
        <w:t>This step ensures the equity value reflects all resources available to shareholders by deducting debt and adding excess cash and non-operating assets, avoiding double-counting of income-generating assets.</w:t>
      </w:r>
    </w:p>
    <w:p w14:paraId="446A5AB0" w14:textId="77777777" w:rsidR="006B158F" w:rsidRPr="006B158F" w:rsidRDefault="00000000" w:rsidP="006B158F">
      <w:r>
        <w:pict w14:anchorId="7CA9537E">
          <v:rect id="_x0000_i1028" style="width:0;height:1.5pt" o:hralign="center" o:hrstd="t" o:hr="t" fillcolor="#a0a0a0" stroked="f"/>
        </w:pict>
      </w:r>
    </w:p>
    <w:p w14:paraId="3F25F4B2" w14:textId="77777777" w:rsidR="006B158F" w:rsidRPr="006B158F" w:rsidRDefault="006B158F" w:rsidP="006B158F">
      <w:pPr>
        <w:rPr>
          <w:b/>
          <w:bCs/>
        </w:rPr>
      </w:pPr>
      <w:r w:rsidRPr="006B158F">
        <w:rPr>
          <w:b/>
          <w:bCs/>
        </w:rPr>
        <w:t>Summary</w:t>
      </w:r>
    </w:p>
    <w:p w14:paraId="2E291394" w14:textId="77777777" w:rsidR="006B158F" w:rsidRPr="006B158F" w:rsidRDefault="006B158F" w:rsidP="006B158F">
      <w:r w:rsidRPr="006B158F">
        <w:t>This three-step valuation approach provides a robust framework for determining equity value:</w:t>
      </w:r>
    </w:p>
    <w:p w14:paraId="78E0D01B" w14:textId="77777777" w:rsidR="006B158F" w:rsidRPr="006B158F" w:rsidRDefault="006B158F" w:rsidP="006B158F">
      <w:pPr>
        <w:numPr>
          <w:ilvl w:val="0"/>
          <w:numId w:val="4"/>
        </w:numPr>
      </w:pPr>
      <w:r w:rsidRPr="006B158F">
        <w:rPr>
          <w:b/>
          <w:bCs/>
        </w:rPr>
        <w:t>FCFE Calculation</w:t>
      </w:r>
      <w:r w:rsidRPr="006B158F">
        <w:t>: Captures cash flows from both operating and stable non-operating sources.</w:t>
      </w:r>
    </w:p>
    <w:p w14:paraId="639C969D" w14:textId="77777777" w:rsidR="006B158F" w:rsidRPr="006B158F" w:rsidRDefault="006B158F" w:rsidP="006B158F">
      <w:pPr>
        <w:numPr>
          <w:ilvl w:val="0"/>
          <w:numId w:val="4"/>
        </w:numPr>
      </w:pPr>
      <w:r w:rsidRPr="006B158F">
        <w:rPr>
          <w:b/>
          <w:bCs/>
        </w:rPr>
        <w:t>Stable Income Value</w:t>
      </w:r>
      <w:r w:rsidRPr="006B158F">
        <w:t>: Discounts FCFE to its present value using a perpetual growth assumption.</w:t>
      </w:r>
    </w:p>
    <w:p w14:paraId="094AFA27" w14:textId="77777777" w:rsidR="006B158F" w:rsidRPr="006B158F" w:rsidRDefault="006B158F" w:rsidP="006B158F">
      <w:pPr>
        <w:numPr>
          <w:ilvl w:val="0"/>
          <w:numId w:val="4"/>
        </w:numPr>
      </w:pPr>
      <w:r w:rsidRPr="006B158F">
        <w:rPr>
          <w:b/>
          <w:bCs/>
        </w:rPr>
        <w:t>Equity Value</w:t>
      </w:r>
      <w:r w:rsidRPr="006B158F">
        <w:t>: Adjusts for debt and incorporates non-operating resources.</w:t>
      </w:r>
    </w:p>
    <w:p w14:paraId="1C6B59FA" w14:textId="77777777" w:rsidR="006B158F" w:rsidRPr="006B158F" w:rsidRDefault="006B158F" w:rsidP="006B158F">
      <w:r w:rsidRPr="006B158F">
        <w:t>The methodology is grounded in fundamental valuation principles and is particularly effective for companies with significant, reliable non-operating income. It ensures a clear distinction between operating and non-operating components, delivering a comprehensive and defensible equity valuation.</w:t>
      </w:r>
    </w:p>
    <w:p w14:paraId="44A29B89" w14:textId="6DF9FC02" w:rsidR="00C83E83" w:rsidRDefault="00C83E83" w:rsidP="006B158F">
      <w:pPr>
        <w:rPr>
          <w:lang w:val="en-HK"/>
        </w:rPr>
      </w:pPr>
    </w:p>
    <w:p w14:paraId="17D0ADD8" w14:textId="6F295A35" w:rsidR="00275E9C" w:rsidRPr="00275E9C" w:rsidRDefault="00275E9C" w:rsidP="00275E9C">
      <w:r w:rsidRPr="00275E9C">
        <w:rPr>
          <w:b/>
          <w:bCs/>
        </w:rPr>
        <w:t>Conservative Valuation</w:t>
      </w:r>
      <w:r w:rsidRPr="00275E9C">
        <w:t>: Setting g=0</w:t>
      </w:r>
      <w:r w:rsidR="000D1FED">
        <w:t xml:space="preserve"> </w:t>
      </w:r>
      <w:r w:rsidRPr="00275E9C">
        <w:t>can be a conservative assumption to avoid overestimating the stock’s value, especially if future growth is uncertain or unreliable.</w:t>
      </w:r>
    </w:p>
    <w:p w14:paraId="6530DC84" w14:textId="77777777" w:rsidR="00275E9C" w:rsidRPr="00275E9C" w:rsidRDefault="00275E9C" w:rsidP="006B158F"/>
    <w:sectPr w:rsidR="00275E9C" w:rsidRPr="00275E9C" w:rsidSect="00AD7497"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AA44" w14:textId="77777777" w:rsidR="00620D68" w:rsidRDefault="00620D68" w:rsidP="001342B7">
      <w:r>
        <w:separator/>
      </w:r>
    </w:p>
  </w:endnote>
  <w:endnote w:type="continuationSeparator" w:id="0">
    <w:p w14:paraId="4518F3E3" w14:textId="77777777" w:rsidR="00620D68" w:rsidRDefault="00620D68" w:rsidP="00134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C66E" w14:textId="77777777" w:rsidR="00620D68" w:rsidRDefault="00620D68" w:rsidP="001342B7">
      <w:r>
        <w:separator/>
      </w:r>
    </w:p>
  </w:footnote>
  <w:footnote w:type="continuationSeparator" w:id="0">
    <w:p w14:paraId="4A890694" w14:textId="77777777" w:rsidR="00620D68" w:rsidRDefault="00620D68" w:rsidP="001342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36B"/>
    <w:multiLevelType w:val="multilevel"/>
    <w:tmpl w:val="044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1F31"/>
    <w:multiLevelType w:val="multilevel"/>
    <w:tmpl w:val="A80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C203B"/>
    <w:multiLevelType w:val="multilevel"/>
    <w:tmpl w:val="3EF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D4575"/>
    <w:multiLevelType w:val="multilevel"/>
    <w:tmpl w:val="DF4C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848053">
    <w:abstractNumId w:val="0"/>
  </w:num>
  <w:num w:numId="2" w16cid:durableId="1449154796">
    <w:abstractNumId w:val="2"/>
  </w:num>
  <w:num w:numId="3" w16cid:durableId="378286658">
    <w:abstractNumId w:val="1"/>
  </w:num>
  <w:num w:numId="4" w16cid:durableId="9378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83"/>
    <w:rsid w:val="000D1FED"/>
    <w:rsid w:val="000D69EA"/>
    <w:rsid w:val="001342B7"/>
    <w:rsid w:val="00275E9C"/>
    <w:rsid w:val="004F6BC4"/>
    <w:rsid w:val="00620D68"/>
    <w:rsid w:val="006B158F"/>
    <w:rsid w:val="00830707"/>
    <w:rsid w:val="00A53985"/>
    <w:rsid w:val="00AD7497"/>
    <w:rsid w:val="00C57F4D"/>
    <w:rsid w:val="00C83E83"/>
    <w:rsid w:val="00D95FB7"/>
    <w:rsid w:val="00F24C7A"/>
    <w:rsid w:val="00F7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45997"/>
  <w15:chartTrackingRefBased/>
  <w15:docId w15:val="{78898448-809A-450D-9635-4F2F82C3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3E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E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E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E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E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E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E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E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E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E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E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3E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E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E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E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E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E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E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E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E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E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E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E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42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42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42B7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42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Chen</dc:creator>
  <cp:keywords/>
  <dc:description/>
  <cp:lastModifiedBy>Jerry Chen</cp:lastModifiedBy>
  <cp:revision>7</cp:revision>
  <dcterms:created xsi:type="dcterms:W3CDTF">2025-03-14T07:15:00Z</dcterms:created>
  <dcterms:modified xsi:type="dcterms:W3CDTF">2025-03-14T09:39:00Z</dcterms:modified>
</cp:coreProperties>
</file>