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YpXmiUC6XJSQfJ)Xqi5ccPccOi9x9mqc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简历下载于：2026年08月04日08:41:14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吴先生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期望从事职位：渠道销售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期望工作地点：青岛、市北区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37岁(1988年11月)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15年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青岛、市北区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云计算、计算机硬件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山东启明星晨科技有限公司   销售团队经理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2024.11-至今  (1年9个月)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一、职责范围：
                <w:br/>
                1.负责商显、音视频产品的品牌资源引入和销售管理；
                <w:br/>
                2.海外业务市场拓展。
                <w:br/>
                二、工作任务：
                <w:br/>
                1.与鸿合、创维、洲明、金运河、东微、迪士普等厂家业务对接，包括参加产品方案培训、渠道会议支撑、项目报备管理与跟进、产品进销存管理。
                <w:br/>
                2.渠道客户、集成商拜访与维护，提供产品选型及方案支撑，推动项目落地。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青果软件集团有限公司   大客户代表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2024.04- 2024.10 (6个月)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负责所辖区域内(青岛、烟台、威海、临沂)中高职院校客户开发、维护工作,主要工作内容包括:
                <w:br/>
                1.根据周工作计划,定期拜访中高职院校客户,主要包括:学校教务处、学工处、科研处、财务处、网络信息处(信息中心)等,了解校方相关系统使用情况,挖掘潜在商机;
                <w:br/>
                2.通过日常拜访筛选潜在意向客户,协同区域技术总监与客户进行方案汇报交流,明确需求痛点,了解客户预算情况及采购计划,汇总相关情况汇报销售总监,根据公司总部指导意见进行报价并跟进项目进展,开展相关公关工作;
                <w:br/>
                3.通过工作日报、周报、月报等形式,汇报反馈日常工作和重点项目跟进情况;
                <w:br/>
                4.参与目标客户公开招标采购的投标工作;
                <w:br/>
                5.定期拜访渠道客户(电信运营商、高校行业渠道等),了解甲方内部人员关系,沟通合作推进机会;
                <w:br/>
                6.行业展会期间积极邀约客户莅临公司展位并参加相关分论坛会议,提高品牌知名度,提升客户认同感;
                <w:br/>
                7.负责老客户尾款回款工作。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新线科技有限公司   渠道销售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2019.04- 2023.12  (4年8个月)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负责newline商用会议平板山东省渠道拓展、开发、维护工作,主要工作内容包括:
                <w:br/>
                1.根据公司指标考核要求,协助核心代理商完成产品备货、分销等工作;
                <w:br/>
                2.协助核代进行区域内IT、OA、集成商等多行业代理商客户开发、维护;
                <w:br/>
                3.搜集行业市场信息,把握市场动态,调整区域内销售策略;
                <w:br/>
                4.配合总部市场活动规划,组织或协助代理商举办小型沙龙、产品品鉴会等宣传活动;5.协助核代定期组织代理商开展赋能培训工作。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代理商/经销商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山东省数字证书认证管理有限公司   大客户代表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2012.11- 2019.03  (6年4个月)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本地区及省内医疗行业、政府机关等领域系统集成商等合作伙伴及客户开发维护。2015年12月至今负责公司医疗卫生行业电子认证业务拓展和系统集成商合作,与业内曼荼罗、科大有志、创业软件、东软等知名系统集成商均有良好的合作往来,达成了青岛市内2家三甲医院的合作,业界口碑良好。2016年10月至今兼任公司电子政务类、大集团企业业务经理,与电政办、公共资源、社保局、交通委、环保局等主管部门及亚微、福莱易通等系统开发商保持良好的业务关系,拓展新的业务营收渠道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9" name="图片 9" descr="项目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项目经历icon@2x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项目经历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丹东市养老机构智慧消防监管服务项目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2025.11-2026.03(4个月)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1.通过合作伙伴介绍与项目总包对接，了解到项目需求为搭配监控设备做终端显示，异地项目涉及后续售后服务问题，向项目总包推荐创维会议电视产品，共交付100寸商显电视7套，项目金额：7万余元。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泰国农业大学智慧教室多媒体设备采购项目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2025.07-2025.09(2个月)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1.配合泰国当地合作伙伴，根据项目设计方案，结合国内厂家成本优势，交付LED、广告机、会议系统等产品，项目金额：26万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泰国某高校多媒体教室LED屏采购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2025.06-2025.08(2个月)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1.配合泰国当地合作伙伴，综合设计方案、施工条件等因素，提报产品方案，销售金运河P2.5室内LED，项目金额：8万。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苏州某商会会议室LED屏采购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2025.05-2025.08(3个月)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1.通过合作伙伴引荐与甲方进行方案对接，根据甲方需求及预算提报产品方案报价，通过品牌对比分析、方案优化等，最终达成合作；
          <w:br/>
          2.交付金运河P1.86室内LED屏，项目金额约10万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物元半导体技术（青岛）有限公司‌展厅项目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2025.04-2025.07(3个月)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1.配合项目总包，根据产品设计要求，提供定制化广告机产品16套，项目金额：8万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莱西市廉政教育展厅项目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2024.12-2025.03(3个月)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1.配合项目总包集成商，根据展厅设计规划，提报洲明LED屏、定制化广告机等商显产品方案，项目金额：21万。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中国电子科技集团公司第二十二研究所涉密展厅项目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2023.02-2023.04(2个月)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1.根据用户规划设计,通过踏勘现场、产品演示、品牌PK、产品技术答疑等工作,为用户提供符合其场景需求的交互平板产品;
          <w:br/>
          2.协调售后部门根据项目现场保密要求,对交付产品进行二次改装,组织安装施工至项目验收;
          <w:br/>
          3.该项目共交付15套86寸交互平板。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软控股份有限公司视频会议及办公设备框架采购项目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2020.03-至今(6年5个月)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1.配合甲方资深供应商,根据甲方视频会议需求、本地会议需求、车间交互显示等多场景多元化需求,制订不同的产品方案,通过不同型号的产品演示,成功入围该类产品采购框架;
          <w:br/>
          2.向甲方国内及海外分公司累计供货80余套。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赛轮集团股份有限公司会议平板框架采购项目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2020.01-至今(6年7个月)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1.根据甲方的视频会议设备采购需求及采购模式,筛选商务关系成熟的代理商,配合代理商通过产品演示、方案搭配、拟订采购标准等工作,成功入围甲方品牌库;2.累计交付50套以上交互平板。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青岛市政务内网CA认证服务升级项目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2018.06-2018.12(6个月)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根据电政办对数字证书应用全面升级要求,将青岛市政务内网公务员RSA数字证书替换为SM2证书,对原有服务器硬件、系统对接进行重构,确保上合峰会期间,全市电子政务内网运行稳定。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山东省眼科研究所(青岛眼科医院)电子认证服务项目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2017.06-2018.12(1年6个月)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为医院信息化业务系统提供可信数字认证服务,简化工作流程,提升工作效率,是医院业务系统全流程无纸化建设中的关键一环。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某大型医药集团移动端CA认证项目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2016.11-2017.05(6个月)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为该集团提供基于移动端业务系统的电子认证和电子签章服务,实现移动端用户操作行为的可信化、可追溯化,优化原有业务流程,提高平台和用户使用的便利性。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青岛市中心医院电子认证服务项目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2016.06-2017.03(9个月)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配合医院信息化建设,将可信数字认证服务对接到电子病历、HIS等业务系统,提升医院信息化安全等级评估水平。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Pr="0079083B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山东中医药大学   法学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2007.09 - 2011.07    本科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自我评价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思路清晰、逻辑性较强
          <w:br/>
          ·拥有良好的大局观,且能兼顾细节
          <w:br/>
          ·注重团队合作,勇于承担责任
          <w:br/>
          ·学习能力强,喜欢迎接新挑战
          <w:br/>
          ·区域深耕多年，行业资源丰富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20955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31" name="图片 31" descr="语言能力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语言能力icon@2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语言能力</w:t>
      </w:r>
    </w:p>
    <w:p w:rsidR="00CA555E" w:rsidRDefault="00CA555E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5" w:type="dxa"/>
        <w:tblInd w:w="1050" w:type="dxa"/>
        <w:tblLayout w:type="fixed"/>
        <w:tblLook w:val="04A0"/>
      </w:tblPr>
      <w:tblGrid>
        <w:gridCol w:w="603"/>
        <w:gridCol w:w="1829"/>
        <w:gridCol w:w="657"/>
        <w:gridCol w:w="443"/>
        <w:gridCol w:w="600"/>
        <w:gridCol w:w="1843"/>
        <w:gridCol w:w="642"/>
        <w:gridCol w:w="429"/>
        <w:gridCol w:w="614"/>
        <w:gridCol w:w="1872"/>
        <w:gridCol w:w="643"/>
        <w:gridCol w:w="400"/>
      </w:tblGrid>
      <w:tr w:rsidR="00CA555E">
        <w:trPr>
          <w:trHeight w:val="408"/>
        </w:trPr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英语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50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5472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良好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316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良好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105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qi5ccAvxWgM1RiuC&amp;resumeLanguage=1&amp;k=D62FEF5E12BD7544D08B5986F7309400&amp;t=1785804074746&amp;autoOpenQrcode=true" TargetMode="External"/>
	<Relationship Id="rId31" Type="http://schemas.openxmlformats.org/officeDocument/2006/relationships/hyperlink" Target="https://rd6.zhaopin.com/resume/detail?resumeNumber=YpXmiUC6XJSSfJ%29Xqi5ccAvxWgM1RiuC&amp;resumeLanguage=1&amp;k=D62FEF5E12BD7544D08B5986F7309400&amp;t=1785804074746&amp;autoOpenQrcode=true&amp;source=1" TargetMode="External"/>
	<Relationship Id="rId32" Type="http://schemas.openxmlformats.org/officeDocument/2006/relationships/hyperlink" Target="https://rd6.zhaopin.com/resume/detail?resumeNumber=YpXmiUC6XJSSfJ%29Xqi5ccAvxWgM1RiuC&amp;resumeLanguage=1&amp;k=D62FEF5E12BD7544D08B5986F7309400&amp;t=1785804074746&amp;autoOpenQrcode=true&amp;source=2" TargetMode="External"/>
    <Relationship Id="rId33" Type="http://schemas.openxmlformats.org/officeDocument/2006/relationships/hyperlink" Target="https://rd6.zhaopin.com/resume/detail?resumeNumber=YpXmiUC6XJSSfJ%29Xqi5ccAvxWgM1RiuC&amp;resumeLanguage=1&amp;k=D62FEF5E12BD7544D08B5986F7309400&amp;t=1785804074746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cc882b9aaa884d77b87dcc5f98a06ba4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