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YpXmiUC6XJSQfJ)XkBS2a2PPjbIofUft</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简历下载于：2026年09月15日09:41:40</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郑先生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期望从事职位：医疗器械销售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28岁(1998年9月)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6年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在职-正在找工作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政治面貌：群众</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医疗器械销售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1万-1.5万/月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医疗设备/器械/耗材、医美/健康服务</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医疗器械销售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1万-1.1万/月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互联网医疗、医美/健康服务、仪器仪表</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医疗器械销售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1万-2万/月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 医疗设备/器械/耗材、医院/诊所服务、生物/...</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南京伟思医疗科技股份有限公司   医疗器械销售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2026.02-至今 (7个月)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负责青岛、日照、烟台、威海、淄博全域公立医疗市场及渠道管理，主营神经康复全线设备经颅磁，导航经颅磁、吞咽电刺激、生物反馈、盆底磁电等设备。独立开发维护区域三甲、县域核心医院资源，全流程跟进科室立项、设备论证、招投标、进场验收及回款工作。深耕科室学术建设，落地科室疗法升级、临床带教与科室标杆打造，持续提升院内设备使用率与复购产值。长期对标行业主流竞品，具备成熟的项目攻坚、竞品拦截、客情维护及区域市场统筹能力，年度业绩持续超额达成。</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医院</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康复科，神经内科</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平安好医（青岛）医学影像诊断有限公司   医疗器械销售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2025.11- 2026.02 (3个月)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●客户开发：开发本区域内医疗业务客群，完成客户拜访、谈判、签约、维护等工作。
                <w:br/>
                ●销售执行：负责落实下达的市场开发计划，积极开发新客户，不断拓展业务来源，及时反馈本区域内的市场信息及客户需求，完成业绩任务。
                <w:br/>
                ●市场活动：协同市场经理岗开展区域内的市场推广活动，保证各类市场开发工作的顺利推进。
                <w:br/>
                ●专家拓展：协助中心领导，拓展本区域内各类专家，丰富专业医疗资源。
                <w:br/>
                ●客户服务：负责管辖范围内的VIP客户检前事项代理工作。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外科</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内科</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公立医院</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中医医院</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深圳开立生物医疗科技股份有限公司   医疗器械销售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2022.04- 2024.09  (2年5个月)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工作描述:
                <w:br/>
                ❖ 承担青烟威区域基础医疗市场内的超声和内镜产品系列销售任务和指标;
                <w:br/>
                ❖ 开拓区域内客户,获取销售机会,并将商机转换为实际销售,成功实现超声和内镜产品的装机落地;
                <w:br/>
                ❖ 寻找开发区域内基础医疗超声和内镜的销售渠道,对青烟威地区的各级经销商进行支持,牵引完成销售目标;
                <w:br/>
                ❖ 协助上级执行公司产品的市场推广计划,进行品牌推广,维护客户关系。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公立医院</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影像科</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青岛海尔生物医疗股份有限公司   渠道销售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面议   2020.06- 2022.03  (1年9个月)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1、负责河北区域的渠道销售管理职责，保证区域内月指标，季度指标以及年指标完成且同期增长。
                <w:br/>
                2、负责签约并管理渠道内代理商，搭建代理商体系保证履约。
                <w:br/>
                3、新产品孵化时，负责建设区域内样板，并复制迅速推广。
                <w:br/>
                4、重点大客户的战略合作，签订双方或三方战略协议，以保长期合作
                <w:br/>
                5、负责搭建区域内的合伙人体系和经销商体系。
                <w:br/>
                6、负责区域内项目的运作与运转，抓机会、抓项目。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代理商/经销商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面销/陌拜</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会议/会展销售</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青岛理工大学   电子商务</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2016.09 - 2020.07    本科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个人优势</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●卓越的销售与市场开拓能力: 具备从0到1开拓新市场的实战经验，擅长快速挖掘商机并实现业绩转化。拥有成熟的渠道拓展与维护体系，能够有效建立并维系长期的客户合作关系，确保业绩持续增长。
          <w:br/>
          ●深厚的医疗器械行业背景： 拥有多年医疗器械临床开发与市场推广经验。专注于低温存储、冷链运输及医疗影像检查领域，曾成功主导高校科研机构及制造企业客户实验室的低温存储项目。
          <w:br/>
          ●全面的业务管理与运营能力： 熟悉业务全流程管理，包括商务谈判、业务模型构建、产品培训及经销商网络搭建。擅长通过流程梳理优化运营效率，推动市场战略落地。
          <w:br/>
          ●优秀的综合素质：具备极强的抗压能力与环境适应力，善于独立解决问题。拥有出色的人际交往能力与社会资源，能够在复杂环境中保持自信并高效产出。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2608" behindDoc="1" locked="0" layoutInCell="1" allowOverlap="1">
            <wp:simplePos x="0" y="0"/>
            <wp:positionH relativeFrom="column">
              <wp:posOffset>368300</wp:posOffset>
            </wp:positionH>
            <wp:positionV relativeFrom="paragraph">
              <wp:posOffset>20955</wp:posOffset>
            </wp:positionV>
            <wp:extent cx="179705" cy="179705"/>
            <wp:effectExtent l="0" t="0" r="23495" b="23495"/>
            <wp:wrapTight wrapText="bothSides">
              <wp:wrapPolygon edited="0">
                <wp:start x="0" y="0"/>
                <wp:lineTo x="0" y="18318"/>
                <wp:lineTo x="18318" y="18318"/>
                <wp:lineTo x="18318" y="0"/>
                <wp:lineTo x="0" y="0"/>
              </wp:wrapPolygon>
            </wp:wrapTight>
            <wp:docPr id="31" name="图片 31" descr="语言能力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语言能力icon@2x"/>
                    <pic:cNvPicPr>
                      <a:picLocks noChangeAspect="1"/>
                    </pic:cNvPicPr>
                  </pic:nvPicPr>
                  <pic:blipFill>
                    <a:blip r:embed="rId16"/>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语言能力</w:t>
      </w:r>
    </w:p>
    <w:p w:rsidR="00CA555E" w:rsidRDefault="00CA555E">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p>
    <w:tbl>
      <w:tblPr>
        <w:tblStyle w:val="a9"/>
        <w:tblW w:w="10575" w:type="dxa"/>
        <w:tblInd w:w="1050" w:type="dxa"/>
        <w:tblLayout w:type="fixed"/>
        <w:tblLook w:val="04A0"/>
      </w:tblPr>
      <w:tblGrid>
        <w:gridCol w:w="603"/>
        <w:gridCol w:w="1829"/>
        <w:gridCol w:w="657"/>
        <w:gridCol w:w="443"/>
        <w:gridCol w:w="600"/>
        <w:gridCol w:w="1843"/>
        <w:gridCol w:w="642"/>
        <w:gridCol w:w="429"/>
        <w:gridCol w:w="614"/>
        <w:gridCol w:w="1872"/>
        <w:gridCol w:w="643"/>
        <w:gridCol w:w="400"/>
      </w:tblGrid>
      <w:tr w:rsidR="00CA555E">
        <w:trPr>
          <w:trHeight w:val="408"/>
        </w:trPr>
        <w:tc>
          <w:tcPr>
            <w:tcW w:w="3089" w:type="dxa"/>
            <w:gridSpan w:val="3"/>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英语</w:t>
            </w:r>
          </w:p>
          <w:p w:rsidR="00CA555E" w:rsidRDefault="008D1824">
            <w:pPr>
              <w:tabs>
                <w:tab w:val="left" w:pos="1050"/>
              </w:tabs>
              <w:snapToGrid w:val="0"/>
              <w:spacing w:line="216" w:lineRule="auto"/>
            </w:pPr>
            <w:r>
              <w:rPr>
                <w:rFonts w:ascii="PingFang SC" w:eastAsia="PingFang SC" w:hAnsi="PingFang SC" w:cs="PingFang SC" w:hint="eastAsia"/>
                <w:color w:val="555A6B"/>
                <w:kern w:val="0"/>
                <w:sz w:val="18"/>
                <w:szCs w:val="18"/>
              </w:rPr>
              <w:t xml:space="preserve">全国大学英语四级考试(CET4)</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0C091D"/>
                <w:kern w:val="0"/>
                <w:sz w:val="24"/>
              </w:rPr>
            </w:pPr>
          </w:p>
        </w:tc>
      </w:tr>
      <w:tr w:rsidR="00CA555E">
        <w:trPr>
          <w:trHeight w:val="450"/>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读写</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35" o:spid="_x0000_s1068" style="position:absolute;left:0;text-align:left;margin-left:4.8pt;margin-top:10.85pt;width:70.8pt;height:0;z-index:-251657728;mso-position-horizontal-relative:text;mso-position-vertical-relative:text" coordorigin="4764,42948" coordsize="1416,203203">
                  <v:line id="直线 36" o:spid="_x0000_s1069" style="position:absolute;flip:y;visibility:visible" from="4764,42948" to="6181,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" strokecolor="#d9d9d9" strokeweight="5pt">
                    <v:stroke joinstyle="miter" endcap="round"/>
                    <v:path arrowok="f"/>
                    <o:lock v:ext="edit" shapetype="f"/>
                  </v:line>
                  <v:line id="直线 37" o:spid="_x0000_s1070" style="position:absolute;flip:y;visibility:visible" from="4764,42948" to="5472,42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&#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良好</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603"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听说</w:t>
            </w:r>
          </w:p>
        </w:tc>
        <w:tc>
          <w:tcPr>
            <w:tcW w:w="1829" w:type="dxa"/>
            <w:tcBorders>
              <w:top w:val="nil"/>
              <w:left w:val="nil"/>
              <w:bottom w:val="nil"/>
              <w:right w:val="nil"/>
            </w:tcBorders>
            <w:vAlign w:val="center"/>
          </w:tcPr>
          <w:p w:rsidR="00CA555E" w:rsidRDefault="00695FFA">
            <w:pPr>
              <w:tabs>
                <w:tab w:val="left" w:pos="1050"/>
              </w:tabs>
              <w:snapToGrid w:val="0"/>
              <w:spacing w:line="216" w:lineRule="auto"/>
              <w:rPr>
                <w:rFonts w:ascii="PINGFANG SC SEMIBOLD" w:eastAsia="PINGFANG SC SEMIBOLD" w:hAnsi="PINGFANG SC SEMIBOLD" w:cs="PINGFANG SC SEMIBOLD"/>
                <w:b/>
                <w:bCs/>
                <w:color w:val="555A6B"/>
                <w:kern w:val="0"/>
                <w:sz w:val="24"/>
              </w:rPr>
            </w:pPr>
            <w:r w:rsidRPr="00695FFA">
              <w:rPr>
                <w:noProof/>
              </w:rPr>
              <w:pict>
                <v:group id="组合 26" o:spid="_x0000_s1059" style="position:absolute;left:0;text-align:left;margin-left:4.8pt;margin-top:11.1pt;width:70.85pt;height:.05pt;z-index:-251656704;mso-position-horizontal-relative:text;mso-position-vertical-relative:text" coordorigin="2140,41026" coordsize="2040,203203">
                  <v:line id="直接连接符 49" o:spid="_x0000_s1060" style="position:absolute;visibility:visible" from="2140,41026" to="4180,41026" o:connectortype="straight" strokecolor="#d9d9d9" strokeweight="5pt">
                    <v:stroke joinstyle="miter" endcap="round"/>
                    <v:path arrowok="f"/>
                    <o:lock v:ext="edit" shapetype="f"/>
                  </v:line>
                  <v:line id="直接连接符 50" o:spid="_x0000_s1061" style="position:absolute;visibility:visible" from="2140,41026" to="3160,41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" strokecolor="#3d7eff" strokeweight="5pt">
                    <v:stroke joinstyle="miter" endcap="round"/>
                    <v:path arrowok="f"/>
                    <o:lock v:ext="edit" shapetype="f"/>
                  </v:line>
                </v:group>
              </w:pict>
            </w:r>
          </w:p>
        </w:tc>
        <w:tc>
          <w:tcPr>
            <w:tcW w:w="657" w:type="dxa"/>
            <w:tcBorders>
              <w:top w:val="nil"/>
              <w:left w:val="nil"/>
              <w:bottom w:val="nil"/>
              <w:right w:val="nil"/>
            </w:tcBorders>
            <w:vAlign w:val="center"/>
          </w:tcPr>
          <w:p w:rsidR="00CA555E" w:rsidRDefault="008D1824">
            <w:pPr>
              <w:tabs>
                <w:tab w:val="left" w:pos="1050"/>
              </w:tabs>
              <w:snapToGrid w:val="0"/>
              <w:spacing w:line="216" w:lineRule="auto"/>
              <w:rPr>
                <w:rFonts w:ascii="PINGFANG SC SEMIBOLD" w:eastAsia="PINGFANG SC SEMIBOLD" w:hAnsi="PINGFANG SC SEMIBOLD" w:cs="PINGFANG SC SEMIBOLD"/>
                <w:b/>
                <w:bCs/>
                <w:color w:val="555A6B"/>
                <w:kern w:val="0"/>
                <w:sz w:val="24"/>
              </w:rPr>
            </w:pPr>
            <w:r>
              <w:rPr>
                <w:rFonts w:ascii="PingFang SC" w:eastAsia="PingFang SC" w:hAnsi="PingFang SC" w:cs="PingFang SC" w:hint="eastAsia"/>
                <w:color w:val="555A6B"/>
                <w:kern w:val="0"/>
                <w:sz w:val="18"/>
                <w:szCs w:val="18"/>
              </w:rPr>
              <w:t>良好</w:t>
            </w:r>
          </w:p>
        </w:tc>
        <w:tc>
          <w:tcPr>
            <w:tcW w:w="443" w:type="dxa"/>
            <w:tcBorders>
              <w:top w:val="nil"/>
              <w:left w:val="nil"/>
              <w:bottom w:val="nil"/>
              <w:right w:val="nil"/>
            </w:tcBorders>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r w:rsidR="00CA555E">
        <w:trPr>
          <w:trHeight w:val="378"/>
        </w:trPr>
        <w:tc>
          <w:tcPr>
            <w:tcW w:w="10575" w:type="dxa"/>
            <w:gridSpan w:val="12"/>
            <w:tcBorders>
              <w:top w:val="nil"/>
              <w:left w:val="nil"/>
              <w:bottom w:val="nil"/>
              <w:right w:val="nil"/>
            </w:tcBorders>
            <w:vAlign w:val="center"/>
          </w:tcPr>
          <w:p w:rsidR="00CA555E" w:rsidRDefault="00CA555E">
            <w:pPr>
              <w:tabs>
                <w:tab w:val="left" w:pos="1050"/>
              </w:tabs>
              <w:snapToGrid w:val="0"/>
              <w:spacing w:line="216" w:lineRule="auto"/>
              <w:rPr>
                <w:rFonts w:ascii="PINGFANG SC SEMIBOLD" w:eastAsia="PINGFANG SC SEMIBOLD" w:hAnsi="PINGFANG SC SEMIBOLD" w:cs="PINGFANG SC SEMIBOLD"/>
                <w:b/>
                <w:bCs/>
                <w:color w:val="555A6B"/>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2a4q82Yv4t861&amp;resumeLanguage=1&amp;k=FF55BD6570B8097E1F96F8CE76D92270&amp;t=1789436500246&amp;autoOpenQrcode=true" TargetMode="External"/>
	<Relationship Id="rId31" Type="http://schemas.openxmlformats.org/officeDocument/2006/relationships/hyperlink" Target="https://rd6.zhaopin.com/resume/detail?resumeNumber=YpXmiUC6XJSSfJ%29XkBS2a4q82Yv4t861&amp;resumeLanguage=1&amp;k=FF55BD6570B8097E1F96F8CE76D92270&amp;t=1789436500246&amp;autoOpenQrcode=true&amp;source=1" TargetMode="External"/>
	<Relationship Id="rId32" Type="http://schemas.openxmlformats.org/officeDocument/2006/relationships/hyperlink" Target="https://rd6.zhaopin.com/resume/detail?resumeNumber=YpXmiUC6XJSSfJ%29XkBS2a4q82Yv4t861&amp;resumeLanguage=1&amp;k=FF55BD6570B8097E1F96F8CE76D92270&amp;t=1789436500246&amp;autoOpenQrcode=true&amp;source=2" TargetMode="External"/>
    <Relationship Id="rId33" Type="http://schemas.openxmlformats.org/officeDocument/2006/relationships/hyperlink" Target="https://rd6.zhaopin.com/resume/detail?resumeNumber=YpXmiUC6XJSSfJ%29XkBS2a4q82Yv4t861&amp;resumeLanguage=1&amp;k=FF55BD6570B8097E1F96F8CE76D92270&amp;t=1789436500246&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d0c9d16f5d754ece8cad449c2213903a&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