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1.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Demographics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Name: Jerry Garcia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of Hospital Stay: 04/01/2019 - 04/14/2019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Relevant Medical History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Stroke: Hemorrhagic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conditions: Multiple head injuries, seizures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Prescriptions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Nicardipine: 2x per day for 10 weeks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Mannitol: 2x per day for 10 weeks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Exercises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Physical therapy regiment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2.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Andrew Picture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Dates of Hospital Stay: 02/05/2019 - 04/01/2019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Medical History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 of Stroke: Ischemic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conditions: High blood pressure, high cholesterol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Aspirin: 2x per day for 1 weeks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Antidepressant: 2x per day for 5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Physical therapy regiment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3.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Justin Time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Dates of Hospital Stay: 03/05/2019 - 04/04/2019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Medical History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 of Stroke: Ischemic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Other conditions: High blood pressure, diabetes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Aspirin: 2x per day for 1 weeks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Antidepressant: 2x per day for 5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Physical therapy regiment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4.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John Wilson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Dates of Hospital Stay: 12/05/2018 - 02/01/2019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Medical History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 of Stroke: Ischemic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Other conditions: TIA, High blood pressure, high cholesterol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Prescriptions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Aspirin: 2x per day for 1 weeks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Antidepressant: 2x per day for 5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Physical therapy regiment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5.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Perry Cox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Dates of Hospital Stay: 02/05/2019 - 04/01/2019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Medical History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 of Stroke: Hemorrhagic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Other conditions: Blunt force trauma to head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Prescriptions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Nicardipine: 2x per day for 10 weeks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Mannitol: 2x per day for 10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Physical therapy regiment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