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FA45D" w14:textId="2EA75A22" w:rsidR="008A008A" w:rsidRDefault="00A82AA2" w:rsidP="00A82AA2">
      <w:pPr>
        <w:jc w:val="center"/>
      </w:pPr>
      <w:r>
        <w:t>EU Short Selling Regulation</w:t>
      </w:r>
      <w:r w:rsidR="00D019F3">
        <w:t xml:space="preserve"> Plan</w:t>
      </w:r>
    </w:p>
    <w:p w14:paraId="6917A0D0" w14:textId="4A8134C3" w:rsidR="00765373" w:rsidRDefault="00765373" w:rsidP="00A82AA2">
      <w:pPr>
        <w:jc w:val="center"/>
      </w:pPr>
    </w:p>
    <w:sdt>
      <w:sdtPr>
        <w:id w:val="2138361560"/>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74437816" w14:textId="26ED984C" w:rsidR="00765373" w:rsidRDefault="00765373">
          <w:pPr>
            <w:pStyle w:val="TOCHeading"/>
          </w:pPr>
          <w:r>
            <w:t>Table of Contents</w:t>
          </w:r>
        </w:p>
        <w:p w14:paraId="7112E805" w14:textId="4D8D27CF" w:rsidR="003B763F" w:rsidRDefault="00765373">
          <w:pPr>
            <w:pStyle w:val="TOC2"/>
            <w:tabs>
              <w:tab w:val="right" w:leader="dot" w:pos="9350"/>
            </w:tabs>
            <w:rPr>
              <w:rFonts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27054570" w:history="1">
            <w:r w:rsidR="003B763F" w:rsidRPr="00F34314">
              <w:rPr>
                <w:rStyle w:val="Hyperlink"/>
                <w:noProof/>
              </w:rPr>
              <w:t>Product</w:t>
            </w:r>
            <w:r w:rsidR="003B763F">
              <w:rPr>
                <w:noProof/>
                <w:webHidden/>
              </w:rPr>
              <w:tab/>
            </w:r>
            <w:r w:rsidR="003B763F">
              <w:rPr>
                <w:noProof/>
                <w:webHidden/>
              </w:rPr>
              <w:fldChar w:fldCharType="begin"/>
            </w:r>
            <w:r w:rsidR="003B763F">
              <w:rPr>
                <w:noProof/>
                <w:webHidden/>
              </w:rPr>
              <w:instrText xml:space="preserve"> PAGEREF _Toc27054570 \h </w:instrText>
            </w:r>
            <w:r w:rsidR="003B763F">
              <w:rPr>
                <w:noProof/>
                <w:webHidden/>
              </w:rPr>
            </w:r>
            <w:r w:rsidR="003B763F">
              <w:rPr>
                <w:noProof/>
                <w:webHidden/>
              </w:rPr>
              <w:fldChar w:fldCharType="separate"/>
            </w:r>
            <w:r w:rsidR="003B763F">
              <w:rPr>
                <w:noProof/>
                <w:webHidden/>
              </w:rPr>
              <w:t>1</w:t>
            </w:r>
            <w:r w:rsidR="003B763F">
              <w:rPr>
                <w:noProof/>
                <w:webHidden/>
              </w:rPr>
              <w:fldChar w:fldCharType="end"/>
            </w:r>
          </w:hyperlink>
        </w:p>
        <w:p w14:paraId="7D5BFB21" w14:textId="3E537F09" w:rsidR="003B763F" w:rsidRDefault="003B763F">
          <w:pPr>
            <w:pStyle w:val="TOC2"/>
            <w:tabs>
              <w:tab w:val="right" w:leader="dot" w:pos="9350"/>
            </w:tabs>
            <w:rPr>
              <w:rFonts w:cstheme="minorBidi"/>
              <w:b w:val="0"/>
              <w:bCs w:val="0"/>
              <w:noProof/>
              <w:sz w:val="24"/>
              <w:szCs w:val="24"/>
            </w:rPr>
          </w:pPr>
          <w:hyperlink w:anchor="_Toc27054571" w:history="1">
            <w:r w:rsidRPr="00F34314">
              <w:rPr>
                <w:rStyle w:val="Hyperlink"/>
                <w:noProof/>
              </w:rPr>
              <w:t>Unilateral Party</w:t>
            </w:r>
            <w:r>
              <w:rPr>
                <w:noProof/>
                <w:webHidden/>
              </w:rPr>
              <w:tab/>
            </w:r>
            <w:r>
              <w:rPr>
                <w:noProof/>
                <w:webHidden/>
              </w:rPr>
              <w:fldChar w:fldCharType="begin"/>
            </w:r>
            <w:r>
              <w:rPr>
                <w:noProof/>
                <w:webHidden/>
              </w:rPr>
              <w:instrText xml:space="preserve"> PAGEREF _Toc27054571 \h </w:instrText>
            </w:r>
            <w:r>
              <w:rPr>
                <w:noProof/>
                <w:webHidden/>
              </w:rPr>
            </w:r>
            <w:r>
              <w:rPr>
                <w:noProof/>
                <w:webHidden/>
              </w:rPr>
              <w:fldChar w:fldCharType="separate"/>
            </w:r>
            <w:r>
              <w:rPr>
                <w:noProof/>
                <w:webHidden/>
              </w:rPr>
              <w:t>1</w:t>
            </w:r>
            <w:r>
              <w:rPr>
                <w:noProof/>
                <w:webHidden/>
              </w:rPr>
              <w:fldChar w:fldCharType="end"/>
            </w:r>
          </w:hyperlink>
        </w:p>
        <w:p w14:paraId="4CBE0FCF" w14:textId="6C3D0B6F" w:rsidR="003B763F" w:rsidRDefault="003B763F">
          <w:pPr>
            <w:pStyle w:val="TOC2"/>
            <w:tabs>
              <w:tab w:val="right" w:leader="dot" w:pos="9350"/>
            </w:tabs>
            <w:rPr>
              <w:rFonts w:cstheme="minorBidi"/>
              <w:b w:val="0"/>
              <w:bCs w:val="0"/>
              <w:noProof/>
              <w:sz w:val="24"/>
              <w:szCs w:val="24"/>
            </w:rPr>
          </w:pPr>
          <w:hyperlink w:anchor="_Toc27054572" w:history="1">
            <w:r w:rsidRPr="00F34314">
              <w:rPr>
                <w:rStyle w:val="Hyperlink"/>
                <w:noProof/>
              </w:rPr>
              <w:t>Bilateral Party</w:t>
            </w:r>
            <w:r>
              <w:rPr>
                <w:noProof/>
                <w:webHidden/>
              </w:rPr>
              <w:tab/>
            </w:r>
            <w:r>
              <w:rPr>
                <w:noProof/>
                <w:webHidden/>
              </w:rPr>
              <w:fldChar w:fldCharType="begin"/>
            </w:r>
            <w:r>
              <w:rPr>
                <w:noProof/>
                <w:webHidden/>
              </w:rPr>
              <w:instrText xml:space="preserve"> PAGEREF _Toc27054572 \h </w:instrText>
            </w:r>
            <w:r>
              <w:rPr>
                <w:noProof/>
                <w:webHidden/>
              </w:rPr>
            </w:r>
            <w:r>
              <w:rPr>
                <w:noProof/>
                <w:webHidden/>
              </w:rPr>
              <w:fldChar w:fldCharType="separate"/>
            </w:r>
            <w:r>
              <w:rPr>
                <w:noProof/>
                <w:webHidden/>
              </w:rPr>
              <w:t>2</w:t>
            </w:r>
            <w:r>
              <w:rPr>
                <w:noProof/>
                <w:webHidden/>
              </w:rPr>
              <w:fldChar w:fldCharType="end"/>
            </w:r>
          </w:hyperlink>
        </w:p>
        <w:p w14:paraId="3271448D" w14:textId="7A86CB14" w:rsidR="003B763F" w:rsidRDefault="003B763F">
          <w:pPr>
            <w:pStyle w:val="TOC2"/>
            <w:tabs>
              <w:tab w:val="right" w:leader="dot" w:pos="9350"/>
            </w:tabs>
            <w:rPr>
              <w:rFonts w:cstheme="minorBidi"/>
              <w:b w:val="0"/>
              <w:bCs w:val="0"/>
              <w:noProof/>
              <w:sz w:val="24"/>
              <w:szCs w:val="24"/>
            </w:rPr>
          </w:pPr>
          <w:hyperlink w:anchor="_Toc27054573" w:history="1">
            <w:r w:rsidRPr="00F34314">
              <w:rPr>
                <w:rStyle w:val="Hyperlink"/>
                <w:noProof/>
              </w:rPr>
              <w:t>Transaction Context</w:t>
            </w:r>
            <w:r>
              <w:rPr>
                <w:noProof/>
                <w:webHidden/>
              </w:rPr>
              <w:tab/>
            </w:r>
            <w:r>
              <w:rPr>
                <w:noProof/>
                <w:webHidden/>
              </w:rPr>
              <w:fldChar w:fldCharType="begin"/>
            </w:r>
            <w:r>
              <w:rPr>
                <w:noProof/>
                <w:webHidden/>
              </w:rPr>
              <w:instrText xml:space="preserve"> PAGEREF _Toc27054573 \h </w:instrText>
            </w:r>
            <w:r>
              <w:rPr>
                <w:noProof/>
                <w:webHidden/>
              </w:rPr>
            </w:r>
            <w:r>
              <w:rPr>
                <w:noProof/>
                <w:webHidden/>
              </w:rPr>
              <w:fldChar w:fldCharType="separate"/>
            </w:r>
            <w:r>
              <w:rPr>
                <w:noProof/>
                <w:webHidden/>
              </w:rPr>
              <w:t>2</w:t>
            </w:r>
            <w:r>
              <w:rPr>
                <w:noProof/>
                <w:webHidden/>
              </w:rPr>
              <w:fldChar w:fldCharType="end"/>
            </w:r>
          </w:hyperlink>
        </w:p>
        <w:p w14:paraId="3E5FB295" w14:textId="1BDC6321" w:rsidR="003B763F" w:rsidRDefault="003B763F">
          <w:pPr>
            <w:pStyle w:val="TOC2"/>
            <w:tabs>
              <w:tab w:val="right" w:leader="dot" w:pos="9350"/>
            </w:tabs>
            <w:rPr>
              <w:rFonts w:cstheme="minorBidi"/>
              <w:b w:val="0"/>
              <w:bCs w:val="0"/>
              <w:noProof/>
              <w:sz w:val="24"/>
              <w:szCs w:val="24"/>
            </w:rPr>
          </w:pPr>
          <w:hyperlink w:anchor="_Toc27054574" w:history="1">
            <w:r w:rsidRPr="00F34314">
              <w:rPr>
                <w:rStyle w:val="Hyperlink"/>
                <w:noProof/>
              </w:rPr>
              <w:t>Obligations</w:t>
            </w:r>
            <w:r>
              <w:rPr>
                <w:noProof/>
                <w:webHidden/>
              </w:rPr>
              <w:tab/>
            </w:r>
            <w:r>
              <w:rPr>
                <w:noProof/>
                <w:webHidden/>
              </w:rPr>
              <w:fldChar w:fldCharType="begin"/>
            </w:r>
            <w:r>
              <w:rPr>
                <w:noProof/>
                <w:webHidden/>
              </w:rPr>
              <w:instrText xml:space="preserve"> PAGEREF _Toc27054574 \h </w:instrText>
            </w:r>
            <w:r>
              <w:rPr>
                <w:noProof/>
                <w:webHidden/>
              </w:rPr>
            </w:r>
            <w:r>
              <w:rPr>
                <w:noProof/>
                <w:webHidden/>
              </w:rPr>
              <w:fldChar w:fldCharType="separate"/>
            </w:r>
            <w:r>
              <w:rPr>
                <w:noProof/>
                <w:webHidden/>
              </w:rPr>
              <w:t>2</w:t>
            </w:r>
            <w:r>
              <w:rPr>
                <w:noProof/>
                <w:webHidden/>
              </w:rPr>
              <w:fldChar w:fldCharType="end"/>
            </w:r>
          </w:hyperlink>
        </w:p>
        <w:p w14:paraId="5B62CD0A" w14:textId="7852E467" w:rsidR="00765373" w:rsidRDefault="00765373">
          <w:r>
            <w:rPr>
              <w:b/>
              <w:bCs/>
              <w:noProof/>
            </w:rPr>
            <w:fldChar w:fldCharType="end"/>
          </w:r>
        </w:p>
      </w:sdtContent>
    </w:sdt>
    <w:p w14:paraId="59D1F794" w14:textId="77777777" w:rsidR="00765373" w:rsidRDefault="00765373" w:rsidP="00A82AA2">
      <w:pPr>
        <w:jc w:val="center"/>
      </w:pPr>
    </w:p>
    <w:p w14:paraId="1EE7BB6A" w14:textId="3B0D90D3" w:rsidR="00A82AA2" w:rsidRDefault="00A82AA2" w:rsidP="00A82AA2">
      <w:pPr>
        <w:jc w:val="center"/>
      </w:pPr>
    </w:p>
    <w:p w14:paraId="70FD57B8" w14:textId="68C5EFB9" w:rsidR="00F060BE" w:rsidRPr="002C6569" w:rsidRDefault="00A82AA2" w:rsidP="002C6569">
      <w:pPr>
        <w:pStyle w:val="Heading2"/>
      </w:pPr>
      <w:bookmarkStart w:id="0" w:name="_Toc27054570"/>
      <w:r>
        <w:t>Product</w:t>
      </w:r>
      <w:bookmarkEnd w:id="0"/>
      <w:r>
        <w:t xml:space="preserve"> </w:t>
      </w:r>
    </w:p>
    <w:p w14:paraId="61262D01" w14:textId="44B65EF8" w:rsidR="00A82AA2" w:rsidRPr="008D3DC3" w:rsidRDefault="00A82AA2" w:rsidP="008D3DC3">
      <w:pPr>
        <w:pStyle w:val="ListParagraph"/>
        <w:numPr>
          <w:ilvl w:val="0"/>
          <w:numId w:val="4"/>
        </w:numPr>
        <w:rPr>
          <w:rFonts w:ascii="Calibri" w:hAnsi="Calibri" w:cs="Calibri"/>
          <w:b/>
          <w:bCs/>
          <w:color w:val="444444"/>
          <w:sz w:val="20"/>
          <w:szCs w:val="20"/>
        </w:rPr>
      </w:pPr>
      <w:r w:rsidRPr="008D3DC3">
        <w:rPr>
          <w:rFonts w:ascii="Calibri" w:hAnsi="Calibri" w:cs="Calibri"/>
          <w:b/>
          <w:bCs/>
          <w:color w:val="444444"/>
          <w:sz w:val="20"/>
          <w:szCs w:val="20"/>
        </w:rPr>
        <w:t>Financial Instruments</w:t>
      </w:r>
      <w:r w:rsidR="002C6569" w:rsidRPr="008D3DC3">
        <w:rPr>
          <w:rFonts w:ascii="Calibri" w:hAnsi="Calibri" w:cs="Calibri"/>
          <w:b/>
          <w:bCs/>
          <w:color w:val="444444"/>
          <w:sz w:val="20"/>
          <w:szCs w:val="20"/>
        </w:rPr>
        <w:t xml:space="preserve"> </w:t>
      </w:r>
      <w:r w:rsidR="002C6569" w:rsidRPr="008D3DC3">
        <w:rPr>
          <w:rFonts w:ascii="Calibri" w:hAnsi="Calibri" w:cs="Calibri"/>
          <w:color w:val="444444"/>
          <w:sz w:val="20"/>
          <w:szCs w:val="20"/>
        </w:rPr>
        <w:t>(</w:t>
      </w:r>
      <w:r w:rsidR="002C6569" w:rsidRPr="008D3DC3">
        <w:rPr>
          <w:rFonts w:ascii="Calibri" w:hAnsi="Calibri" w:cs="Calibri"/>
          <w:sz w:val="20"/>
          <w:szCs w:val="20"/>
        </w:rPr>
        <w:t>Annex I Section C of Directive 2004/39/</w:t>
      </w:r>
      <w:r w:rsidR="002C6569" w:rsidRPr="008D3DC3">
        <w:rPr>
          <w:rFonts w:ascii="Calibri" w:hAnsi="Calibri" w:cs="Calibri"/>
          <w:sz w:val="20"/>
          <w:szCs w:val="20"/>
        </w:rPr>
        <w:t>EC)</w:t>
      </w:r>
    </w:p>
    <w:p w14:paraId="26CD44CF" w14:textId="77777777" w:rsidR="00F060BE" w:rsidRPr="00F060BE" w:rsidRDefault="00F060BE" w:rsidP="003735B3">
      <w:pPr>
        <w:rPr>
          <w:rFonts w:ascii="Calibri" w:hAnsi="Calibri" w:cs="Calibri"/>
          <w:b/>
          <w:bCs/>
          <w:color w:val="444444"/>
          <w:sz w:val="20"/>
          <w:szCs w:val="20"/>
        </w:rPr>
      </w:pPr>
    </w:p>
    <w:p w14:paraId="109966D8" w14:textId="77777777" w:rsidR="00A82AA2" w:rsidRPr="003735B3" w:rsidRDefault="00A82AA2" w:rsidP="003735B3">
      <w:pPr>
        <w:rPr>
          <w:rFonts w:ascii="Calibri" w:hAnsi="Calibri" w:cs="Calibri"/>
          <w:color w:val="444444"/>
          <w:sz w:val="20"/>
          <w:szCs w:val="20"/>
        </w:rPr>
      </w:pPr>
      <w:r w:rsidRPr="003735B3">
        <w:rPr>
          <w:rFonts w:ascii="Calibri" w:hAnsi="Calibri" w:cs="Calibri"/>
          <w:color w:val="444444"/>
          <w:sz w:val="20"/>
          <w:szCs w:val="20"/>
        </w:rPr>
        <w:t>(1) Transferable securities;</w:t>
      </w:r>
    </w:p>
    <w:p w14:paraId="680B1A06" w14:textId="77777777" w:rsidR="00A82AA2" w:rsidRPr="003735B3" w:rsidRDefault="00A82AA2" w:rsidP="003735B3">
      <w:pPr>
        <w:rPr>
          <w:rFonts w:ascii="Calibri" w:hAnsi="Calibri" w:cs="Calibri"/>
          <w:color w:val="444444"/>
          <w:sz w:val="20"/>
          <w:szCs w:val="20"/>
        </w:rPr>
      </w:pPr>
      <w:r w:rsidRPr="003735B3">
        <w:rPr>
          <w:rFonts w:ascii="Calibri" w:hAnsi="Calibri" w:cs="Calibri"/>
          <w:color w:val="444444"/>
          <w:sz w:val="20"/>
          <w:szCs w:val="20"/>
        </w:rPr>
        <w:t>(2) Money-market instruments;</w:t>
      </w:r>
    </w:p>
    <w:p w14:paraId="0CF242CE" w14:textId="77777777" w:rsidR="00A82AA2" w:rsidRPr="003735B3" w:rsidRDefault="00A82AA2" w:rsidP="003735B3">
      <w:pPr>
        <w:rPr>
          <w:rFonts w:ascii="Calibri" w:hAnsi="Calibri" w:cs="Calibri"/>
          <w:color w:val="444444"/>
          <w:sz w:val="20"/>
          <w:szCs w:val="20"/>
        </w:rPr>
      </w:pPr>
      <w:r w:rsidRPr="003735B3">
        <w:rPr>
          <w:rFonts w:ascii="Calibri" w:hAnsi="Calibri" w:cs="Calibri"/>
          <w:color w:val="444444"/>
          <w:sz w:val="20"/>
          <w:szCs w:val="20"/>
        </w:rPr>
        <w:t>(3) Units in collective investment undertakings;</w:t>
      </w:r>
    </w:p>
    <w:p w14:paraId="44F99E85" w14:textId="77777777" w:rsidR="00A82AA2" w:rsidRPr="003735B3" w:rsidRDefault="00A82AA2" w:rsidP="003735B3">
      <w:pPr>
        <w:rPr>
          <w:rFonts w:ascii="Calibri" w:hAnsi="Calibri" w:cs="Calibri"/>
          <w:color w:val="444444"/>
          <w:sz w:val="20"/>
          <w:szCs w:val="20"/>
        </w:rPr>
      </w:pPr>
      <w:r w:rsidRPr="003735B3">
        <w:rPr>
          <w:rFonts w:ascii="Calibri" w:hAnsi="Calibri" w:cs="Calibri"/>
          <w:color w:val="444444"/>
          <w:sz w:val="20"/>
          <w:szCs w:val="20"/>
        </w:rPr>
        <w:t>(4) Options, futures, swaps, forward rate agreements and any other derivative contracts relating to securities, currencies, interest rates or yields, or other derivatives instruments, financial indices or financial measures which may be settled physically or in cash;</w:t>
      </w:r>
    </w:p>
    <w:p w14:paraId="37432B4F" w14:textId="77777777" w:rsidR="00A82AA2" w:rsidRPr="003735B3" w:rsidRDefault="00A82AA2" w:rsidP="003735B3">
      <w:pPr>
        <w:rPr>
          <w:rFonts w:ascii="Calibri" w:hAnsi="Calibri" w:cs="Calibri"/>
          <w:color w:val="444444"/>
          <w:sz w:val="20"/>
          <w:szCs w:val="20"/>
        </w:rPr>
      </w:pPr>
      <w:r w:rsidRPr="003735B3">
        <w:rPr>
          <w:rFonts w:ascii="Calibri" w:hAnsi="Calibri" w:cs="Calibri"/>
          <w:color w:val="444444"/>
          <w:sz w:val="20"/>
          <w:szCs w:val="20"/>
        </w:rPr>
        <w:t>(5) Options, futures, swaps, forward rate agreements and any other derivative contracts relating to commodities that must be settled in cash or may be settled in cash at the option of one of the parties (otherwise than by reason of a default or other termination event);</w:t>
      </w:r>
    </w:p>
    <w:p w14:paraId="26E14B1F" w14:textId="77777777" w:rsidR="00A82AA2" w:rsidRPr="003735B3" w:rsidRDefault="00A82AA2" w:rsidP="003735B3">
      <w:pPr>
        <w:rPr>
          <w:rFonts w:ascii="Calibri" w:hAnsi="Calibri" w:cs="Calibri"/>
          <w:color w:val="444444"/>
          <w:sz w:val="20"/>
          <w:szCs w:val="20"/>
        </w:rPr>
      </w:pPr>
      <w:r w:rsidRPr="003735B3">
        <w:rPr>
          <w:rFonts w:ascii="Calibri" w:hAnsi="Calibri" w:cs="Calibri"/>
          <w:color w:val="444444"/>
          <w:sz w:val="20"/>
          <w:szCs w:val="20"/>
        </w:rPr>
        <w:t>(6) Options, futures, swaps, and any other derivative contract relating to commodities that can be physically settled provided that they are traded on a regulated market and/or an MTF;</w:t>
      </w:r>
    </w:p>
    <w:p w14:paraId="2C0B9A70" w14:textId="4F5E66A9" w:rsidR="00A82AA2" w:rsidRPr="003735B3" w:rsidRDefault="00A82AA2" w:rsidP="003735B3">
      <w:pPr>
        <w:rPr>
          <w:rFonts w:ascii="Calibri" w:hAnsi="Calibri" w:cs="Calibri"/>
          <w:color w:val="444444"/>
          <w:sz w:val="20"/>
          <w:szCs w:val="20"/>
        </w:rPr>
      </w:pPr>
      <w:r w:rsidRPr="003735B3">
        <w:rPr>
          <w:rFonts w:ascii="Calibri" w:hAnsi="Calibri" w:cs="Calibri"/>
          <w:color w:val="444444"/>
          <w:sz w:val="20"/>
          <w:szCs w:val="20"/>
        </w:rPr>
        <w:t xml:space="preserve">(7) Options, futures, swaps, forwards and any other derivative contracts relating to commodities, that can be physically settled not otherwise mentioned in C.6 and not being for commercial purposes, which have the characteristics of other derivative financial instruments, having regard to whether, inter alia, they are cleared and settled through </w:t>
      </w:r>
      <w:r w:rsidR="00B67B80" w:rsidRPr="003735B3">
        <w:rPr>
          <w:rFonts w:ascii="Calibri" w:hAnsi="Calibri" w:cs="Calibri"/>
          <w:color w:val="444444"/>
          <w:sz w:val="20"/>
          <w:szCs w:val="20"/>
        </w:rPr>
        <w:t>recognized</w:t>
      </w:r>
      <w:r w:rsidRPr="003735B3">
        <w:rPr>
          <w:rFonts w:ascii="Calibri" w:hAnsi="Calibri" w:cs="Calibri"/>
          <w:color w:val="444444"/>
          <w:sz w:val="20"/>
          <w:szCs w:val="20"/>
        </w:rPr>
        <w:t xml:space="preserve"> clearing houses or are subject to regular margin calls;</w:t>
      </w:r>
    </w:p>
    <w:p w14:paraId="54307AAD" w14:textId="77777777" w:rsidR="00A82AA2" w:rsidRPr="003735B3" w:rsidRDefault="00A82AA2" w:rsidP="003735B3">
      <w:pPr>
        <w:rPr>
          <w:rFonts w:ascii="Calibri" w:hAnsi="Calibri" w:cs="Calibri"/>
          <w:color w:val="444444"/>
          <w:sz w:val="20"/>
          <w:szCs w:val="20"/>
        </w:rPr>
      </w:pPr>
      <w:r w:rsidRPr="003735B3">
        <w:rPr>
          <w:rFonts w:ascii="Calibri" w:hAnsi="Calibri" w:cs="Calibri"/>
          <w:color w:val="444444"/>
          <w:sz w:val="20"/>
          <w:szCs w:val="20"/>
        </w:rPr>
        <w:t>(8) Derivative instruments for the transfer of credit risk;</w:t>
      </w:r>
    </w:p>
    <w:p w14:paraId="62DF1D55" w14:textId="77777777" w:rsidR="00A82AA2" w:rsidRPr="003735B3" w:rsidRDefault="00A82AA2" w:rsidP="003735B3">
      <w:pPr>
        <w:rPr>
          <w:rFonts w:ascii="Calibri" w:hAnsi="Calibri" w:cs="Calibri"/>
          <w:color w:val="444444"/>
          <w:sz w:val="20"/>
          <w:szCs w:val="20"/>
        </w:rPr>
      </w:pPr>
      <w:r w:rsidRPr="003735B3">
        <w:rPr>
          <w:rFonts w:ascii="Calibri" w:hAnsi="Calibri" w:cs="Calibri"/>
          <w:color w:val="444444"/>
          <w:sz w:val="20"/>
          <w:szCs w:val="20"/>
        </w:rPr>
        <w:t>(9) Financial contracts for differences.</w:t>
      </w:r>
    </w:p>
    <w:p w14:paraId="24752198" w14:textId="77777777" w:rsidR="00A82AA2" w:rsidRPr="003735B3" w:rsidRDefault="00A82AA2" w:rsidP="003735B3">
      <w:pPr>
        <w:rPr>
          <w:rFonts w:ascii="Calibri" w:hAnsi="Calibri" w:cs="Calibri"/>
          <w:color w:val="444444"/>
          <w:sz w:val="20"/>
          <w:szCs w:val="20"/>
        </w:rPr>
      </w:pPr>
      <w:r w:rsidRPr="003735B3">
        <w:rPr>
          <w:rFonts w:ascii="Calibri" w:hAnsi="Calibri" w:cs="Calibri"/>
          <w:color w:val="444444"/>
          <w:sz w:val="20"/>
          <w:szCs w:val="20"/>
        </w:rPr>
        <w:t xml:space="preserve">(10) Options, futures, swaps, forward rate agreements and any other derivative contracts relating to climatic variables, freight rates, emission allowances or inflation rates or other official economic statistics that must be settled in cash or may be settled in cash at the option of one of the parties (otherwise than by reason of a default or other termination event), as well as any other derivative contracts relating to assets, rights, obligations, indices and measures not otherwise mentioned in this Section, which have the characteristics of other derivative financial instruments, having regard to whether, inter alia, they are traded on a regulated market or an MTF, are cleared and settled through </w:t>
      </w:r>
      <w:proofErr w:type="spellStart"/>
      <w:r w:rsidRPr="003735B3">
        <w:rPr>
          <w:rFonts w:ascii="Calibri" w:hAnsi="Calibri" w:cs="Calibri"/>
          <w:color w:val="444444"/>
          <w:sz w:val="20"/>
          <w:szCs w:val="20"/>
        </w:rPr>
        <w:t>recognised</w:t>
      </w:r>
      <w:proofErr w:type="spellEnd"/>
      <w:r w:rsidRPr="003735B3">
        <w:rPr>
          <w:rFonts w:ascii="Calibri" w:hAnsi="Calibri" w:cs="Calibri"/>
          <w:color w:val="444444"/>
          <w:sz w:val="20"/>
          <w:szCs w:val="20"/>
        </w:rPr>
        <w:t xml:space="preserve"> clearing houses or are subject to regular margin calls.</w:t>
      </w:r>
    </w:p>
    <w:p w14:paraId="50854E1F" w14:textId="3121E765" w:rsidR="00A82AA2" w:rsidRDefault="00A82AA2" w:rsidP="00A82AA2"/>
    <w:p w14:paraId="20EF3888" w14:textId="0B90C000" w:rsidR="00567630" w:rsidRPr="008D3DC3" w:rsidRDefault="00F060BE" w:rsidP="008D3DC3">
      <w:pPr>
        <w:pStyle w:val="ListParagraph"/>
        <w:numPr>
          <w:ilvl w:val="0"/>
          <w:numId w:val="4"/>
        </w:numPr>
        <w:tabs>
          <w:tab w:val="left" w:pos="522"/>
        </w:tabs>
        <w:rPr>
          <w:b/>
          <w:bCs/>
          <w:sz w:val="20"/>
          <w:szCs w:val="20"/>
        </w:rPr>
      </w:pPr>
      <w:r w:rsidRPr="008D3DC3">
        <w:rPr>
          <w:b/>
          <w:bCs/>
          <w:sz w:val="20"/>
          <w:szCs w:val="20"/>
        </w:rPr>
        <w:t>Credit Default Swap</w:t>
      </w:r>
    </w:p>
    <w:p w14:paraId="213FBA00" w14:textId="77777777" w:rsidR="00567630" w:rsidRDefault="00567630" w:rsidP="00567630">
      <w:pPr>
        <w:rPr>
          <w:rFonts w:cs="EUAlbertina"/>
          <w:color w:val="000000"/>
          <w:sz w:val="19"/>
          <w:szCs w:val="19"/>
        </w:rPr>
      </w:pPr>
    </w:p>
    <w:p w14:paraId="342A5F03" w14:textId="398A1563" w:rsidR="00A82AA2" w:rsidRDefault="00567630" w:rsidP="00567630">
      <w:r w:rsidRPr="00567630">
        <w:rPr>
          <w:rFonts w:cs="EUAlbertina"/>
          <w:color w:val="000000"/>
          <w:sz w:val="19"/>
          <w:szCs w:val="19"/>
        </w:rPr>
        <w:t>a derivative contract in which one party pays a fee to another party in return for a payment or other benefit in the case of a credit event relating to a reference entity and of any other default, relating to that derivative contract, which has a similar economic effect</w:t>
      </w:r>
      <w:r w:rsidR="00D019F3">
        <w:rPr>
          <w:rFonts w:cs="EUAlbertina"/>
          <w:color w:val="000000"/>
          <w:sz w:val="19"/>
          <w:szCs w:val="19"/>
        </w:rPr>
        <w:t xml:space="preserve"> (Article 1 c)</w:t>
      </w:r>
    </w:p>
    <w:p w14:paraId="0124225B" w14:textId="77777777" w:rsidR="00567630" w:rsidRDefault="00567630" w:rsidP="00A82AA2"/>
    <w:p w14:paraId="623D8D4F" w14:textId="1C9B11B1" w:rsidR="00A82AA2" w:rsidRDefault="00765373" w:rsidP="00A82AA2">
      <w:pPr>
        <w:pStyle w:val="Heading2"/>
      </w:pPr>
      <w:bookmarkStart w:id="1" w:name="_Toc27054571"/>
      <w:r>
        <w:lastRenderedPageBreak/>
        <w:t xml:space="preserve">Unilateral </w:t>
      </w:r>
      <w:r w:rsidR="00A82AA2">
        <w:t>Party</w:t>
      </w:r>
      <w:bookmarkEnd w:id="1"/>
    </w:p>
    <w:p w14:paraId="3990158F" w14:textId="22395ADA" w:rsidR="00A82AA2" w:rsidRDefault="00A82AA2" w:rsidP="00A82AA2"/>
    <w:p w14:paraId="4EAB11C4" w14:textId="13CD592E" w:rsidR="003735B3" w:rsidRDefault="003735B3" w:rsidP="003735B3">
      <w:pPr>
        <w:rPr>
          <w:rFonts w:cs="EUAlbertina"/>
          <w:color w:val="000000"/>
          <w:sz w:val="19"/>
          <w:szCs w:val="19"/>
        </w:rPr>
      </w:pPr>
      <w:r>
        <w:rPr>
          <w:rFonts w:cs="EUAlbertina"/>
          <w:color w:val="000000"/>
          <w:sz w:val="19"/>
          <w:szCs w:val="19"/>
        </w:rPr>
        <w:t xml:space="preserve">A natural or legal person who has a net short position in relation to the issued share capital of a company that has shares admitted to trading on a </w:t>
      </w:r>
      <w:r w:rsidRPr="002C6569">
        <w:rPr>
          <w:rFonts w:cs="EUAlbertina"/>
          <w:color w:val="000000"/>
          <w:sz w:val="19"/>
          <w:szCs w:val="19"/>
          <w:highlight w:val="yellow"/>
        </w:rPr>
        <w:t xml:space="preserve">trading </w:t>
      </w:r>
      <w:proofErr w:type="gramStart"/>
      <w:r w:rsidRPr="002C6569">
        <w:rPr>
          <w:rFonts w:cs="EUAlbertina"/>
          <w:color w:val="000000"/>
          <w:sz w:val="19"/>
          <w:szCs w:val="19"/>
          <w:highlight w:val="yellow"/>
        </w:rPr>
        <w:t>venue</w:t>
      </w:r>
      <w:r>
        <w:rPr>
          <w:rFonts w:cs="EUAlbertina"/>
          <w:color w:val="000000"/>
          <w:sz w:val="19"/>
          <w:szCs w:val="19"/>
        </w:rPr>
        <w:t xml:space="preserve"> ,</w:t>
      </w:r>
      <w:proofErr w:type="gramEnd"/>
      <w:r>
        <w:rPr>
          <w:rFonts w:cs="EUAlbertina"/>
          <w:color w:val="000000"/>
          <w:sz w:val="19"/>
          <w:szCs w:val="19"/>
        </w:rPr>
        <w:t xml:space="preserve"> </w:t>
      </w:r>
      <w:r w:rsidR="00BB2324">
        <w:rPr>
          <w:rFonts w:cs="EUAlbertina"/>
          <w:color w:val="000000"/>
          <w:sz w:val="19"/>
          <w:szCs w:val="19"/>
        </w:rPr>
        <w:t>w</w:t>
      </w:r>
      <w:r>
        <w:rPr>
          <w:rFonts w:cs="EUAlbertina"/>
          <w:color w:val="000000"/>
          <w:sz w:val="19"/>
          <w:szCs w:val="19"/>
        </w:rPr>
        <w:t xml:space="preserve">here the position reaches or falls below a </w:t>
      </w:r>
      <w:r w:rsidRPr="003735B3">
        <w:rPr>
          <w:rFonts w:cs="EUAlbertina"/>
          <w:color w:val="000000"/>
          <w:sz w:val="19"/>
          <w:szCs w:val="19"/>
          <w:highlight w:val="lightGray"/>
        </w:rPr>
        <w:t>relevant notification threshold</w:t>
      </w:r>
      <w:r>
        <w:rPr>
          <w:rFonts w:cs="EUAlbertina"/>
          <w:color w:val="000000"/>
          <w:sz w:val="19"/>
          <w:szCs w:val="19"/>
        </w:rPr>
        <w:t xml:space="preserve"> referred to in paragraph 2 of this Article</w:t>
      </w:r>
    </w:p>
    <w:p w14:paraId="34516544" w14:textId="1E128E00" w:rsidR="003735B3" w:rsidRDefault="003735B3" w:rsidP="00A82AA2"/>
    <w:p w14:paraId="48DE5B89" w14:textId="27CB3947" w:rsidR="002C6569" w:rsidRDefault="002C6569" w:rsidP="00A82AA2">
      <w:pPr>
        <w:rPr>
          <w:rFonts w:cs="EUAlbertina"/>
          <w:color w:val="000000"/>
          <w:sz w:val="19"/>
          <w:szCs w:val="19"/>
        </w:rPr>
      </w:pPr>
      <w:r w:rsidRPr="002C6569">
        <w:rPr>
          <w:rFonts w:cs="EUAlbertina"/>
          <w:color w:val="000000"/>
          <w:sz w:val="19"/>
          <w:szCs w:val="19"/>
          <w:highlight w:val="yellow"/>
        </w:rPr>
        <w:t>trading venue</w:t>
      </w:r>
      <w:r>
        <w:rPr>
          <w:rFonts w:cs="EUAlbertina"/>
          <w:color w:val="000000"/>
          <w:sz w:val="19"/>
          <w:szCs w:val="19"/>
        </w:rPr>
        <w:t xml:space="preserve">: </w:t>
      </w:r>
    </w:p>
    <w:p w14:paraId="3A6112A3" w14:textId="65D0F385" w:rsidR="008D3DC3" w:rsidRPr="00A40F54" w:rsidRDefault="008D3DC3" w:rsidP="0004029B">
      <w:pPr>
        <w:pStyle w:val="ListParagraph"/>
        <w:numPr>
          <w:ilvl w:val="0"/>
          <w:numId w:val="4"/>
        </w:numPr>
      </w:pPr>
      <w:r w:rsidRPr="0004029B">
        <w:rPr>
          <w:rFonts w:cs="EUAlbertina"/>
          <w:color w:val="000000"/>
          <w:sz w:val="19"/>
          <w:szCs w:val="19"/>
        </w:rPr>
        <w:t>a regulated market within the meaning of point (14) of Article 4(1) of Directive 2004/39/EC, or a multilateral trading facility within the meaning of point (15) of Article 4(1) of Directive 2004/39/EC;</w:t>
      </w:r>
    </w:p>
    <w:p w14:paraId="1C1B136E" w14:textId="77777777" w:rsidR="00A40F54" w:rsidRPr="0004029B" w:rsidRDefault="00A40F54" w:rsidP="00A40F54">
      <w:pPr>
        <w:ind w:left="360"/>
      </w:pPr>
    </w:p>
    <w:p w14:paraId="78E0EC33" w14:textId="20F8047D" w:rsidR="0004029B" w:rsidRPr="00A40F54" w:rsidRDefault="0004029B" w:rsidP="00A40F54">
      <w:pPr>
        <w:pStyle w:val="ListParagraph"/>
        <w:numPr>
          <w:ilvl w:val="0"/>
          <w:numId w:val="4"/>
        </w:numPr>
        <w:rPr>
          <w:rFonts w:ascii="Calibri" w:hAnsi="Calibri" w:cs="Calibri"/>
          <w:sz w:val="20"/>
          <w:szCs w:val="20"/>
        </w:rPr>
      </w:pPr>
      <w:r w:rsidRPr="00A40F54">
        <w:rPr>
          <w:rFonts w:ascii="Calibri" w:hAnsi="Calibri" w:cs="Calibri"/>
          <w:sz w:val="20"/>
          <w:szCs w:val="20"/>
        </w:rPr>
        <w:t xml:space="preserve">‘Regulated market’ means a multilateral system </w:t>
      </w:r>
      <w:r w:rsidRPr="00A40F54">
        <w:rPr>
          <w:rFonts w:ascii="Calibri" w:hAnsi="Calibri" w:cs="Calibri"/>
          <w:sz w:val="20"/>
          <w:szCs w:val="20"/>
        </w:rPr>
        <w:t xml:space="preserve">operated </w:t>
      </w:r>
      <w:r w:rsidRPr="00A40F54">
        <w:rPr>
          <w:rFonts w:ascii="Calibri" w:hAnsi="Calibri" w:cs="Calibri"/>
          <w:sz w:val="20"/>
          <w:szCs w:val="20"/>
        </w:rPr>
        <w:t>and/or managed by a market operator, which brings</w:t>
      </w:r>
      <w:r w:rsidRPr="00A40F54">
        <w:rPr>
          <w:rFonts w:ascii="Calibri" w:hAnsi="Calibri" w:cs="Calibri"/>
          <w:sz w:val="20"/>
          <w:szCs w:val="20"/>
        </w:rPr>
        <w:t xml:space="preserve"> </w:t>
      </w:r>
      <w:r w:rsidRPr="00A40F54">
        <w:rPr>
          <w:rFonts w:ascii="Calibri" w:hAnsi="Calibri" w:cs="Calibri"/>
          <w:sz w:val="20"/>
          <w:szCs w:val="20"/>
        </w:rPr>
        <w:t>together or facilitates the bringing together of multiple</w:t>
      </w:r>
      <w:r w:rsidRPr="00A40F54">
        <w:rPr>
          <w:rFonts w:ascii="Calibri" w:hAnsi="Calibri" w:cs="Calibri"/>
          <w:sz w:val="20"/>
          <w:szCs w:val="20"/>
        </w:rPr>
        <w:t xml:space="preserve"> </w:t>
      </w:r>
      <w:r w:rsidRPr="00A40F54">
        <w:rPr>
          <w:rFonts w:ascii="Calibri" w:hAnsi="Calibri" w:cs="Calibri"/>
          <w:sz w:val="20"/>
          <w:szCs w:val="20"/>
        </w:rPr>
        <w:t>third</w:t>
      </w:r>
      <w:r w:rsidRPr="00A40F54">
        <w:rPr>
          <w:rFonts w:ascii="Cambria Math" w:hAnsi="Cambria Math" w:cs="Cambria Math"/>
          <w:sz w:val="20"/>
          <w:szCs w:val="20"/>
        </w:rPr>
        <w:t>‑</w:t>
      </w:r>
      <w:r w:rsidRPr="00A40F54">
        <w:rPr>
          <w:rFonts w:ascii="Calibri" w:hAnsi="Calibri" w:cs="Calibri"/>
          <w:sz w:val="20"/>
          <w:szCs w:val="20"/>
        </w:rPr>
        <w:t>party</w:t>
      </w:r>
      <w:r w:rsidRPr="00A40F54">
        <w:rPr>
          <w:rFonts w:ascii="Calibri" w:hAnsi="Calibri" w:cs="Calibri"/>
          <w:sz w:val="20"/>
          <w:szCs w:val="20"/>
        </w:rPr>
        <w:t xml:space="preserve"> </w:t>
      </w:r>
      <w:r w:rsidRPr="00A40F54">
        <w:rPr>
          <w:rFonts w:ascii="Calibri" w:hAnsi="Calibri" w:cs="Calibri"/>
          <w:sz w:val="20"/>
          <w:szCs w:val="20"/>
        </w:rPr>
        <w:t>buying and selling interests in financial instruments</w:t>
      </w:r>
      <w:r w:rsidRPr="00A40F54">
        <w:rPr>
          <w:rFonts w:ascii="Calibri" w:hAnsi="Calibri" w:cs="Calibri"/>
          <w:sz w:val="20"/>
          <w:szCs w:val="20"/>
        </w:rPr>
        <w:t xml:space="preserve"> </w:t>
      </w:r>
      <w:r w:rsidRPr="00A40F54">
        <w:rPr>
          <w:rFonts w:ascii="Calibri" w:hAnsi="Calibri" w:cs="Calibri"/>
          <w:sz w:val="20"/>
          <w:szCs w:val="20"/>
        </w:rPr>
        <w:t>– in the system and in accordance with its nondiscretionary</w:t>
      </w:r>
      <w:r w:rsidRPr="00A40F54">
        <w:rPr>
          <w:rFonts w:ascii="Calibri" w:hAnsi="Calibri" w:cs="Calibri"/>
          <w:sz w:val="20"/>
          <w:szCs w:val="20"/>
        </w:rPr>
        <w:t xml:space="preserve"> </w:t>
      </w:r>
      <w:r w:rsidRPr="00A40F54">
        <w:rPr>
          <w:rFonts w:ascii="Calibri" w:hAnsi="Calibri" w:cs="Calibri"/>
          <w:sz w:val="20"/>
          <w:szCs w:val="20"/>
        </w:rPr>
        <w:t>rules – in a way that results in a contract, in</w:t>
      </w:r>
      <w:r w:rsidRPr="00A40F54">
        <w:rPr>
          <w:rFonts w:ascii="Calibri" w:hAnsi="Calibri" w:cs="Calibri"/>
          <w:sz w:val="20"/>
          <w:szCs w:val="20"/>
        </w:rPr>
        <w:t xml:space="preserve"> </w:t>
      </w:r>
      <w:r w:rsidRPr="00A40F54">
        <w:rPr>
          <w:rFonts w:ascii="Calibri" w:hAnsi="Calibri" w:cs="Calibri"/>
          <w:sz w:val="20"/>
          <w:szCs w:val="20"/>
        </w:rPr>
        <w:t>respect of the financial instruments admitted to trading</w:t>
      </w:r>
      <w:r w:rsidRPr="00A40F54">
        <w:rPr>
          <w:rFonts w:ascii="Calibri" w:hAnsi="Calibri" w:cs="Calibri"/>
          <w:sz w:val="20"/>
          <w:szCs w:val="20"/>
        </w:rPr>
        <w:t xml:space="preserve"> </w:t>
      </w:r>
      <w:r w:rsidRPr="00A40F54">
        <w:rPr>
          <w:rFonts w:ascii="Calibri" w:hAnsi="Calibri" w:cs="Calibri"/>
          <w:sz w:val="20"/>
          <w:szCs w:val="20"/>
        </w:rPr>
        <w:t xml:space="preserve">under its rules and/or systems, and which is </w:t>
      </w:r>
      <w:r w:rsidRPr="00A40F54">
        <w:rPr>
          <w:rFonts w:ascii="Calibri" w:hAnsi="Calibri" w:cs="Calibri"/>
          <w:sz w:val="20"/>
          <w:szCs w:val="20"/>
        </w:rPr>
        <w:t>authorized</w:t>
      </w:r>
      <w:r w:rsidR="00A40F54" w:rsidRPr="00A40F54">
        <w:rPr>
          <w:rFonts w:ascii="Calibri" w:hAnsi="Calibri" w:cs="Calibri"/>
          <w:sz w:val="20"/>
          <w:szCs w:val="20"/>
        </w:rPr>
        <w:t xml:space="preserve"> </w:t>
      </w:r>
      <w:r w:rsidRPr="00A40F54">
        <w:rPr>
          <w:rFonts w:ascii="Calibri" w:hAnsi="Calibri" w:cs="Calibri"/>
          <w:sz w:val="20"/>
          <w:szCs w:val="20"/>
        </w:rPr>
        <w:t>and functions regularly and in accordance with the provisions</w:t>
      </w:r>
      <w:r w:rsidRPr="00A40F54">
        <w:rPr>
          <w:rFonts w:ascii="Calibri" w:hAnsi="Calibri" w:cs="Calibri"/>
          <w:sz w:val="20"/>
          <w:szCs w:val="20"/>
        </w:rPr>
        <w:t xml:space="preserve"> </w:t>
      </w:r>
      <w:r w:rsidRPr="00A40F54">
        <w:rPr>
          <w:rFonts w:ascii="Calibri" w:hAnsi="Calibri" w:cs="Calibri"/>
          <w:sz w:val="20"/>
          <w:szCs w:val="20"/>
        </w:rPr>
        <w:t>of Title III;</w:t>
      </w:r>
    </w:p>
    <w:p w14:paraId="58B86082" w14:textId="77777777" w:rsidR="006F60FC" w:rsidRDefault="006F60FC" w:rsidP="006F60FC">
      <w:pPr>
        <w:pStyle w:val="ListParagraph"/>
      </w:pPr>
    </w:p>
    <w:p w14:paraId="6F2CF49E" w14:textId="7E71BBE5" w:rsidR="0004029B" w:rsidRPr="006F60FC" w:rsidRDefault="006F60FC" w:rsidP="006F60FC">
      <w:pPr>
        <w:pStyle w:val="ListParagraph"/>
        <w:numPr>
          <w:ilvl w:val="0"/>
          <w:numId w:val="4"/>
        </w:numPr>
        <w:autoSpaceDE w:val="0"/>
        <w:autoSpaceDN w:val="0"/>
        <w:adjustRightInd w:val="0"/>
        <w:rPr>
          <w:rFonts w:ascii="Times New Roman" w:hAnsi="Times New Roman" w:cs="Times New Roman"/>
          <w:sz w:val="19"/>
          <w:szCs w:val="19"/>
        </w:rPr>
      </w:pPr>
      <w:r w:rsidRPr="006F60FC">
        <w:rPr>
          <w:rFonts w:ascii="Times New Roman" w:hAnsi="Times New Roman" w:cs="Times New Roman"/>
          <w:sz w:val="19"/>
          <w:szCs w:val="19"/>
        </w:rPr>
        <w:t>‘Multilateral trading facility (MTF)’ means a multilateral</w:t>
      </w:r>
      <w:r w:rsidRPr="006F60FC">
        <w:rPr>
          <w:rFonts w:ascii="Times New Roman" w:hAnsi="Times New Roman" w:cs="Times New Roman"/>
          <w:sz w:val="19"/>
          <w:szCs w:val="19"/>
        </w:rPr>
        <w:t xml:space="preserve"> </w:t>
      </w:r>
      <w:r w:rsidRPr="006F60FC">
        <w:rPr>
          <w:rFonts w:ascii="Times New Roman" w:hAnsi="Times New Roman" w:cs="Times New Roman"/>
          <w:sz w:val="19"/>
          <w:szCs w:val="19"/>
        </w:rPr>
        <w:t>system, operated by an investment firm or a market</w:t>
      </w:r>
      <w:r w:rsidRPr="006F60FC">
        <w:rPr>
          <w:rFonts w:ascii="Times New Roman" w:hAnsi="Times New Roman" w:cs="Times New Roman"/>
          <w:sz w:val="19"/>
          <w:szCs w:val="19"/>
        </w:rPr>
        <w:t xml:space="preserve"> </w:t>
      </w:r>
      <w:r w:rsidRPr="006F60FC">
        <w:rPr>
          <w:rFonts w:ascii="Times New Roman" w:hAnsi="Times New Roman" w:cs="Times New Roman"/>
          <w:sz w:val="19"/>
          <w:szCs w:val="19"/>
        </w:rPr>
        <w:t>operator, which brings together multiple third‑party buying</w:t>
      </w:r>
      <w:r w:rsidRPr="006F60FC">
        <w:rPr>
          <w:rFonts w:ascii="Times New Roman" w:hAnsi="Times New Roman" w:cs="Times New Roman"/>
          <w:sz w:val="19"/>
          <w:szCs w:val="19"/>
        </w:rPr>
        <w:t xml:space="preserve"> </w:t>
      </w:r>
      <w:r w:rsidRPr="006F60FC">
        <w:rPr>
          <w:rFonts w:ascii="Times New Roman" w:hAnsi="Times New Roman" w:cs="Times New Roman"/>
          <w:sz w:val="19"/>
          <w:szCs w:val="19"/>
        </w:rPr>
        <w:t>and selling interests in financial instruments – in the</w:t>
      </w:r>
      <w:r w:rsidRPr="006F60FC">
        <w:rPr>
          <w:rFonts w:ascii="Times New Roman" w:hAnsi="Times New Roman" w:cs="Times New Roman"/>
          <w:sz w:val="19"/>
          <w:szCs w:val="19"/>
        </w:rPr>
        <w:t xml:space="preserve"> </w:t>
      </w:r>
      <w:r w:rsidRPr="006F60FC">
        <w:rPr>
          <w:rFonts w:ascii="Times New Roman" w:hAnsi="Times New Roman" w:cs="Times New Roman"/>
          <w:sz w:val="19"/>
          <w:szCs w:val="19"/>
        </w:rPr>
        <w:t>system and in accordance with non‑discretionary rules –</w:t>
      </w:r>
      <w:r w:rsidRPr="006F60FC">
        <w:rPr>
          <w:rFonts w:ascii="Times New Roman" w:hAnsi="Times New Roman" w:cs="Times New Roman"/>
          <w:sz w:val="19"/>
          <w:szCs w:val="19"/>
        </w:rPr>
        <w:t xml:space="preserve"> </w:t>
      </w:r>
      <w:r w:rsidRPr="006F60FC">
        <w:rPr>
          <w:rFonts w:ascii="Times New Roman" w:hAnsi="Times New Roman" w:cs="Times New Roman"/>
          <w:sz w:val="19"/>
          <w:szCs w:val="19"/>
        </w:rPr>
        <w:t>in a way that results in a contract in accordance with the</w:t>
      </w:r>
      <w:r w:rsidRPr="006F60FC">
        <w:rPr>
          <w:rFonts w:ascii="Times New Roman" w:hAnsi="Times New Roman" w:cs="Times New Roman"/>
          <w:sz w:val="19"/>
          <w:szCs w:val="19"/>
        </w:rPr>
        <w:t xml:space="preserve"> </w:t>
      </w:r>
      <w:r w:rsidRPr="006F60FC">
        <w:rPr>
          <w:rFonts w:ascii="Times New Roman" w:hAnsi="Times New Roman" w:cs="Times New Roman"/>
          <w:sz w:val="19"/>
          <w:szCs w:val="19"/>
        </w:rPr>
        <w:t>provisions of Title II;</w:t>
      </w:r>
    </w:p>
    <w:p w14:paraId="337B5903" w14:textId="77777777" w:rsidR="002C6569" w:rsidRDefault="002C6569" w:rsidP="00A82AA2"/>
    <w:p w14:paraId="2F71C1B8" w14:textId="6D54E05C" w:rsidR="003735B3" w:rsidRDefault="003735B3" w:rsidP="003735B3">
      <w:pPr>
        <w:rPr>
          <w:rFonts w:cs="EUAlbertina"/>
          <w:color w:val="000000"/>
          <w:sz w:val="19"/>
          <w:szCs w:val="19"/>
        </w:rPr>
      </w:pPr>
      <w:r w:rsidRPr="003735B3">
        <w:rPr>
          <w:rFonts w:cs="EUAlbertina"/>
          <w:color w:val="000000"/>
          <w:sz w:val="19"/>
          <w:szCs w:val="19"/>
          <w:highlight w:val="lightGray"/>
        </w:rPr>
        <w:t>A relevant notification threshold is a percentage that equals 0,2 % of the issued share capital of the company concerned and each 0,1 % above that.</w:t>
      </w:r>
    </w:p>
    <w:p w14:paraId="6C302520" w14:textId="0E0D38A2" w:rsidR="00EA00A9" w:rsidRDefault="00EA00A9" w:rsidP="003735B3">
      <w:pPr>
        <w:rPr>
          <w:rFonts w:cs="EUAlbertina"/>
          <w:color w:val="000000"/>
          <w:sz w:val="19"/>
          <w:szCs w:val="19"/>
        </w:rPr>
      </w:pPr>
    </w:p>
    <w:p w14:paraId="328A7335" w14:textId="77777777" w:rsidR="00EA00A9" w:rsidRDefault="00EA00A9" w:rsidP="00EA00A9">
      <w:pPr>
        <w:pStyle w:val="CM1"/>
        <w:spacing w:before="200" w:after="200"/>
        <w:jc w:val="center"/>
        <w:rPr>
          <w:rFonts w:cs="EUAlbertina"/>
          <w:color w:val="000000"/>
        </w:rPr>
      </w:pPr>
    </w:p>
    <w:p w14:paraId="04728369" w14:textId="77777777" w:rsidR="00EA00A9" w:rsidRDefault="00EA00A9" w:rsidP="00EA00A9">
      <w:pPr>
        <w:pStyle w:val="CM3"/>
        <w:spacing w:before="60" w:after="60"/>
        <w:rPr>
          <w:rFonts w:cs="EUAlbertina"/>
          <w:color w:val="000000"/>
        </w:rPr>
      </w:pPr>
    </w:p>
    <w:p w14:paraId="38280DBD" w14:textId="77777777" w:rsidR="00EA00A9" w:rsidRDefault="00EA00A9" w:rsidP="00EA00A9">
      <w:pPr>
        <w:pStyle w:val="CM4"/>
        <w:spacing w:before="60" w:after="60"/>
        <w:rPr>
          <w:rFonts w:cs="EUAlbertina"/>
          <w:color w:val="000000"/>
          <w:sz w:val="19"/>
          <w:szCs w:val="19"/>
        </w:rPr>
      </w:pPr>
      <w:r>
        <w:rPr>
          <w:rFonts w:cs="EUAlbertina"/>
          <w:color w:val="000000"/>
          <w:sz w:val="19"/>
          <w:szCs w:val="19"/>
        </w:rPr>
        <w:t xml:space="preserve">1. A natural or legal person who has a net short position in relation to the issued share capital of a company that has shares admitted to trading on a trading venue shall disclose details of that position to the public, in accordance with Article 9, where the position reaches or falls below a relevant publication threshold referred to in paragraph 2 of this Article. </w:t>
      </w:r>
    </w:p>
    <w:p w14:paraId="2C426A02" w14:textId="7B3939DC" w:rsidR="00EA00A9" w:rsidRPr="00EA00A9" w:rsidRDefault="00EA00A9" w:rsidP="00C7140B">
      <w:pPr>
        <w:pStyle w:val="CM1"/>
        <w:spacing w:before="200" w:after="200"/>
        <w:rPr>
          <w:rFonts w:cs="EUAlbertina"/>
          <w:color w:val="000000"/>
        </w:rPr>
      </w:pPr>
      <w:r>
        <w:rPr>
          <w:rFonts w:cs="EUAlbertina"/>
          <w:color w:val="000000"/>
          <w:sz w:val="19"/>
          <w:szCs w:val="19"/>
        </w:rPr>
        <w:t>2. A relevant publication threshold is a percentage that equals 0,5 % of the issued share capital</w:t>
      </w:r>
      <w:r>
        <w:rPr>
          <w:rFonts w:cs="EUAlbertina"/>
          <w:color w:val="000000"/>
          <w:sz w:val="19"/>
          <w:szCs w:val="19"/>
        </w:rPr>
        <w:t xml:space="preserve"> </w:t>
      </w:r>
      <w:r>
        <w:rPr>
          <w:rFonts w:cs="EUAlbertina"/>
          <w:color w:val="000000"/>
          <w:sz w:val="19"/>
          <w:szCs w:val="19"/>
        </w:rPr>
        <w:t>of the company concerned and each 0,1 % above that</w:t>
      </w:r>
    </w:p>
    <w:p w14:paraId="0356B27F" w14:textId="77777777" w:rsidR="004B183A" w:rsidRDefault="004B183A" w:rsidP="00A82AA2"/>
    <w:p w14:paraId="29481DC7" w14:textId="77777777" w:rsidR="003735B3" w:rsidRDefault="003735B3" w:rsidP="00A82AA2"/>
    <w:p w14:paraId="22A1F790" w14:textId="5688AD59" w:rsidR="00344AC3" w:rsidRDefault="00344AC3" w:rsidP="00344AC3">
      <w:pPr>
        <w:pStyle w:val="Heading2"/>
      </w:pPr>
      <w:bookmarkStart w:id="2" w:name="_Toc27054572"/>
      <w:r>
        <w:t>B</w:t>
      </w:r>
      <w:r>
        <w:t>ilateral Party</w:t>
      </w:r>
      <w:bookmarkEnd w:id="2"/>
    </w:p>
    <w:p w14:paraId="453533CE" w14:textId="77777777" w:rsidR="00344AC3" w:rsidRDefault="00344AC3" w:rsidP="00A82AA2"/>
    <w:p w14:paraId="78F07AD7" w14:textId="0FE229F8" w:rsidR="00344AC3" w:rsidRDefault="003B763F" w:rsidP="00A82AA2">
      <w:r>
        <w:t>If any unilateral party is in scope</w:t>
      </w:r>
      <w:r w:rsidR="004B183A">
        <w:t>, then bilateral party is in scope</w:t>
      </w:r>
    </w:p>
    <w:p w14:paraId="040BF18A" w14:textId="77777777" w:rsidR="003B763F" w:rsidRDefault="003B763F" w:rsidP="00A82AA2"/>
    <w:p w14:paraId="49D01ECC" w14:textId="5CCC6DEC" w:rsidR="00A82AA2" w:rsidRDefault="00A82AA2" w:rsidP="00A82AA2">
      <w:pPr>
        <w:pStyle w:val="Heading2"/>
      </w:pPr>
      <w:bookmarkStart w:id="3" w:name="_Toc27054573"/>
      <w:r>
        <w:t>Transaction Context</w:t>
      </w:r>
      <w:bookmarkEnd w:id="3"/>
    </w:p>
    <w:p w14:paraId="29A1E448" w14:textId="003583CB" w:rsidR="00A82AA2" w:rsidRDefault="00A82AA2" w:rsidP="00A82AA2"/>
    <w:p w14:paraId="66B21C71" w14:textId="15E0A07E" w:rsidR="00916646" w:rsidRDefault="008D3DC3" w:rsidP="00916646">
      <w:pPr>
        <w:rPr>
          <w:rFonts w:cs="EUAlbertina"/>
          <w:color w:val="000000"/>
          <w:sz w:val="19"/>
          <w:szCs w:val="19"/>
        </w:rPr>
      </w:pPr>
      <w:r>
        <w:t xml:space="preserve">Enter into a </w:t>
      </w:r>
      <w:r w:rsidR="00625C98">
        <w:t>Short Position:</w:t>
      </w:r>
      <w:r w:rsidR="00916646">
        <w:rPr>
          <w:rFonts w:cs="EUAlbertina"/>
          <w:color w:val="000000"/>
          <w:sz w:val="19"/>
          <w:szCs w:val="19"/>
        </w:rPr>
        <w:tab/>
      </w:r>
    </w:p>
    <w:p w14:paraId="6579B459" w14:textId="0908AB7A" w:rsidR="00571BF4" w:rsidRDefault="00571BF4" w:rsidP="00916646">
      <w:pPr>
        <w:rPr>
          <w:rFonts w:cs="EUAlbertina"/>
          <w:color w:val="000000"/>
          <w:sz w:val="19"/>
          <w:szCs w:val="19"/>
        </w:rPr>
      </w:pPr>
    </w:p>
    <w:p w14:paraId="0F68FC1B" w14:textId="77777777" w:rsidR="00571BF4" w:rsidRDefault="00571BF4" w:rsidP="00571BF4">
      <w:pPr>
        <w:pStyle w:val="CM1"/>
        <w:spacing w:before="200" w:after="200"/>
        <w:jc w:val="center"/>
        <w:rPr>
          <w:rFonts w:cs="EUAlbertina"/>
          <w:color w:val="000000"/>
        </w:rPr>
      </w:pPr>
    </w:p>
    <w:p w14:paraId="499C3F38" w14:textId="77777777" w:rsidR="00571BF4" w:rsidRDefault="00571BF4" w:rsidP="00571BF4">
      <w:pPr>
        <w:pStyle w:val="CM3"/>
        <w:spacing w:before="60" w:after="60"/>
        <w:rPr>
          <w:rFonts w:cs="EUAlbertina"/>
          <w:color w:val="000000"/>
        </w:rPr>
      </w:pPr>
    </w:p>
    <w:p w14:paraId="0A323604" w14:textId="76A52FA6" w:rsidR="00571BF4" w:rsidRDefault="00571BF4" w:rsidP="00571BF4">
      <w:pPr>
        <w:pStyle w:val="CM4"/>
        <w:spacing w:before="60" w:after="60"/>
        <w:rPr>
          <w:rFonts w:cs="EUAlbertina"/>
          <w:color w:val="000000"/>
          <w:sz w:val="19"/>
          <w:szCs w:val="19"/>
        </w:rPr>
      </w:pPr>
      <w:r>
        <w:rPr>
          <w:rFonts w:cs="EUAlbertina"/>
          <w:color w:val="000000"/>
          <w:sz w:val="19"/>
          <w:szCs w:val="19"/>
        </w:rPr>
        <w:lastRenderedPageBreak/>
        <w:t xml:space="preserve">‘short sale’ in relation to a share or debt instrument means any sale of the share or debt instrument which the seller does not own at the time of entering into the agreement to sell including such a sale where at the time of entering into the agreement to sell the seller has borrowed or agreed to borrow the share or debt instrument for delivery at settlement, not including: </w:t>
      </w:r>
    </w:p>
    <w:p w14:paraId="3A21D982" w14:textId="77777777" w:rsidR="00571BF4" w:rsidRPr="00571BF4" w:rsidRDefault="00571BF4" w:rsidP="00571BF4"/>
    <w:p w14:paraId="434EF5CB" w14:textId="52C9D6C7" w:rsidR="00571BF4" w:rsidRDefault="00571BF4" w:rsidP="00571BF4">
      <w:pPr>
        <w:pStyle w:val="CM4"/>
        <w:numPr>
          <w:ilvl w:val="0"/>
          <w:numId w:val="8"/>
        </w:numPr>
        <w:spacing w:before="60" w:after="60"/>
        <w:rPr>
          <w:rFonts w:cs="EUAlbertina"/>
          <w:color w:val="000000"/>
          <w:sz w:val="19"/>
          <w:szCs w:val="19"/>
        </w:rPr>
      </w:pPr>
      <w:r>
        <w:rPr>
          <w:rFonts w:cs="EUAlbertina"/>
          <w:color w:val="000000"/>
          <w:sz w:val="19"/>
          <w:szCs w:val="19"/>
        </w:rPr>
        <w:t xml:space="preserve">a sale by either party under a repurchase agreement where one party has agreed to sell the other a security at a specified price with a commitment from the other party to sell the security back at a later date at another specified price; </w:t>
      </w:r>
    </w:p>
    <w:p w14:paraId="49D02FE2" w14:textId="77777777" w:rsidR="00571BF4" w:rsidRPr="00571BF4" w:rsidRDefault="00571BF4" w:rsidP="00571BF4"/>
    <w:p w14:paraId="47384B61" w14:textId="6806A75B" w:rsidR="00571BF4" w:rsidRDefault="00571BF4" w:rsidP="00571BF4">
      <w:pPr>
        <w:pStyle w:val="CM4"/>
        <w:numPr>
          <w:ilvl w:val="0"/>
          <w:numId w:val="8"/>
        </w:numPr>
        <w:spacing w:before="60" w:after="60"/>
        <w:rPr>
          <w:rFonts w:cs="EUAlbertina"/>
          <w:color w:val="000000"/>
          <w:sz w:val="19"/>
          <w:szCs w:val="19"/>
        </w:rPr>
      </w:pPr>
      <w:r>
        <w:rPr>
          <w:rFonts w:cs="EUAlbertina"/>
          <w:color w:val="000000"/>
          <w:sz w:val="19"/>
          <w:szCs w:val="19"/>
        </w:rPr>
        <w:t xml:space="preserve">a transfer of securities under a securities lending agreement; or </w:t>
      </w:r>
    </w:p>
    <w:p w14:paraId="08E58407" w14:textId="77777777" w:rsidR="00571BF4" w:rsidRPr="00571BF4" w:rsidRDefault="00571BF4" w:rsidP="00571BF4"/>
    <w:p w14:paraId="2CA72570" w14:textId="01F2178B" w:rsidR="00571BF4" w:rsidRPr="00571BF4" w:rsidRDefault="00571BF4" w:rsidP="00571BF4">
      <w:pPr>
        <w:pStyle w:val="ListParagraph"/>
        <w:numPr>
          <w:ilvl w:val="0"/>
          <w:numId w:val="8"/>
        </w:numPr>
        <w:rPr>
          <w:rFonts w:cs="EUAlbertina"/>
          <w:color w:val="000000"/>
          <w:sz w:val="19"/>
          <w:szCs w:val="19"/>
        </w:rPr>
      </w:pPr>
      <w:r w:rsidRPr="00571BF4">
        <w:rPr>
          <w:rFonts w:cs="EUAlbertina"/>
          <w:color w:val="000000"/>
          <w:sz w:val="19"/>
          <w:szCs w:val="19"/>
        </w:rPr>
        <w:t>entry into a futures contract or other derivative contract where it is agreed to sell securities at a specified price at a future date;</w:t>
      </w:r>
    </w:p>
    <w:p w14:paraId="74B29459" w14:textId="77777777" w:rsidR="00571BF4" w:rsidRPr="00571BF4" w:rsidRDefault="00571BF4" w:rsidP="00571BF4">
      <w:pPr>
        <w:rPr>
          <w:rFonts w:cs="EUAlbertina"/>
          <w:color w:val="000000"/>
          <w:sz w:val="19"/>
          <w:szCs w:val="19"/>
        </w:rPr>
      </w:pPr>
    </w:p>
    <w:p w14:paraId="22FF4A1E" w14:textId="77777777" w:rsidR="00916646" w:rsidRDefault="00916646" w:rsidP="00916646">
      <w:pPr>
        <w:rPr>
          <w:rFonts w:cs="EUAlbertina"/>
          <w:color w:val="000000"/>
          <w:sz w:val="19"/>
          <w:szCs w:val="19"/>
        </w:rPr>
      </w:pPr>
    </w:p>
    <w:p w14:paraId="1560B9DB" w14:textId="75E0502A" w:rsidR="00625C98" w:rsidRPr="00916646" w:rsidRDefault="00625C98" w:rsidP="00916646">
      <w:pPr>
        <w:pStyle w:val="ListParagraph"/>
        <w:numPr>
          <w:ilvl w:val="0"/>
          <w:numId w:val="5"/>
        </w:numPr>
        <w:rPr>
          <w:rFonts w:cs="EUAlbertina"/>
          <w:color w:val="000000"/>
          <w:sz w:val="19"/>
          <w:szCs w:val="19"/>
        </w:rPr>
      </w:pPr>
      <w:r w:rsidRPr="00916646">
        <w:rPr>
          <w:rFonts w:cs="EUAlbertina"/>
          <w:color w:val="000000"/>
          <w:sz w:val="19"/>
          <w:szCs w:val="19"/>
        </w:rPr>
        <w:t xml:space="preserve">a short sale of a share issued by a company or of a debt instrument issued by a sovereign issuer; </w:t>
      </w:r>
    </w:p>
    <w:p w14:paraId="4A5339E1" w14:textId="77777777" w:rsidR="00916646" w:rsidRPr="00916646" w:rsidRDefault="00916646" w:rsidP="00916646"/>
    <w:p w14:paraId="07584163" w14:textId="3AC6D1CA" w:rsidR="00A82AA2" w:rsidRDefault="00625C98" w:rsidP="00916646">
      <w:pPr>
        <w:pStyle w:val="CM4"/>
        <w:spacing w:before="60" w:after="60"/>
        <w:ind w:firstLine="720"/>
        <w:rPr>
          <w:rFonts w:cs="EUAlbertina"/>
          <w:color w:val="000000"/>
          <w:sz w:val="19"/>
          <w:szCs w:val="19"/>
        </w:rPr>
      </w:pPr>
      <w:r>
        <w:rPr>
          <w:rFonts w:cs="EUAlbertina"/>
          <w:color w:val="000000"/>
          <w:sz w:val="19"/>
          <w:szCs w:val="19"/>
        </w:rPr>
        <w:t>(b) entering into a transaction which creates or relates to a financial instrument other than an instrument referred to in point (a) where the effect or one of the effects of the transaction is to confer a financial advantage on the natural or legal person entering into that transaction in the event of a decrease in the price or value of the share or debt instrument.</w:t>
      </w:r>
    </w:p>
    <w:p w14:paraId="5D0EF0A4" w14:textId="2132AFC7" w:rsidR="00625C98" w:rsidRDefault="00625C98" w:rsidP="00625C98">
      <w:pPr>
        <w:rPr>
          <w:rFonts w:cs="EUAlbertina"/>
          <w:color w:val="000000"/>
          <w:sz w:val="19"/>
          <w:szCs w:val="19"/>
        </w:rPr>
      </w:pPr>
    </w:p>
    <w:p w14:paraId="308E23DC" w14:textId="77777777" w:rsidR="00625C98" w:rsidRDefault="00625C98" w:rsidP="00625C98"/>
    <w:p w14:paraId="43E1A089" w14:textId="5FD11B20" w:rsidR="00A82AA2" w:rsidRDefault="00A82AA2" w:rsidP="00A82AA2">
      <w:pPr>
        <w:pStyle w:val="Heading2"/>
      </w:pPr>
      <w:bookmarkStart w:id="4" w:name="_Toc27054574"/>
      <w:r>
        <w:t>Obligations</w:t>
      </w:r>
      <w:bookmarkEnd w:id="4"/>
    </w:p>
    <w:p w14:paraId="400B0D84" w14:textId="6580C4C4" w:rsidR="00C25010" w:rsidRDefault="00C25010" w:rsidP="00C25010">
      <w:pPr>
        <w:pStyle w:val="CM4"/>
        <w:spacing w:before="60" w:after="60"/>
        <w:rPr>
          <w:rFonts w:cs="EUAlbertina"/>
          <w:color w:val="000000"/>
          <w:sz w:val="19"/>
          <w:szCs w:val="19"/>
        </w:rPr>
      </w:pPr>
      <w:r>
        <w:rPr>
          <w:rFonts w:cs="EUAlbertina"/>
          <w:color w:val="000000"/>
          <w:sz w:val="19"/>
          <w:szCs w:val="19"/>
        </w:rPr>
        <w:t xml:space="preserve">Any notification or disclosure </w:t>
      </w:r>
      <w:r w:rsidR="004B183A">
        <w:rPr>
          <w:rFonts w:cs="EUAlbertina"/>
          <w:color w:val="000000"/>
          <w:sz w:val="19"/>
          <w:szCs w:val="19"/>
        </w:rPr>
        <w:t xml:space="preserve">should </w:t>
      </w:r>
      <w:r>
        <w:rPr>
          <w:rFonts w:cs="EUAlbertina"/>
          <w:color w:val="000000"/>
          <w:sz w:val="19"/>
          <w:szCs w:val="19"/>
        </w:rPr>
        <w:t xml:space="preserve">set out details of the identity of the natural or legal person who holds the relevant position, the size of the relevant position, the issuer in relation to which the relevant position is held and the date on which the relevant position was created, changed or ceased to be held. </w:t>
      </w:r>
    </w:p>
    <w:p w14:paraId="4F735816" w14:textId="77777777" w:rsidR="004B183A" w:rsidRDefault="004B183A" w:rsidP="00C25010">
      <w:pPr>
        <w:rPr>
          <w:rFonts w:cs="EUAlbertina"/>
          <w:color w:val="000000"/>
          <w:sz w:val="19"/>
          <w:szCs w:val="19"/>
        </w:rPr>
      </w:pPr>
    </w:p>
    <w:p w14:paraId="6FD08B5B" w14:textId="7C4DCB0B" w:rsidR="00C25010" w:rsidRDefault="00C25010" w:rsidP="00C25010">
      <w:pPr>
        <w:rPr>
          <w:rFonts w:cs="EUAlbertina"/>
          <w:color w:val="000000"/>
          <w:sz w:val="19"/>
          <w:szCs w:val="19"/>
        </w:rPr>
      </w:pPr>
      <w:r>
        <w:rPr>
          <w:rFonts w:cs="EUAlbertina"/>
          <w:color w:val="000000"/>
          <w:sz w:val="19"/>
          <w:szCs w:val="19"/>
        </w:rPr>
        <w:t>natural and legal persons that hold significant net short positions shall keep, for a period of 5 years, records of the gross positions which make a significant net short position.</w:t>
      </w:r>
    </w:p>
    <w:p w14:paraId="72AFCA2C" w14:textId="47E30490" w:rsidR="00C25010" w:rsidRDefault="00C25010" w:rsidP="00C25010">
      <w:pPr>
        <w:rPr>
          <w:rFonts w:cs="EUAlbertina"/>
          <w:color w:val="000000"/>
          <w:sz w:val="19"/>
          <w:szCs w:val="19"/>
        </w:rPr>
      </w:pPr>
    </w:p>
    <w:p w14:paraId="6787D775" w14:textId="77777777" w:rsidR="00B30403" w:rsidRDefault="00BB2324" w:rsidP="00916646">
      <w:pPr>
        <w:rPr>
          <w:rFonts w:cs="EUAlbertina"/>
          <w:color w:val="000000"/>
          <w:sz w:val="19"/>
          <w:szCs w:val="19"/>
        </w:rPr>
      </w:pPr>
      <w:r>
        <w:rPr>
          <w:rFonts w:cs="EUAlbertina"/>
          <w:color w:val="000000"/>
          <w:sz w:val="19"/>
          <w:szCs w:val="19"/>
        </w:rPr>
        <w:t>notify the relevant competent authority</w:t>
      </w:r>
      <w:r>
        <w:rPr>
          <w:rFonts w:cs="EUAlbertina"/>
          <w:color w:val="000000"/>
          <w:sz w:val="19"/>
          <w:szCs w:val="19"/>
        </w:rPr>
        <w:t xml:space="preserve"> (e.g. AMF for France, </w:t>
      </w:r>
      <w:r w:rsidR="00411AE8">
        <w:rPr>
          <w:rFonts w:cs="EUAlbertina"/>
          <w:color w:val="000000"/>
          <w:sz w:val="19"/>
          <w:szCs w:val="19"/>
        </w:rPr>
        <w:t xml:space="preserve">first tier is </w:t>
      </w:r>
      <w:proofErr w:type="spellStart"/>
      <w:r w:rsidR="00411AE8">
        <w:rPr>
          <w:rFonts w:cs="EUAlbertina"/>
          <w:color w:val="000000"/>
          <w:sz w:val="19"/>
          <w:szCs w:val="19"/>
        </w:rPr>
        <w:t>BaFin</w:t>
      </w:r>
      <w:proofErr w:type="spellEnd"/>
      <w:r w:rsidR="00411AE8">
        <w:rPr>
          <w:rFonts w:cs="EUAlbertina"/>
          <w:color w:val="000000"/>
          <w:sz w:val="19"/>
          <w:szCs w:val="19"/>
        </w:rPr>
        <w:t xml:space="preserve"> for Germany second tier is </w:t>
      </w:r>
      <w:proofErr w:type="gramStart"/>
      <w:r w:rsidR="00411AE8">
        <w:rPr>
          <w:rFonts w:cs="EUAlbertina"/>
          <w:color w:val="000000"/>
          <w:sz w:val="19"/>
          <w:szCs w:val="19"/>
        </w:rPr>
        <w:t>publish</w:t>
      </w:r>
      <w:proofErr w:type="gramEnd"/>
      <w:r w:rsidR="00411AE8">
        <w:rPr>
          <w:rFonts w:cs="EUAlbertina"/>
          <w:color w:val="000000"/>
          <w:sz w:val="19"/>
          <w:szCs w:val="19"/>
        </w:rPr>
        <w:t xml:space="preserve"> in Federal Gazette, in Germany if net short position in sovereign debt, only notify </w:t>
      </w:r>
      <w:proofErr w:type="spellStart"/>
      <w:r w:rsidR="00411AE8">
        <w:rPr>
          <w:rFonts w:cs="EUAlbertina"/>
          <w:color w:val="000000"/>
          <w:sz w:val="19"/>
          <w:szCs w:val="19"/>
        </w:rPr>
        <w:t>BaFin</w:t>
      </w:r>
      <w:proofErr w:type="spellEnd"/>
      <w:r w:rsidR="00411AE8">
        <w:rPr>
          <w:rFonts w:cs="EUAlbertina"/>
          <w:color w:val="000000"/>
          <w:sz w:val="19"/>
          <w:szCs w:val="19"/>
        </w:rPr>
        <w:t>, no second tier)</w:t>
      </w:r>
      <w:r w:rsidR="00916646" w:rsidRPr="00916646">
        <w:rPr>
          <w:rFonts w:cs="EUAlbertina"/>
          <w:color w:val="000000"/>
          <w:sz w:val="19"/>
          <w:szCs w:val="19"/>
        </w:rPr>
        <w:t xml:space="preserve"> </w:t>
      </w:r>
    </w:p>
    <w:p w14:paraId="7765445B" w14:textId="77777777" w:rsidR="00B30403" w:rsidRDefault="00B30403" w:rsidP="00916646">
      <w:pPr>
        <w:rPr>
          <w:rFonts w:cs="EUAlbertina"/>
          <w:color w:val="000000"/>
          <w:sz w:val="19"/>
          <w:szCs w:val="19"/>
        </w:rPr>
      </w:pPr>
    </w:p>
    <w:p w14:paraId="5686F557" w14:textId="61619385" w:rsidR="00916646" w:rsidRDefault="00916646" w:rsidP="00916646">
      <w:pPr>
        <w:rPr>
          <w:rFonts w:cs="EUAlbertina"/>
          <w:color w:val="000000"/>
          <w:sz w:val="19"/>
          <w:szCs w:val="19"/>
        </w:rPr>
      </w:pPr>
      <w:r>
        <w:rPr>
          <w:rFonts w:cs="EUAlbertina"/>
          <w:color w:val="000000"/>
          <w:sz w:val="19"/>
          <w:szCs w:val="19"/>
        </w:rPr>
        <w:t xml:space="preserve">The relevant time for calculation of a net short position shall be at midnight at the end of the trading day on which the natural or legal person holds the relevant position. </w:t>
      </w:r>
    </w:p>
    <w:p w14:paraId="127F0185" w14:textId="77777777" w:rsidR="00916646" w:rsidRDefault="00916646" w:rsidP="00916646">
      <w:pPr>
        <w:rPr>
          <w:rFonts w:cs="EUAlbertina"/>
          <w:color w:val="000000"/>
          <w:sz w:val="19"/>
          <w:szCs w:val="19"/>
        </w:rPr>
      </w:pPr>
      <w:r>
        <w:rPr>
          <w:rFonts w:cs="EUAlbertina"/>
          <w:color w:val="000000"/>
          <w:sz w:val="19"/>
          <w:szCs w:val="19"/>
        </w:rPr>
        <w:t xml:space="preserve">That time shall apply to all transactions irrespective of the means of trading used, including transactions executed through manual or automated trading, and irrespective of whether the transactions have taken place during normal trading hours. </w:t>
      </w:r>
    </w:p>
    <w:p w14:paraId="2D6A08E9" w14:textId="77777777" w:rsidR="00916646" w:rsidRDefault="00916646" w:rsidP="00916646">
      <w:pPr>
        <w:rPr>
          <w:rFonts w:cs="EUAlbertina"/>
          <w:color w:val="000000"/>
          <w:sz w:val="19"/>
          <w:szCs w:val="19"/>
        </w:rPr>
      </w:pPr>
    </w:p>
    <w:p w14:paraId="57E491F5" w14:textId="77777777" w:rsidR="00916646" w:rsidRDefault="00916646" w:rsidP="00916646">
      <w:pPr>
        <w:rPr>
          <w:rFonts w:cs="EUAlbertina"/>
          <w:color w:val="000000"/>
          <w:sz w:val="19"/>
          <w:szCs w:val="19"/>
        </w:rPr>
      </w:pPr>
      <w:r>
        <w:rPr>
          <w:rFonts w:cs="EUAlbertina"/>
          <w:color w:val="000000"/>
          <w:sz w:val="19"/>
          <w:szCs w:val="19"/>
        </w:rPr>
        <w:t>The notification or disclosure shall be made not later than at 15.30 on the following trading day. The times specified in this paragraph shall be calculated according to the time in the Member State of the relevant competent authority to whom the relevant position must be notified.</w:t>
      </w:r>
    </w:p>
    <w:p w14:paraId="6B32F3C2" w14:textId="76C0507F" w:rsidR="00BB2324" w:rsidRDefault="00BB2324" w:rsidP="00C25010">
      <w:pPr>
        <w:rPr>
          <w:rFonts w:cs="EUAlbertina"/>
          <w:color w:val="000000"/>
          <w:sz w:val="19"/>
          <w:szCs w:val="19"/>
        </w:rPr>
      </w:pPr>
    </w:p>
    <w:p w14:paraId="45869174" w14:textId="77777777" w:rsidR="00916646" w:rsidRDefault="00916646" w:rsidP="00C25010">
      <w:pPr>
        <w:rPr>
          <w:rFonts w:cs="EUAlbertina"/>
          <w:color w:val="000000"/>
          <w:sz w:val="19"/>
          <w:szCs w:val="19"/>
        </w:rPr>
      </w:pPr>
    </w:p>
    <w:p w14:paraId="313E44E4" w14:textId="77777777" w:rsidR="0013700B" w:rsidRDefault="0013700B" w:rsidP="00676DA5"/>
    <w:p w14:paraId="0419B104" w14:textId="77777777" w:rsidR="00972DFD" w:rsidRPr="00972DFD" w:rsidRDefault="00972DFD" w:rsidP="00972DFD"/>
    <w:p w14:paraId="41D914EB" w14:textId="77777777" w:rsidR="004B183A" w:rsidRPr="004B183A" w:rsidRDefault="004B183A" w:rsidP="004B183A"/>
    <w:p w14:paraId="7CBB1DBA" w14:textId="77777777" w:rsidR="00C25010" w:rsidRDefault="00C25010" w:rsidP="00C25010">
      <w:pPr>
        <w:pStyle w:val="CM3"/>
        <w:spacing w:before="60" w:after="60"/>
        <w:rPr>
          <w:rFonts w:cs="EUAlbertina"/>
          <w:color w:val="000000"/>
        </w:rPr>
      </w:pPr>
    </w:p>
    <w:p w14:paraId="6BDEE5C0" w14:textId="77777777" w:rsidR="00C25010" w:rsidRPr="00A82AA2" w:rsidRDefault="00C25010" w:rsidP="00C25010">
      <w:bookmarkStart w:id="5" w:name="_GoBack"/>
      <w:bookmarkEnd w:id="5"/>
    </w:p>
    <w:sectPr w:rsidR="00C25010" w:rsidRPr="00A82AA2" w:rsidSect="000B2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EUAlbertina">
    <w:altName w:val="EU Albertin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167"/>
    <w:multiLevelType w:val="hybridMultilevel"/>
    <w:tmpl w:val="C2B4FCE4"/>
    <w:lvl w:ilvl="0" w:tplc="FEFEFE2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E56E4"/>
    <w:multiLevelType w:val="hybridMultilevel"/>
    <w:tmpl w:val="1EB20798"/>
    <w:lvl w:ilvl="0" w:tplc="60A4C7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E4896"/>
    <w:multiLevelType w:val="hybridMultilevel"/>
    <w:tmpl w:val="4B3CB7C0"/>
    <w:lvl w:ilvl="0" w:tplc="466CF6B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52412"/>
    <w:multiLevelType w:val="hybridMultilevel"/>
    <w:tmpl w:val="6D5E3B6C"/>
    <w:lvl w:ilvl="0" w:tplc="DE46E15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17F5C"/>
    <w:multiLevelType w:val="hybridMultilevel"/>
    <w:tmpl w:val="ABD0E436"/>
    <w:lvl w:ilvl="0" w:tplc="064C09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F26A7"/>
    <w:multiLevelType w:val="hybridMultilevel"/>
    <w:tmpl w:val="A37ECB6C"/>
    <w:lvl w:ilvl="0" w:tplc="F0463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E352F0"/>
    <w:multiLevelType w:val="hybridMultilevel"/>
    <w:tmpl w:val="5D4ED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62764"/>
    <w:multiLevelType w:val="hybridMultilevel"/>
    <w:tmpl w:val="B3FC3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A2"/>
    <w:rsid w:val="0004029B"/>
    <w:rsid w:val="0005661F"/>
    <w:rsid w:val="00087E07"/>
    <w:rsid w:val="000B2D2A"/>
    <w:rsid w:val="0013700B"/>
    <w:rsid w:val="002C6569"/>
    <w:rsid w:val="0030773F"/>
    <w:rsid w:val="00344AC3"/>
    <w:rsid w:val="003735B3"/>
    <w:rsid w:val="00396F8D"/>
    <w:rsid w:val="003B763F"/>
    <w:rsid w:val="00411AE8"/>
    <w:rsid w:val="004B183A"/>
    <w:rsid w:val="004B2E72"/>
    <w:rsid w:val="004C6764"/>
    <w:rsid w:val="00554AFC"/>
    <w:rsid w:val="00567630"/>
    <w:rsid w:val="00571BF4"/>
    <w:rsid w:val="00625C98"/>
    <w:rsid w:val="00676DA5"/>
    <w:rsid w:val="006C6D9F"/>
    <w:rsid w:val="006F60FC"/>
    <w:rsid w:val="00711F03"/>
    <w:rsid w:val="00765373"/>
    <w:rsid w:val="007D1C1B"/>
    <w:rsid w:val="008A008A"/>
    <w:rsid w:val="008D3DC3"/>
    <w:rsid w:val="00916646"/>
    <w:rsid w:val="00972DFD"/>
    <w:rsid w:val="009B1C02"/>
    <w:rsid w:val="00A33FCE"/>
    <w:rsid w:val="00A40F54"/>
    <w:rsid w:val="00A82AA2"/>
    <w:rsid w:val="00B30403"/>
    <w:rsid w:val="00B67B80"/>
    <w:rsid w:val="00BB2324"/>
    <w:rsid w:val="00C25010"/>
    <w:rsid w:val="00C7140B"/>
    <w:rsid w:val="00D019F3"/>
    <w:rsid w:val="00EA00A9"/>
    <w:rsid w:val="00F0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3F4C42"/>
  <w15:chartTrackingRefBased/>
  <w15:docId w15:val="{AF342DEA-1E98-D942-92C7-A5CFD87F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BF4"/>
  </w:style>
  <w:style w:type="paragraph" w:styleId="Heading1">
    <w:name w:val="heading 1"/>
    <w:basedOn w:val="Normal"/>
    <w:next w:val="Normal"/>
    <w:link w:val="Heading1Char"/>
    <w:uiPriority w:val="9"/>
    <w:qFormat/>
    <w:rsid w:val="007653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A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AA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2AA2"/>
    <w:pPr>
      <w:spacing w:before="100" w:beforeAutospacing="1" w:after="100" w:afterAutospacing="1"/>
    </w:pPr>
    <w:rPr>
      <w:rFonts w:ascii="Times New Roman" w:eastAsia="Times New Roman" w:hAnsi="Times New Roman" w:cs="Times New Roman"/>
    </w:rPr>
  </w:style>
  <w:style w:type="paragraph" w:customStyle="1" w:styleId="CM1">
    <w:name w:val="CM1"/>
    <w:basedOn w:val="Normal"/>
    <w:next w:val="Normal"/>
    <w:uiPriority w:val="99"/>
    <w:rsid w:val="00A82AA2"/>
    <w:pPr>
      <w:autoSpaceDE w:val="0"/>
      <w:autoSpaceDN w:val="0"/>
      <w:adjustRightInd w:val="0"/>
    </w:pPr>
    <w:rPr>
      <w:rFonts w:ascii="EUAlbertina" w:hAnsi="EUAlbertina"/>
    </w:rPr>
  </w:style>
  <w:style w:type="paragraph" w:customStyle="1" w:styleId="CM3">
    <w:name w:val="CM3"/>
    <w:basedOn w:val="Normal"/>
    <w:next w:val="Normal"/>
    <w:uiPriority w:val="99"/>
    <w:rsid w:val="00A82AA2"/>
    <w:pPr>
      <w:autoSpaceDE w:val="0"/>
      <w:autoSpaceDN w:val="0"/>
      <w:adjustRightInd w:val="0"/>
    </w:pPr>
    <w:rPr>
      <w:rFonts w:ascii="EUAlbertina" w:hAnsi="EUAlbertina"/>
    </w:rPr>
  </w:style>
  <w:style w:type="paragraph" w:customStyle="1" w:styleId="CM4">
    <w:name w:val="CM4"/>
    <w:basedOn w:val="Normal"/>
    <w:next w:val="Normal"/>
    <w:uiPriority w:val="99"/>
    <w:rsid w:val="00C25010"/>
    <w:pPr>
      <w:autoSpaceDE w:val="0"/>
      <w:autoSpaceDN w:val="0"/>
      <w:adjustRightInd w:val="0"/>
    </w:pPr>
    <w:rPr>
      <w:rFonts w:ascii="EUAlbertina" w:hAnsi="EUAlbertina"/>
    </w:rPr>
  </w:style>
  <w:style w:type="character" w:customStyle="1" w:styleId="Heading1Char">
    <w:name w:val="Heading 1 Char"/>
    <w:basedOn w:val="DefaultParagraphFont"/>
    <w:link w:val="Heading1"/>
    <w:uiPriority w:val="9"/>
    <w:rsid w:val="007653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5373"/>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765373"/>
    <w:pPr>
      <w:spacing w:before="120"/>
      <w:ind w:left="240"/>
    </w:pPr>
    <w:rPr>
      <w:rFonts w:cstheme="minorHAnsi"/>
      <w:b/>
      <w:bCs/>
      <w:sz w:val="22"/>
      <w:szCs w:val="22"/>
    </w:rPr>
  </w:style>
  <w:style w:type="character" w:styleId="Hyperlink">
    <w:name w:val="Hyperlink"/>
    <w:basedOn w:val="DefaultParagraphFont"/>
    <w:uiPriority w:val="99"/>
    <w:unhideWhenUsed/>
    <w:rsid w:val="00765373"/>
    <w:rPr>
      <w:color w:val="0563C1" w:themeColor="hyperlink"/>
      <w:u w:val="single"/>
    </w:rPr>
  </w:style>
  <w:style w:type="paragraph" w:styleId="TOC1">
    <w:name w:val="toc 1"/>
    <w:basedOn w:val="Normal"/>
    <w:next w:val="Normal"/>
    <w:autoRedefine/>
    <w:uiPriority w:val="39"/>
    <w:semiHidden/>
    <w:unhideWhenUsed/>
    <w:rsid w:val="00765373"/>
    <w:pPr>
      <w:spacing w:before="120"/>
    </w:pPr>
    <w:rPr>
      <w:rFonts w:cstheme="minorHAnsi"/>
      <w:b/>
      <w:bCs/>
      <w:i/>
      <w:iCs/>
    </w:rPr>
  </w:style>
  <w:style w:type="paragraph" w:styleId="TOC3">
    <w:name w:val="toc 3"/>
    <w:basedOn w:val="Normal"/>
    <w:next w:val="Normal"/>
    <w:autoRedefine/>
    <w:uiPriority w:val="39"/>
    <w:semiHidden/>
    <w:unhideWhenUsed/>
    <w:rsid w:val="00765373"/>
    <w:pPr>
      <w:ind w:left="480"/>
    </w:pPr>
    <w:rPr>
      <w:rFonts w:cstheme="minorHAnsi"/>
      <w:sz w:val="20"/>
      <w:szCs w:val="20"/>
    </w:rPr>
  </w:style>
  <w:style w:type="paragraph" w:styleId="TOC4">
    <w:name w:val="toc 4"/>
    <w:basedOn w:val="Normal"/>
    <w:next w:val="Normal"/>
    <w:autoRedefine/>
    <w:uiPriority w:val="39"/>
    <w:semiHidden/>
    <w:unhideWhenUsed/>
    <w:rsid w:val="00765373"/>
    <w:pPr>
      <w:ind w:left="720"/>
    </w:pPr>
    <w:rPr>
      <w:rFonts w:cstheme="minorHAnsi"/>
      <w:sz w:val="20"/>
      <w:szCs w:val="20"/>
    </w:rPr>
  </w:style>
  <w:style w:type="paragraph" w:styleId="TOC5">
    <w:name w:val="toc 5"/>
    <w:basedOn w:val="Normal"/>
    <w:next w:val="Normal"/>
    <w:autoRedefine/>
    <w:uiPriority w:val="39"/>
    <w:semiHidden/>
    <w:unhideWhenUsed/>
    <w:rsid w:val="00765373"/>
    <w:pPr>
      <w:ind w:left="960"/>
    </w:pPr>
    <w:rPr>
      <w:rFonts w:cstheme="minorHAnsi"/>
      <w:sz w:val="20"/>
      <w:szCs w:val="20"/>
    </w:rPr>
  </w:style>
  <w:style w:type="paragraph" w:styleId="TOC6">
    <w:name w:val="toc 6"/>
    <w:basedOn w:val="Normal"/>
    <w:next w:val="Normal"/>
    <w:autoRedefine/>
    <w:uiPriority w:val="39"/>
    <w:semiHidden/>
    <w:unhideWhenUsed/>
    <w:rsid w:val="00765373"/>
    <w:pPr>
      <w:ind w:left="1200"/>
    </w:pPr>
    <w:rPr>
      <w:rFonts w:cstheme="minorHAnsi"/>
      <w:sz w:val="20"/>
      <w:szCs w:val="20"/>
    </w:rPr>
  </w:style>
  <w:style w:type="paragraph" w:styleId="TOC7">
    <w:name w:val="toc 7"/>
    <w:basedOn w:val="Normal"/>
    <w:next w:val="Normal"/>
    <w:autoRedefine/>
    <w:uiPriority w:val="39"/>
    <w:semiHidden/>
    <w:unhideWhenUsed/>
    <w:rsid w:val="00765373"/>
    <w:pPr>
      <w:ind w:left="1440"/>
    </w:pPr>
    <w:rPr>
      <w:rFonts w:cstheme="minorHAnsi"/>
      <w:sz w:val="20"/>
      <w:szCs w:val="20"/>
    </w:rPr>
  </w:style>
  <w:style w:type="paragraph" w:styleId="TOC8">
    <w:name w:val="toc 8"/>
    <w:basedOn w:val="Normal"/>
    <w:next w:val="Normal"/>
    <w:autoRedefine/>
    <w:uiPriority w:val="39"/>
    <w:semiHidden/>
    <w:unhideWhenUsed/>
    <w:rsid w:val="00765373"/>
    <w:pPr>
      <w:ind w:left="1680"/>
    </w:pPr>
    <w:rPr>
      <w:rFonts w:cstheme="minorHAnsi"/>
      <w:sz w:val="20"/>
      <w:szCs w:val="20"/>
    </w:rPr>
  </w:style>
  <w:style w:type="paragraph" w:styleId="TOC9">
    <w:name w:val="toc 9"/>
    <w:basedOn w:val="Normal"/>
    <w:next w:val="Normal"/>
    <w:autoRedefine/>
    <w:uiPriority w:val="39"/>
    <w:semiHidden/>
    <w:unhideWhenUsed/>
    <w:rsid w:val="00765373"/>
    <w:pPr>
      <w:ind w:left="1920"/>
    </w:pPr>
    <w:rPr>
      <w:rFonts w:cstheme="minorHAnsi"/>
      <w:sz w:val="20"/>
      <w:szCs w:val="20"/>
    </w:rPr>
  </w:style>
  <w:style w:type="paragraph" w:styleId="ListParagraph">
    <w:name w:val="List Paragraph"/>
    <w:basedOn w:val="Normal"/>
    <w:uiPriority w:val="34"/>
    <w:qFormat/>
    <w:rsid w:val="00373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94727">
      <w:bodyDiv w:val="1"/>
      <w:marLeft w:val="0"/>
      <w:marRight w:val="0"/>
      <w:marTop w:val="0"/>
      <w:marBottom w:val="0"/>
      <w:divBdr>
        <w:top w:val="none" w:sz="0" w:space="0" w:color="auto"/>
        <w:left w:val="none" w:sz="0" w:space="0" w:color="auto"/>
        <w:bottom w:val="none" w:sz="0" w:space="0" w:color="auto"/>
        <w:right w:val="none" w:sz="0" w:space="0" w:color="auto"/>
      </w:divBdr>
    </w:div>
    <w:div w:id="610741536">
      <w:bodyDiv w:val="1"/>
      <w:marLeft w:val="0"/>
      <w:marRight w:val="0"/>
      <w:marTop w:val="0"/>
      <w:marBottom w:val="0"/>
      <w:divBdr>
        <w:top w:val="none" w:sz="0" w:space="0" w:color="auto"/>
        <w:left w:val="none" w:sz="0" w:space="0" w:color="auto"/>
        <w:bottom w:val="none" w:sz="0" w:space="0" w:color="auto"/>
        <w:right w:val="none" w:sz="0" w:space="0" w:color="auto"/>
      </w:divBdr>
    </w:div>
    <w:div w:id="124441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31824-7DD6-BF4F-8308-75C978E1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1149</Words>
  <Characters>6818</Characters>
  <Application>Microsoft Office Word</Application>
  <DocSecurity>0</DocSecurity>
  <Lines>262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Li</dc:creator>
  <cp:keywords/>
  <dc:description/>
  <cp:lastModifiedBy>Lisa Li</cp:lastModifiedBy>
  <cp:revision>29</cp:revision>
  <dcterms:created xsi:type="dcterms:W3CDTF">2019-12-10T20:31:00Z</dcterms:created>
  <dcterms:modified xsi:type="dcterms:W3CDTF">2019-12-19T14:46:00Z</dcterms:modified>
</cp:coreProperties>
</file>