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实验报告（常用电子仪器的使用）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1．熟悉电子学综合实验台的结构、工作性能、面板各旋钮的的作用和具体操作方法。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2．学习电子电路实验中常用的电子仪器——示波器、函数信号发生器、直流稳压电源、交流毫伏表、频率计等的主要技术指标、性能及正确使用方法。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3．初步掌握用双踪示波器观察正弦信号波形和读取波形参数的方法。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实验仪器设备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函数信号发生器, 双踪示波器, 交流毫伏表, 电子学综合实验装置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实验原理(仪器布局)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907030"/>
            <wp:effectExtent l="0" t="0" r="12065" b="1270"/>
            <wp:docPr id="1" name="图片 1" descr="46a1e5ed890f4085799839935f4bc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6a1e5ed890f4085799839935f4bcd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020060"/>
            <wp:effectExtent l="0" t="0" r="12065" b="2540"/>
            <wp:docPr id="2" name="图片 2" descr="5a16c3d931a4777c8ce69be0b8f33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a16c3d931a4777c8ce69be0b8f33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实验内容及方法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常用电子仪器的使用</w:t>
      </w:r>
    </w:p>
    <w:tbl>
      <w:tblPr>
        <w:tblStyle w:val="7"/>
        <w:tblW w:w="7899" w:type="dxa"/>
        <w:tblCellSpacing w:w="0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28"/>
        <w:gridCol w:w="3394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  <w:tblCellSpacing w:w="0" w:type="dxa"/>
        </w:trPr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3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标  准  值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实  测  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1" w:hRule="atLeast"/>
          <w:tblCellSpacing w:w="0" w:type="dxa"/>
        </w:trPr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幅      度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Up-p(V)</w:t>
            </w:r>
          </w:p>
        </w:tc>
        <w:tc>
          <w:tcPr>
            <w:tcW w:w="3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0.5V（峰值-峰值）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32"/>
                <w:szCs w:val="32"/>
                <w:lang w:val="en-US" w:eastAsia="zh-CN"/>
              </w:rPr>
              <w:t>0.48V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1" w:hRule="atLeast"/>
          <w:tblCellSpacing w:w="0" w:type="dxa"/>
        </w:trPr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频      率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f(KHz)</w:t>
            </w:r>
          </w:p>
        </w:tc>
        <w:tc>
          <w:tcPr>
            <w:tcW w:w="3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1kHz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1kHz</w:t>
            </w:r>
          </w:p>
        </w:tc>
      </w:tr>
    </w:tbl>
    <w:p>
      <w:pPr>
        <w:pStyle w:val="5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校准信号记录表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7"/>
        <w:tblW w:w="8718" w:type="dxa"/>
        <w:tblCellSpacing w:w="0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09"/>
        <w:gridCol w:w="1389"/>
        <w:gridCol w:w="1678"/>
        <w:gridCol w:w="16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5" w:hRule="atLeast"/>
          <w:tblCellSpacing w:w="0" w:type="dxa"/>
        </w:trPr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40"/>
                <w:szCs w:val="40"/>
              </w:rPr>
              <w:t>信号源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（请将信号发生器频率固定在10kHz)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Vpp=20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Vpp=10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Vpp=5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  <w:tblCellSpacing w:w="0" w:type="dxa"/>
        </w:trPr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示波器灵敏度(V/cm)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  <w:tblCellSpacing w:w="0" w:type="dxa"/>
        </w:trPr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波型峰到峰值高度（cm)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2.5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  <w:tblCellSpacing w:w="0" w:type="dxa"/>
        </w:trPr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峰到峰电压（V）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  <w:tblCellSpacing w:w="0" w:type="dxa"/>
        </w:trPr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电压有效值（V）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7.07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3.54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  <w:tblCellSpacing w:w="0" w:type="dxa"/>
        </w:trPr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毫伏表测量值（V）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14.14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7.07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3.54</w:t>
            </w:r>
          </w:p>
        </w:tc>
      </w:tr>
    </w:tbl>
    <w:p>
      <w:pPr>
        <w:pStyle w:val="5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信号发生器输出电压测量结果记录表</w:t>
      </w:r>
    </w:p>
    <w:p>
      <w:pPr>
        <w:rPr>
          <w:rFonts w:hint="eastAsia"/>
          <w:lang w:eastAsia="zh-CN"/>
        </w:rPr>
      </w:pPr>
    </w:p>
    <w:tbl>
      <w:tblPr>
        <w:tblStyle w:val="7"/>
        <w:tblpPr w:leftFromText="180" w:rightFromText="180" w:vertAnchor="text" w:horzAnchor="page" w:tblpX="1749" w:tblpY="721"/>
        <w:tblOverlap w:val="never"/>
        <w:tblW w:w="8759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00"/>
        <w:gridCol w:w="2119"/>
        <w:gridCol w:w="2412"/>
        <w:gridCol w:w="18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  <w:tblCellSpacing w:w="0" w:type="dxa"/>
        </w:trPr>
        <w:tc>
          <w:tcPr>
            <w:tcW w:w="2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  </w:t>
            </w:r>
            <w:r>
              <w:rPr>
                <w:rFonts w:hint="default" w:ascii="Times New Roman" w:hAnsi="Times New Roman" w:cs="Times New Roman"/>
                <w:color w:val="000000"/>
                <w:sz w:val="40"/>
                <w:szCs w:val="40"/>
              </w:rPr>
              <w:t>信号频率（kHz)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(请将信号发生器输出电压固定在3V）</w:t>
            </w:r>
          </w:p>
        </w:tc>
        <w:tc>
          <w:tcPr>
            <w:tcW w:w="63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示波器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8" w:hRule="atLeast"/>
          <w:tblCellSpacing w:w="0" w:type="dxa"/>
        </w:trPr>
        <w:tc>
          <w:tcPr>
            <w:tcW w:w="2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T/DIV位置(us)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一周期所占水平格数(cm)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所测周期(us)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  <w:tblCellSpacing w:w="0" w:type="dxa"/>
        </w:trPr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0.1kHz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5.78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  <w:tblCellSpacing w:w="0" w:type="dxa"/>
        </w:trPr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5kHz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0.2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 </w:t>
            </w: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296.24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  <w:tblCellSpacing w:w="0" w:type="dxa"/>
        </w:trPr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25kHz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0.04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1469.69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0.04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  <w:tblCellSpacing w:w="0" w:type="dxa"/>
        </w:trPr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100kHz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 </w:t>
            </w: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0.01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5880.25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0.01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  <w:tblCellSpacing w:w="0" w:type="dxa"/>
        </w:trPr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500kHz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0.002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29415.66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0.002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信号周期测量结果记录表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问题讨论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如何操纵示波器有关旋钮，以便从示波器显示屏上观察到稳定、清晰的波形？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调节垂直调节旋钮，找到合适的波形位置。调节水平调节旋钮，找到合适的波形区间。调节触发电平旋钮，是波形稳定呈现。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（2）用双踪显示波形，并要求比较相位时，为在显示屏上得到稳定波形，应怎样选择下列开关的位置？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①显示方式选择（Y1；Y2；Y1＋Y2；交替；断续）</w:t>
      </w:r>
    </w:p>
    <w:p>
      <w:pPr>
        <w:rPr>
          <w:rFonts w:hint="default"/>
          <w:lang w:val="en-US" w:eastAsia="zh-CN"/>
        </w:rPr>
      </w:pP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交替或断续，比较屏幕上交替显示的两个波形。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②触发方式（常态；自动）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自动，使波形稳定。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③触发源选择（内；外）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内，以内部信号作为触发源。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④内触发源选择（Y1、Y2、交替）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Y1或Y2，选择要触发的通道。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函数信号发生器有哪几种输出波形？它的输出端能否短接？如用屏蔽线作为输出引线，则屏蔽层一端应该接在哪个接线柱上?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函数信号发生器可以输出多种波形，包括正弦波、方波、三角波、锯齿波等。函数信号发生器的输出端短接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交流毫伏表是用来测量正弦波电压还是非正弦波电压？它的表头指示值是被测信号的什么数值？它是否可以用来测量直流电压的大小？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交流毫伏表主要用于测量正弦波电压，其表头指示值是被测信号的有效值</w:t>
      </w:r>
      <w:r>
        <w:rPr>
          <w:rFonts w:hint="eastAsia"/>
          <w:lang w:val="en-US" w:eastAsia="zh-CN"/>
        </w:rPr>
        <w:t>。交流毫伏表无法直接测量直流电压的大小。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3BC8A"/>
    <w:multiLevelType w:val="singleLevel"/>
    <w:tmpl w:val="8103BC8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3ZTA5YzBjMzFlYTNmMzg0YzYyOGM1NDNiODc5MjQifQ=="/>
  </w:docVars>
  <w:rsids>
    <w:rsidRoot w:val="50750F53"/>
    <w:rsid w:val="0D56794D"/>
    <w:rsid w:val="50750F53"/>
    <w:rsid w:val="60A7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2024-01-05T13:50:00Z</dcterms:created>
  <dc:creator>努力成为特优声们的甲方</dc:creator>
  <cp:lastModifiedBy>努力成为特优声们的甲方</cp:lastModifiedBy>
  <dcterms:modified xsi:type="dcterms:W3CDTF">2024-01-05T14:59:21Z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E3E624764950407583EF699D7D5854C7_13</vt:lpwstr>
  </property>
</Properties>
</file>