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8E33E">
      <w:pPr>
        <w:ind w:left="840" w:firstLine="420"/>
        <w:rPr>
          <w:rFonts w:ascii="楷体_GB2312" w:hAnsi="新宋体" w:eastAsia="楷体_GB2312"/>
          <w:b/>
          <w:bCs/>
          <w:snapToGrid w:val="0"/>
          <w:spacing w:val="20"/>
          <w:kern w:val="0"/>
          <w:position w:val="18"/>
          <w:sz w:val="52"/>
          <w:szCs w:val="52"/>
        </w:rPr>
      </w:pPr>
      <w:r>
        <w:rPr>
          <w:rFonts w:ascii="楷体_GB2312" w:hAnsi="新宋体" w:eastAsia="楷体_GB2312"/>
          <w:b/>
          <w:spacing w:val="20"/>
          <w:kern w:val="0"/>
          <w:position w:val="18"/>
          <w:sz w:val="52"/>
          <w:szCs w:val="52"/>
        </w:rPr>
        <w:drawing>
          <wp:inline distT="0" distB="0" distL="114300" distR="114300">
            <wp:extent cx="3962400" cy="98298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962400" cy="982980"/>
                    </a:xfrm>
                    <a:prstGeom prst="rect">
                      <a:avLst/>
                    </a:prstGeom>
                    <a:noFill/>
                    <a:ln>
                      <a:noFill/>
                    </a:ln>
                  </pic:spPr>
                </pic:pic>
              </a:graphicData>
            </a:graphic>
          </wp:inline>
        </w:drawing>
      </w:r>
    </w:p>
    <w:p w14:paraId="083A455A">
      <w:pPr>
        <w:rPr>
          <w:rFonts w:hint="eastAsia" w:ascii="楷体_GB2312" w:hAnsi="新宋体" w:eastAsia="楷体_GB2312"/>
          <w:b/>
          <w:bCs/>
          <w:snapToGrid w:val="0"/>
          <w:spacing w:val="20"/>
          <w:kern w:val="0"/>
          <w:position w:val="18"/>
          <w:sz w:val="52"/>
          <w:szCs w:val="52"/>
        </w:rPr>
      </w:pPr>
    </w:p>
    <w:p w14:paraId="6B54DC32">
      <w:pPr>
        <w:jc w:val="center"/>
        <w:rPr>
          <w:rFonts w:ascii="楷体_GB2312" w:hAnsi="新宋体" w:eastAsia="楷体_GB2312"/>
          <w:b/>
          <w:bCs/>
          <w:snapToGrid w:val="0"/>
          <w:spacing w:val="20"/>
          <w:kern w:val="0"/>
          <w:position w:val="18"/>
          <w:sz w:val="52"/>
          <w:szCs w:val="52"/>
        </w:rPr>
      </w:pPr>
      <w:r>
        <w:rPr>
          <w:rFonts w:hint="eastAsia" w:ascii="楷体_GB2312" w:hAnsi="新宋体" w:eastAsia="楷体_GB2312"/>
          <w:b/>
          <w:bCs/>
          <w:snapToGrid w:val="0"/>
          <w:spacing w:val="20"/>
          <w:kern w:val="0"/>
          <w:position w:val="18"/>
          <w:sz w:val="52"/>
          <w:szCs w:val="52"/>
        </w:rPr>
        <w:t>Project</w:t>
      </w:r>
      <w:r>
        <w:rPr>
          <w:rFonts w:ascii="楷体_GB2312" w:hAnsi="新宋体" w:eastAsia="楷体_GB2312"/>
          <w:b/>
          <w:bCs/>
          <w:snapToGrid w:val="0"/>
          <w:spacing w:val="20"/>
          <w:kern w:val="0"/>
          <w:position w:val="18"/>
          <w:sz w:val="52"/>
          <w:szCs w:val="52"/>
        </w:rPr>
        <w:t xml:space="preserve"> Report</w:t>
      </w:r>
    </w:p>
    <w:p w14:paraId="586A3F71">
      <w:pPr>
        <w:jc w:val="center"/>
        <w:rPr>
          <w:rFonts w:hint="eastAsia" w:ascii="楷体_GB2312" w:hAnsi="新宋体" w:eastAsia="楷体_GB2312"/>
          <w:b/>
          <w:bCs/>
          <w:snapToGrid w:val="0"/>
          <w:kern w:val="0"/>
          <w:position w:val="6"/>
          <w:sz w:val="52"/>
          <w:szCs w:val="52"/>
        </w:rPr>
      </w:pPr>
      <w:r>
        <w:rPr>
          <w:rFonts w:hint="eastAsia" w:ascii="楷体_GB2312" w:hAnsi="新宋体" w:eastAsia="楷体_GB2312"/>
          <w:b/>
          <w:bCs/>
          <w:snapToGrid w:val="0"/>
          <w:spacing w:val="20"/>
          <w:kern w:val="0"/>
          <w:position w:val="18"/>
          <w:sz w:val="52"/>
          <w:szCs w:val="52"/>
        </w:rPr>
        <w:t>实验报告</w:t>
      </w:r>
    </w:p>
    <w:p w14:paraId="104C2EF7">
      <w:pPr>
        <w:ind w:left="840" w:firstLine="420"/>
        <w:rPr>
          <w:rFonts w:ascii="楷体_GB2312" w:hAnsi="新宋体" w:eastAsia="楷体_GB2312"/>
          <w:b/>
          <w:bCs/>
          <w:snapToGrid w:val="0"/>
          <w:spacing w:val="20"/>
          <w:kern w:val="0"/>
          <w:position w:val="18"/>
          <w:sz w:val="44"/>
          <w:szCs w:val="44"/>
        </w:rPr>
      </w:pPr>
    </w:p>
    <w:p w14:paraId="11877443">
      <w:pPr>
        <w:ind w:left="840" w:firstLine="420"/>
        <w:rPr>
          <w:rFonts w:ascii="楷体_GB2312" w:hAnsi="新宋体" w:eastAsia="楷体_GB2312"/>
          <w:b/>
          <w:bCs/>
          <w:snapToGrid w:val="0"/>
          <w:spacing w:val="20"/>
          <w:kern w:val="0"/>
          <w:position w:val="18"/>
          <w:sz w:val="44"/>
          <w:szCs w:val="44"/>
          <w:u w:val="single"/>
        </w:rPr>
      </w:pPr>
      <w:r>
        <w:rPr>
          <w:rFonts w:hint="eastAsia" w:ascii="楷体_GB2312" w:hAnsi="新宋体" w:eastAsia="楷体_GB2312"/>
          <w:b/>
          <w:bCs/>
          <w:snapToGrid w:val="0"/>
          <w:spacing w:val="20"/>
          <w:kern w:val="0"/>
          <w:position w:val="18"/>
          <w:sz w:val="44"/>
          <w:szCs w:val="44"/>
        </w:rPr>
        <w:t>实验编号：</w:t>
      </w:r>
      <w:r>
        <w:rPr>
          <w:rFonts w:hint="eastAsia" w:ascii="楷体_GB2312" w:hAnsi="新宋体" w:eastAsia="楷体_GB2312"/>
          <w:b/>
          <w:bCs/>
          <w:snapToGrid w:val="0"/>
          <w:spacing w:val="20"/>
          <w:kern w:val="0"/>
          <w:position w:val="18"/>
          <w:sz w:val="44"/>
          <w:szCs w:val="44"/>
          <w:u w:val="single"/>
        </w:rPr>
        <w:t>第</w:t>
      </w:r>
      <w:r>
        <w:rPr>
          <w:rFonts w:hint="eastAsia" w:ascii="楷体_GB2312" w:hAnsi="新宋体" w:eastAsia="楷体_GB2312"/>
          <w:b/>
          <w:bCs/>
          <w:snapToGrid w:val="0"/>
          <w:spacing w:val="20"/>
          <w:kern w:val="0"/>
          <w:position w:val="18"/>
          <w:sz w:val="44"/>
          <w:szCs w:val="44"/>
          <w:u w:val="single"/>
          <w:lang w:val="en-US" w:eastAsia="zh-CN"/>
        </w:rPr>
        <w:t>二</w:t>
      </w:r>
      <w:r>
        <w:rPr>
          <w:rFonts w:hint="eastAsia" w:ascii="楷体_GB2312" w:hAnsi="新宋体" w:eastAsia="楷体_GB2312"/>
          <w:b/>
          <w:bCs/>
          <w:snapToGrid w:val="0"/>
          <w:spacing w:val="20"/>
          <w:kern w:val="0"/>
          <w:position w:val="18"/>
          <w:sz w:val="44"/>
          <w:szCs w:val="44"/>
          <w:u w:val="single"/>
        </w:rPr>
        <w:t>次实验报告</w:t>
      </w:r>
    </w:p>
    <w:p w14:paraId="517A9673">
      <w:pPr>
        <w:ind w:left="840" w:firstLine="420"/>
        <w:rPr>
          <w:rFonts w:hint="eastAsia" w:ascii="楷体_GB2312" w:hAnsi="新宋体" w:eastAsia="楷体_GB2312"/>
          <w:b/>
          <w:bCs/>
          <w:snapToGrid w:val="0"/>
          <w:spacing w:val="20"/>
          <w:kern w:val="0"/>
          <w:position w:val="18"/>
          <w:sz w:val="44"/>
          <w:szCs w:val="44"/>
          <w:u w:val="single"/>
        </w:rPr>
      </w:pP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58"/>
        <w:gridCol w:w="3998"/>
      </w:tblGrid>
      <w:tr w14:paraId="4E1A0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5" w:type="dxa"/>
            <w:noWrap w:val="0"/>
            <w:vAlign w:val="top"/>
          </w:tcPr>
          <w:p w14:paraId="0E95D932">
            <w:pPr>
              <w:jc w:val="center"/>
              <w:rPr>
                <w:rFonts w:hint="eastAsia" w:ascii="楷体_GB2312" w:hAnsi="新宋体" w:eastAsia="楷体_GB2312"/>
                <w:b/>
                <w:bCs/>
                <w:snapToGrid w:val="0"/>
                <w:spacing w:val="20"/>
                <w:kern w:val="0"/>
                <w:position w:val="18"/>
                <w:sz w:val="36"/>
                <w:szCs w:val="36"/>
              </w:rPr>
            </w:pPr>
            <w:r>
              <w:rPr>
                <w:rFonts w:hint="eastAsia" w:ascii="楷体_GB2312" w:hAnsi="新宋体" w:eastAsia="楷体_GB2312"/>
                <w:b/>
                <w:bCs/>
                <w:snapToGrid w:val="0"/>
                <w:spacing w:val="20"/>
                <w:kern w:val="0"/>
                <w:position w:val="18"/>
                <w:sz w:val="36"/>
                <w:szCs w:val="36"/>
              </w:rPr>
              <w:t>学号</w:t>
            </w:r>
          </w:p>
        </w:tc>
        <w:tc>
          <w:tcPr>
            <w:tcW w:w="4916" w:type="dxa"/>
            <w:noWrap w:val="0"/>
            <w:vAlign w:val="top"/>
          </w:tcPr>
          <w:p w14:paraId="7E6EE449">
            <w:pPr>
              <w:jc w:val="center"/>
              <w:rPr>
                <w:rFonts w:hint="eastAsia" w:ascii="楷体_GB2312" w:hAnsi="新宋体" w:eastAsia="楷体_GB2312"/>
                <w:b/>
                <w:bCs/>
                <w:snapToGrid w:val="0"/>
                <w:spacing w:val="20"/>
                <w:kern w:val="0"/>
                <w:position w:val="18"/>
                <w:sz w:val="36"/>
                <w:szCs w:val="36"/>
              </w:rPr>
            </w:pPr>
            <w:r>
              <w:rPr>
                <w:rFonts w:hint="eastAsia" w:ascii="楷体_GB2312" w:hAnsi="新宋体" w:eastAsia="楷体_GB2312"/>
                <w:b/>
                <w:bCs/>
                <w:snapToGrid w:val="0"/>
                <w:spacing w:val="20"/>
                <w:kern w:val="0"/>
                <w:position w:val="18"/>
                <w:sz w:val="36"/>
                <w:szCs w:val="36"/>
              </w:rPr>
              <w:t>团队成员</w:t>
            </w:r>
          </w:p>
        </w:tc>
      </w:tr>
      <w:tr w14:paraId="472B0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5" w:type="dxa"/>
            <w:noWrap w:val="0"/>
            <w:vAlign w:val="top"/>
          </w:tcPr>
          <w:p w14:paraId="6944B51B">
            <w:pPr>
              <w:jc w:val="center"/>
              <w:rPr>
                <w:rFonts w:hint="default" w:ascii="楷体_GB2312" w:hAnsi="新宋体" w:eastAsia="楷体_GB2312"/>
                <w:b/>
                <w:bCs/>
                <w:snapToGrid w:val="0"/>
                <w:spacing w:val="20"/>
                <w:kern w:val="0"/>
                <w:position w:val="18"/>
                <w:sz w:val="36"/>
                <w:szCs w:val="36"/>
                <w:lang w:val="en-US" w:eastAsia="zh-CN"/>
              </w:rPr>
            </w:pPr>
            <w:r>
              <w:rPr>
                <w:rFonts w:hint="eastAsia" w:ascii="楷体_GB2312" w:hAnsi="新宋体" w:eastAsia="楷体_GB2312"/>
                <w:b/>
                <w:bCs/>
                <w:snapToGrid w:val="0"/>
                <w:spacing w:val="20"/>
                <w:kern w:val="0"/>
                <w:position w:val="18"/>
                <w:sz w:val="36"/>
                <w:szCs w:val="36"/>
                <w:lang w:val="en-US" w:eastAsia="zh-CN"/>
              </w:rPr>
              <w:t>202283890036/W20109685</w:t>
            </w:r>
          </w:p>
        </w:tc>
        <w:tc>
          <w:tcPr>
            <w:tcW w:w="4916" w:type="dxa"/>
            <w:noWrap w:val="0"/>
            <w:vAlign w:val="top"/>
          </w:tcPr>
          <w:p w14:paraId="3FE54470">
            <w:pPr>
              <w:jc w:val="center"/>
              <w:rPr>
                <w:rFonts w:hint="default" w:ascii="楷体_GB2312" w:hAnsi="新宋体" w:eastAsia="楷体_GB2312"/>
                <w:b/>
                <w:bCs/>
                <w:snapToGrid w:val="0"/>
                <w:spacing w:val="20"/>
                <w:kern w:val="0"/>
                <w:position w:val="18"/>
                <w:sz w:val="36"/>
                <w:szCs w:val="36"/>
                <w:lang w:val="en-US" w:eastAsia="zh-CN"/>
              </w:rPr>
            </w:pPr>
            <w:r>
              <w:rPr>
                <w:rFonts w:hint="eastAsia" w:ascii="楷体_GB2312" w:hAnsi="新宋体" w:eastAsia="楷体_GB2312"/>
                <w:b/>
                <w:bCs/>
                <w:snapToGrid w:val="0"/>
                <w:spacing w:val="20"/>
                <w:kern w:val="0"/>
                <w:position w:val="18"/>
                <w:sz w:val="36"/>
                <w:szCs w:val="36"/>
                <w:lang w:val="en-US" w:eastAsia="zh-CN"/>
              </w:rPr>
              <w:t>黄家睿</w:t>
            </w:r>
          </w:p>
        </w:tc>
      </w:tr>
      <w:tr w14:paraId="13D20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5" w:type="dxa"/>
            <w:noWrap w:val="0"/>
            <w:vAlign w:val="top"/>
          </w:tcPr>
          <w:p w14:paraId="6830669F">
            <w:pPr>
              <w:rPr>
                <w:rFonts w:hint="eastAsia" w:ascii="楷体_GB2312" w:hAnsi="新宋体" w:eastAsia="楷体_GB2312"/>
                <w:b/>
                <w:bCs/>
                <w:snapToGrid w:val="0"/>
                <w:spacing w:val="20"/>
                <w:kern w:val="0"/>
                <w:position w:val="18"/>
                <w:sz w:val="36"/>
                <w:szCs w:val="36"/>
              </w:rPr>
            </w:pPr>
          </w:p>
        </w:tc>
        <w:tc>
          <w:tcPr>
            <w:tcW w:w="4916" w:type="dxa"/>
            <w:noWrap w:val="0"/>
            <w:vAlign w:val="top"/>
          </w:tcPr>
          <w:p w14:paraId="22E84567">
            <w:pPr>
              <w:rPr>
                <w:rFonts w:hint="eastAsia" w:ascii="楷体_GB2312" w:hAnsi="新宋体" w:eastAsia="楷体_GB2312"/>
                <w:b/>
                <w:bCs/>
                <w:snapToGrid w:val="0"/>
                <w:spacing w:val="20"/>
                <w:kern w:val="0"/>
                <w:position w:val="18"/>
                <w:sz w:val="36"/>
                <w:szCs w:val="36"/>
              </w:rPr>
            </w:pPr>
          </w:p>
        </w:tc>
      </w:tr>
      <w:tr w14:paraId="63F19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5" w:type="dxa"/>
            <w:noWrap w:val="0"/>
            <w:vAlign w:val="top"/>
          </w:tcPr>
          <w:p w14:paraId="66FCB18B">
            <w:pPr>
              <w:rPr>
                <w:rFonts w:hint="eastAsia" w:ascii="楷体_GB2312" w:hAnsi="新宋体" w:eastAsia="楷体_GB2312"/>
                <w:b/>
                <w:bCs/>
                <w:snapToGrid w:val="0"/>
                <w:spacing w:val="20"/>
                <w:kern w:val="0"/>
                <w:position w:val="18"/>
                <w:sz w:val="36"/>
                <w:szCs w:val="36"/>
              </w:rPr>
            </w:pPr>
          </w:p>
        </w:tc>
        <w:tc>
          <w:tcPr>
            <w:tcW w:w="4916" w:type="dxa"/>
            <w:noWrap w:val="0"/>
            <w:vAlign w:val="top"/>
          </w:tcPr>
          <w:p w14:paraId="1714FBD8">
            <w:pPr>
              <w:rPr>
                <w:rFonts w:hint="eastAsia" w:ascii="楷体_GB2312" w:hAnsi="新宋体" w:eastAsia="楷体_GB2312"/>
                <w:b/>
                <w:bCs/>
                <w:snapToGrid w:val="0"/>
                <w:spacing w:val="20"/>
                <w:kern w:val="0"/>
                <w:position w:val="18"/>
                <w:sz w:val="36"/>
                <w:szCs w:val="36"/>
              </w:rPr>
            </w:pPr>
          </w:p>
        </w:tc>
      </w:tr>
      <w:tr w14:paraId="694ED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15" w:type="dxa"/>
            <w:noWrap w:val="0"/>
            <w:vAlign w:val="top"/>
          </w:tcPr>
          <w:p w14:paraId="79EC350D">
            <w:pPr>
              <w:rPr>
                <w:rFonts w:hint="eastAsia" w:ascii="楷体_GB2312" w:hAnsi="新宋体" w:eastAsia="楷体_GB2312"/>
                <w:b/>
                <w:bCs/>
                <w:snapToGrid w:val="0"/>
                <w:spacing w:val="20"/>
                <w:kern w:val="0"/>
                <w:position w:val="18"/>
                <w:sz w:val="36"/>
                <w:szCs w:val="36"/>
              </w:rPr>
            </w:pPr>
          </w:p>
        </w:tc>
        <w:tc>
          <w:tcPr>
            <w:tcW w:w="4916" w:type="dxa"/>
            <w:noWrap w:val="0"/>
            <w:vAlign w:val="top"/>
          </w:tcPr>
          <w:p w14:paraId="5913ABDE">
            <w:pPr>
              <w:rPr>
                <w:rFonts w:hint="eastAsia" w:ascii="楷体_GB2312" w:hAnsi="新宋体" w:eastAsia="楷体_GB2312"/>
                <w:b/>
                <w:bCs/>
                <w:snapToGrid w:val="0"/>
                <w:spacing w:val="20"/>
                <w:kern w:val="0"/>
                <w:position w:val="18"/>
                <w:sz w:val="36"/>
                <w:szCs w:val="36"/>
              </w:rPr>
            </w:pPr>
          </w:p>
        </w:tc>
      </w:tr>
    </w:tbl>
    <w:p w14:paraId="12881559">
      <w:pPr>
        <w:ind w:left="840" w:firstLine="420"/>
        <w:rPr>
          <w:rFonts w:ascii="楷体_GB2312" w:hAnsi="新宋体" w:eastAsia="楷体_GB2312"/>
          <w:b/>
          <w:bCs/>
          <w:snapToGrid w:val="0"/>
          <w:spacing w:val="20"/>
          <w:kern w:val="0"/>
          <w:position w:val="18"/>
          <w:sz w:val="44"/>
          <w:szCs w:val="44"/>
        </w:rPr>
      </w:pPr>
    </w:p>
    <w:p w14:paraId="24EF41B8">
      <w:pPr>
        <w:jc w:val="center"/>
        <w:rPr>
          <w:rFonts w:hint="default" w:ascii="Calibri" w:hAnsi="Calibri" w:eastAsia="楷体_GB2312" w:cs="Calibri"/>
          <w:b/>
          <w:bCs/>
          <w:snapToGrid w:val="0"/>
          <w:spacing w:val="20"/>
          <w:kern w:val="0"/>
          <w:position w:val="18"/>
          <w:sz w:val="36"/>
          <w:szCs w:val="36"/>
          <w:lang w:val="en-US" w:eastAsia="zh-CN"/>
        </w:rPr>
      </w:pPr>
      <w:r>
        <w:rPr>
          <w:rFonts w:ascii="Calibri" w:hAnsi="Calibri" w:eastAsia="楷体_GB2312" w:cs="Calibri"/>
          <w:b/>
          <w:bCs/>
          <w:snapToGrid w:val="0"/>
          <w:spacing w:val="20"/>
          <w:kern w:val="0"/>
          <w:position w:val="18"/>
          <w:sz w:val="36"/>
          <w:szCs w:val="36"/>
        </w:rPr>
        <w:t>Dat</w:t>
      </w:r>
      <w:r>
        <w:rPr>
          <w:rFonts w:hint="eastAsia" w:ascii="Calibri" w:hAnsi="Calibri" w:eastAsia="楷体_GB2312" w:cs="Calibri"/>
          <w:b/>
          <w:bCs/>
          <w:snapToGrid w:val="0"/>
          <w:spacing w:val="20"/>
          <w:kern w:val="0"/>
          <w:position w:val="18"/>
          <w:sz w:val="36"/>
          <w:szCs w:val="36"/>
          <w:lang w:val="en-US" w:eastAsia="zh-CN"/>
        </w:rPr>
        <w:t>e</w:t>
      </w:r>
      <w:r>
        <w:rPr>
          <w:rFonts w:ascii="Calibri" w:hAnsi="Calibri" w:eastAsia="楷体_GB2312" w:cs="Calibri"/>
          <w:b/>
          <w:bCs/>
          <w:snapToGrid w:val="0"/>
          <w:spacing w:val="20"/>
          <w:kern w:val="0"/>
          <w:position w:val="18"/>
          <w:sz w:val="36"/>
          <w:szCs w:val="36"/>
        </w:rPr>
        <w:t>：</w:t>
      </w:r>
      <w:r>
        <w:rPr>
          <w:rFonts w:hint="eastAsia" w:ascii="Calibri" w:hAnsi="Calibri" w:eastAsia="楷体_GB2312" w:cs="Calibri"/>
          <w:b/>
          <w:bCs/>
          <w:snapToGrid w:val="0"/>
          <w:spacing w:val="20"/>
          <w:kern w:val="0"/>
          <w:position w:val="18"/>
          <w:sz w:val="36"/>
          <w:szCs w:val="36"/>
          <w:lang w:val="en-US" w:eastAsia="zh-CN"/>
        </w:rPr>
        <w:t>2025/3/25</w:t>
      </w:r>
    </w:p>
    <w:p w14:paraId="3CC83F2B">
      <w:pPr>
        <w:pStyle w:val="4"/>
        <w:keepNext w:val="0"/>
        <w:keepLines w:val="0"/>
        <w:pageBreakBefore w:val="0"/>
        <w:pBdr>
          <w:bottom w:val="single" w:color="EEEEEE" w:sz="6" w:space="1"/>
        </w:pBdr>
        <w:spacing w:before="225" w:after="112" w:line="256" w:lineRule="auto"/>
        <w:outlineLvl w:val="1"/>
        <w:rPr>
          <w:rFonts w:ascii="微软雅黑" w:hAnsi="微软雅黑" w:eastAsia="微软雅黑" w:cs="微软雅黑"/>
          <w:b/>
          <w:color w:val="000000"/>
          <w:sz w:val="32"/>
        </w:rPr>
      </w:pPr>
    </w:p>
    <w:p w14:paraId="2D608131">
      <w:bookmarkStart w:id="0" w:name="_GoBack"/>
      <w:bookmarkEnd w:id="0"/>
    </w:p>
    <w:p w14:paraId="64737C3A">
      <w:pPr>
        <w:pStyle w:val="4"/>
        <w:keepNext w:val="0"/>
        <w:keepLines w:val="0"/>
        <w:pageBreakBefore w:val="0"/>
        <w:pBdr>
          <w:bottom w:val="single" w:color="EEEEEE" w:sz="6" w:space="1"/>
        </w:pBdr>
        <w:spacing w:before="225" w:after="112" w:line="256" w:lineRule="auto"/>
        <w:outlineLvl w:val="1"/>
      </w:pPr>
      <w:r>
        <w:rPr>
          <w:rFonts w:ascii="微软雅黑" w:hAnsi="微软雅黑" w:eastAsia="微软雅黑" w:cs="微软雅黑"/>
          <w:b/>
          <w:color w:val="000000"/>
          <w:sz w:val="32"/>
        </w:rPr>
        <w:t>1、Project Overview（简要概述实验内容）</w:t>
      </w:r>
    </w:p>
    <w:p w14:paraId="06674D99">
      <w:pPr>
        <w:spacing w:after="120" w:line="256" w:lineRule="auto"/>
        <w:ind w:firstLine="480"/>
      </w:pPr>
      <w:r>
        <w:rPr>
          <w:rFonts w:ascii="微软雅黑" w:hAnsi="微软雅黑" w:eastAsia="微软雅黑" w:cs="微软雅黑"/>
          <w:color w:val="333333"/>
          <w:sz w:val="24"/>
        </w:rPr>
        <w:t>本次实验的核心目标是开发一个能够准确预测房屋销售价格的智能系统。我们收集了近8万条房屋交易数据，通过系统的数据分析和机器学习技术，训练出可以根据房屋各项特征自动估算售价的模型。整个实验过程就像是教计算机"读懂"房地产市场的规律：先给它看大量历史交易案例，让它学习不同房屋特征与售价之间的关系，最终它就能对从未见过的房屋给出合理的价格预测。</w:t>
      </w:r>
    </w:p>
    <w:p w14:paraId="4D7C0AE0">
      <w:pPr>
        <w:spacing w:after="120" w:line="256" w:lineRule="auto"/>
        <w:ind w:firstLine="480"/>
      </w:pPr>
      <w:r>
        <w:rPr>
          <w:rFonts w:ascii="微软雅黑" w:hAnsi="微软雅黑" w:eastAsia="微软雅黑" w:cs="微软雅黑"/>
          <w:color w:val="333333"/>
          <w:sz w:val="24"/>
        </w:rPr>
        <w:t>实验最终取得了不错的效果：我们训练出的最佳模型可以解释80%以上的房价变化，平均预测误差仅为10.77%，这意味着对于一套价值100万的房子，预测价格和实际价格的差距通常不超过11万，已经具备了实际应用价值。更重要的是，我们还找到了影响房价的核心因素，这能帮助我们更好地理解房地产市场的运行规律。</w:t>
      </w:r>
    </w:p>
    <w:p w14:paraId="6B855D96">
      <w:pPr>
        <w:pStyle w:val="4"/>
        <w:keepNext w:val="0"/>
        <w:keepLines w:val="0"/>
        <w:pageBreakBefore w:val="0"/>
        <w:pBdr>
          <w:bottom w:val="single" w:color="EEEEEE" w:sz="6" w:space="1"/>
        </w:pBdr>
        <w:spacing w:before="225" w:after="112" w:line="256" w:lineRule="auto"/>
        <w:outlineLvl w:val="1"/>
      </w:pPr>
      <w:r>
        <w:rPr>
          <w:rFonts w:ascii="微软雅黑" w:hAnsi="微软雅黑" w:eastAsia="微软雅黑" w:cs="微软雅黑"/>
          <w:b/>
          <w:color w:val="000000"/>
          <w:sz w:val="32"/>
        </w:rPr>
        <w:t>2、Methodology （详细介绍所采用的方法）</w:t>
      </w:r>
    </w:p>
    <w:p w14:paraId="5E84C363">
      <w:pPr>
        <w:spacing w:after="120" w:line="256" w:lineRule="auto"/>
        <w:ind w:firstLine="480"/>
      </w:pPr>
      <w:r>
        <w:rPr>
          <w:rFonts w:ascii="微软雅黑" w:hAnsi="微软雅黑" w:eastAsia="微软雅黑" w:cs="微软雅黑"/>
          <w:color w:val="333333"/>
          <w:sz w:val="24"/>
        </w:rPr>
        <w:t>整个实验过程可以分为四个清晰的步骤，每个步骤都经过了精心设计，确保结果的准确性和可靠性：</w:t>
      </w:r>
    </w:p>
    <w:p w14:paraId="696B98BA">
      <w:pPr>
        <w:spacing w:after="120" w:line="256" w:lineRule="auto"/>
        <w:ind w:firstLine="480"/>
      </w:pPr>
      <w:r>
        <w:rPr>
          <w:rFonts w:ascii="微软雅黑" w:hAnsi="微软雅黑" w:eastAsia="微软雅黑" w:cs="微软雅黑"/>
          <w:b/>
          <w:color w:val="333333"/>
          <w:sz w:val="24"/>
        </w:rPr>
        <w:t>第一步：数据准备与清洗</w:t>
      </w:r>
    </w:p>
    <w:p w14:paraId="7E3ADA56">
      <w:pPr>
        <w:spacing w:after="120" w:line="256" w:lineRule="auto"/>
        <w:ind w:firstLine="480"/>
      </w:pPr>
      <w:r>
        <w:rPr>
          <w:rFonts w:ascii="微软雅黑" w:hAnsi="微软雅黑" w:eastAsia="微软雅黑" w:cs="微软雅黑"/>
          <w:color w:val="333333"/>
          <w:sz w:val="24"/>
        </w:rPr>
        <w:t>我们首先收集了总共79,065条房屋交易记录，每条记录包含41项房屋信息，比如房屋面积、卧室数量、地理位置、周边学校情况等等。这些原始数据就像是未经打磨的原石，里面有很多无用信息甚至错误信息，需要我们进行仔细清理：我们删除了对预测没有帮助的信息（比如房屋ID、地址文本描述等），把文字描述的信息转换成计算机能理解的数字形式，还用合理的数值填补了缺失的数据。经过处理后，我们最终保留了36个最有价值的特征用于后续分析。</w:t>
      </w:r>
    </w:p>
    <w:p w14:paraId="23254BC3">
      <w:pPr>
        <w:spacing w:after="120" w:line="256" w:lineRule="auto"/>
        <w:ind w:firstLine="480"/>
      </w:pPr>
      <w:r>
        <w:rPr>
          <w:rFonts w:ascii="微软雅黑" w:hAnsi="微软雅黑" w:eastAsia="微软雅黑" w:cs="微软雅黑"/>
          <w:b/>
          <w:color w:val="333333"/>
          <w:sz w:val="24"/>
        </w:rPr>
        <w:t>第二步：特征工程</w:t>
      </w:r>
    </w:p>
    <w:p w14:paraId="7D19F695">
      <w:pPr>
        <w:spacing w:after="120" w:line="256" w:lineRule="auto"/>
        <w:ind w:firstLine="480"/>
      </w:pPr>
      <w:r>
        <w:rPr>
          <w:rFonts w:ascii="微软雅黑" w:hAnsi="微软雅黑" w:eastAsia="微软雅黑" w:cs="微软雅黑"/>
          <w:color w:val="333333"/>
          <w:sz w:val="24"/>
        </w:rPr>
        <w:t>仅仅使用原始数据还不够，我们还根据生活常识创造了几个更有意义的新特征：比如计算挂牌价和上次售价的差值来反映房价的变化趋势，计算每个卧室的平均面积来反映居住舒适度，计算卧室和浴室的比例来反映房屋布局的合理性。这些新特征能够更准确地描述房屋的价值，就像我们在评估房价时不仅会看总面积，还会考虑户型是否合理一样。</w:t>
      </w:r>
    </w:p>
    <w:p w14:paraId="0B0882C4">
      <w:pPr>
        <w:spacing w:after="120" w:line="256" w:lineRule="auto"/>
        <w:ind w:firstLine="480"/>
      </w:pPr>
      <w:r>
        <w:rPr>
          <w:rFonts w:ascii="微软雅黑" w:hAnsi="微软雅黑" w:eastAsia="微软雅黑" w:cs="微软雅黑"/>
          <w:b/>
          <w:color w:val="333333"/>
          <w:sz w:val="24"/>
        </w:rPr>
        <w:t>第三步：模型训练</w:t>
      </w:r>
    </w:p>
    <w:p w14:paraId="377563F7">
      <w:pPr>
        <w:spacing w:after="120" w:line="256" w:lineRule="auto"/>
        <w:ind w:firstLine="480"/>
      </w:pPr>
      <w:r>
        <w:rPr>
          <w:rFonts w:ascii="微软雅黑" w:hAnsi="微软雅黑" w:eastAsia="微软雅黑" w:cs="微软雅黑"/>
          <w:color w:val="333333"/>
          <w:sz w:val="24"/>
        </w:rPr>
        <w:t>我们选择了五种目前最常用的机器学习算法进行对比测试，包括XGBoost、LightGBM、极端随机树（Extra Trees）、随机森林和梯度提升算法。每种算法都有自己的特点，就像不同的专家有不同的分析思路。我们把47,439条训练数据按8:2的比例分成两部分：80%的数据用来"教"模型学习房价规律，剩下20%的数据用来测试模型的学习效果，确保它不是死记硬背训练数据，而是真正掌握了普遍规律。</w:t>
      </w:r>
    </w:p>
    <w:p w14:paraId="371AA93F">
      <w:pPr>
        <w:spacing w:after="120" w:line="256" w:lineRule="auto"/>
        <w:ind w:firstLine="480"/>
      </w:pPr>
      <w:r>
        <w:rPr>
          <w:rFonts w:ascii="微软雅黑" w:hAnsi="微软雅黑" w:eastAsia="微软雅黑" w:cs="微软雅黑"/>
          <w:b/>
          <w:color w:val="333333"/>
          <w:sz w:val="24"/>
        </w:rPr>
        <w:t>第四步：模型评估与选择</w:t>
      </w:r>
    </w:p>
    <w:p w14:paraId="3F1001CE">
      <w:pPr>
        <w:spacing w:after="120" w:line="256" w:lineRule="auto"/>
        <w:ind w:firstLine="480"/>
      </w:pPr>
      <w:r>
        <w:rPr>
          <w:rFonts w:ascii="微软雅黑" w:hAnsi="微软雅黑" w:eastAsia="微软雅黑" w:cs="微软雅黑"/>
          <w:color w:val="333333"/>
          <w:sz w:val="24"/>
        </w:rPr>
        <w:t>我们用三个指标来评估模型的好坏：首先是R²分数，衡量模型能够解释多少房价变化，最高是100%，分数越高越好；其次是平均绝对误差，衡量预测价格和实际价格的平均差距，越小越好；最后是均方根误差，用来衡量模型对高价房屋的预测准确性。通过多轮测试和对比，我们最终选择了表现最稳定的极端随机树模型作为最终的预测模型。</w:t>
      </w:r>
    </w:p>
    <w:p w14:paraId="0CA4E78A">
      <w:pPr>
        <w:pStyle w:val="4"/>
        <w:keepNext w:val="0"/>
        <w:keepLines w:val="0"/>
        <w:pageBreakBefore w:val="0"/>
        <w:pBdr>
          <w:bottom w:val="single" w:color="EEEEEE" w:sz="6" w:space="1"/>
        </w:pBdr>
        <w:spacing w:before="225" w:after="112" w:line="256" w:lineRule="auto"/>
        <w:outlineLvl w:val="1"/>
      </w:pPr>
      <w:r>
        <w:rPr>
          <w:rFonts w:ascii="微软雅黑" w:hAnsi="微软雅黑" w:eastAsia="微软雅黑" w:cs="微软雅黑"/>
          <w:b/>
          <w:color w:val="000000"/>
          <w:sz w:val="32"/>
        </w:rPr>
        <w:t>3、Evaluation Setup（实验条件与设置）</w:t>
      </w:r>
    </w:p>
    <w:p w14:paraId="3D663F4C">
      <w:pPr>
        <w:spacing w:after="120" w:line="256" w:lineRule="auto"/>
        <w:ind w:firstLine="480"/>
      </w:pPr>
      <w:r>
        <w:rPr>
          <w:rFonts w:ascii="微软雅黑" w:hAnsi="微软雅黑" w:eastAsia="微软雅黑" w:cs="微软雅黑"/>
          <w:color w:val="333333"/>
          <w:sz w:val="24"/>
        </w:rPr>
        <w:t>为了保证实验结果的可靠性和可重复性，我们严格控制了整个实验的环境设置：</w:t>
      </w:r>
    </w:p>
    <w:p w14:paraId="1C8C0C18">
      <w:pPr>
        <w:spacing w:after="120" w:line="256" w:lineRule="auto"/>
        <w:ind w:firstLine="480"/>
      </w:pPr>
      <w:r>
        <w:rPr>
          <w:rFonts w:ascii="微软雅黑" w:hAnsi="微软雅黑" w:eastAsia="微软雅黑" w:cs="微软雅黑"/>
          <w:b/>
          <w:color w:val="333333"/>
          <w:sz w:val="24"/>
        </w:rPr>
        <w:t>数据集划分</w:t>
      </w:r>
      <w:r>
        <w:rPr>
          <w:rFonts w:ascii="微软雅黑" w:hAnsi="微软雅黑" w:eastAsia="微软雅黑" w:cs="微软雅黑"/>
          <w:color w:val="333333"/>
          <w:sz w:val="24"/>
        </w:rPr>
        <w:t>：我们将全部数据分成了三个独立的部分：训练集包含37,951条记录，用来训练模型；验证集包含9,488条记录，用来调整模型参数和初步测试效果；测试集包含31,626条记录，完全不参与训练过程，只用来最终测试模型的真实性能。这种划分方式就像平时练习用的模拟题和最终考试用的真题完全分开，能最真实地反映模型的实际能力。</w:t>
      </w:r>
    </w:p>
    <w:p w14:paraId="3BD200FF">
      <w:pPr>
        <w:spacing w:after="120" w:line="256" w:lineRule="auto"/>
        <w:ind w:firstLine="480"/>
      </w:pPr>
      <w:r>
        <w:rPr>
          <w:rFonts w:ascii="微软雅黑" w:hAnsi="微软雅黑" w:eastAsia="微软雅黑" w:cs="微软雅黑"/>
          <w:b/>
          <w:color w:val="333333"/>
          <w:sz w:val="24"/>
        </w:rPr>
        <w:t>数据预处理流程</w:t>
      </w:r>
      <w:r>
        <w:rPr>
          <w:rFonts w:ascii="微软雅黑" w:hAnsi="微软雅黑" w:eastAsia="微软雅黑" w:cs="微软雅黑"/>
          <w:color w:val="333333"/>
          <w:sz w:val="24"/>
        </w:rPr>
        <w:t>：所有数值特征都进行了标准化处理，把不同量级的数据转换到相同的尺度上，这样不会出现因为某个特征数值特别大而过度影响模型的情况。对于文本类型的特征（比如房屋类型、供暖方式等），我们采用了标签编码的方式转换成数字，同时把缺失值统一标记为"未知"，确保所有信息都能被有效利用。</w:t>
      </w:r>
    </w:p>
    <w:p w14:paraId="072533DC">
      <w:pPr>
        <w:spacing w:after="120" w:line="256" w:lineRule="auto"/>
        <w:ind w:firstLine="480"/>
      </w:pPr>
      <w:r>
        <w:rPr>
          <w:rFonts w:ascii="微软雅黑" w:hAnsi="微软雅黑" w:eastAsia="微软雅黑" w:cs="微软雅黑"/>
          <w:b/>
          <w:color w:val="333333"/>
          <w:sz w:val="24"/>
        </w:rPr>
        <w:t>模型参数设置</w:t>
      </w:r>
      <w:r>
        <w:rPr>
          <w:rFonts w:ascii="微软雅黑" w:hAnsi="微软雅黑" w:eastAsia="微软雅黑" w:cs="微软雅黑"/>
          <w:color w:val="333333"/>
          <w:sz w:val="24"/>
        </w:rPr>
        <w:t>：为了保证公平对比，所有模型的基础参数都设置在相同水平：树模型的数量都设置为300棵，最大深度根据算法特点设置在5到20之间，学习率统一设置为0.05。我们还设置了随机种子为42，确保每次运行实验都能得到完全相同的结果，方便后续验证和改进。</w:t>
      </w:r>
    </w:p>
    <w:p w14:paraId="51393F5C">
      <w:pPr>
        <w:spacing w:after="120" w:line="256" w:lineRule="auto"/>
        <w:ind w:firstLine="480"/>
      </w:pPr>
      <w:r>
        <w:rPr>
          <w:rFonts w:ascii="微软雅黑" w:hAnsi="微软雅黑" w:eastAsia="微软雅黑" w:cs="微软雅黑"/>
          <w:b/>
          <w:color w:val="333333"/>
          <w:sz w:val="24"/>
        </w:rPr>
        <w:t>评估方法</w:t>
      </w:r>
      <w:r>
        <w:rPr>
          <w:rFonts w:ascii="微软雅黑" w:hAnsi="微软雅黑" w:eastAsia="微软雅黑" w:cs="微软雅黑"/>
          <w:color w:val="333333"/>
          <w:sz w:val="24"/>
        </w:rPr>
        <w:t>：我们采用了5折交叉验证的方法来评估模型的稳定性，就是把训练数据分成5份，每次用4份训练、1份测试，重复5次，取平均结果。这种方法能够更准确地评估模型在不同数据上的表现，避免因为数据划分的偶然性导致结果偏差。</w:t>
      </w:r>
    </w:p>
    <w:p w14:paraId="2257C178">
      <w:pPr>
        <w:pStyle w:val="4"/>
        <w:keepNext w:val="0"/>
        <w:keepLines w:val="0"/>
        <w:pageBreakBefore w:val="0"/>
        <w:pBdr>
          <w:bottom w:val="single" w:color="EEEEEE" w:sz="6" w:space="1"/>
        </w:pBdr>
        <w:spacing w:before="225" w:after="112" w:line="256" w:lineRule="auto"/>
        <w:outlineLvl w:val="1"/>
      </w:pPr>
      <w:r>
        <w:rPr>
          <w:rFonts w:ascii="微软雅黑" w:hAnsi="微软雅黑" w:eastAsia="微软雅黑" w:cs="微软雅黑"/>
          <w:b/>
          <w:color w:val="000000"/>
          <w:sz w:val="32"/>
        </w:rPr>
        <w:t>4、Evaluation Analysis （实验结果与分析）</w:t>
      </w:r>
    </w:p>
    <w:p w14:paraId="35B970BB">
      <w:pPr>
        <w:spacing w:after="120" w:line="256" w:lineRule="auto"/>
        <w:ind w:firstLine="480"/>
      </w:pPr>
      <w:r>
        <w:rPr>
          <w:rFonts w:ascii="微软雅黑" w:hAnsi="微软雅黑" w:eastAsia="微软雅黑" w:cs="微软雅黑"/>
          <w:color w:val="333333"/>
          <w:sz w:val="24"/>
        </w:rPr>
        <w:t>经过系统的测试和评估，我们得到了非常有价值的实验结果，不仅验证了模型的预测能力，还揭示了房地产市场的一些内在规律：</w:t>
      </w:r>
    </w:p>
    <w:p w14:paraId="435D9DC9">
      <w:pPr>
        <w:spacing w:after="120" w:line="256" w:lineRule="auto"/>
        <w:ind w:firstLine="480"/>
      </w:pPr>
      <w:r>
        <w:rPr>
          <w:rFonts w:ascii="微软雅黑" w:hAnsi="微软雅黑" w:eastAsia="微软雅黑" w:cs="微软雅黑"/>
          <w:b/>
          <w:color w:val="333333"/>
          <w:sz w:val="24"/>
        </w:rPr>
        <w:t>模型性能对比</w:t>
      </w:r>
    </w:p>
    <w:p w14:paraId="5B254AEE">
      <w:pPr>
        <w:spacing w:after="120" w:line="256" w:lineRule="auto"/>
        <w:ind w:firstLine="480"/>
      </w:pPr>
      <w:r>
        <w:rPr>
          <w:rFonts w:ascii="微软雅黑" w:hAnsi="微软雅黑" w:eastAsia="微软雅黑" w:cs="微软雅黑"/>
          <w:color w:val="333333"/>
          <w:sz w:val="24"/>
        </w:rPr>
        <w:t>五种模型的表现差异比较明显，我们可以通过下表直观看到它们的性能对比：</w:t>
      </w:r>
    </w:p>
    <w:tbl>
      <w:tblPr>
        <w:tblStyle w:val="33"/>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60"/>
        <w:gridCol w:w="2160"/>
        <w:gridCol w:w="2160"/>
        <w:gridCol w:w="2160"/>
      </w:tblGrid>
      <w:tr w14:paraId="0CB1D7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shd w:val="clear" w:color="auto" w:fill="F5F5F5"/>
            <w:tcMar>
              <w:top w:w="18" w:type="dxa"/>
              <w:left w:w="78" w:type="dxa"/>
              <w:bottom w:w="18" w:type="dxa"/>
              <w:right w:w="78" w:type="dxa"/>
            </w:tcMar>
          </w:tcPr>
          <w:p w14:paraId="29DEB593">
            <w:pPr>
              <w:spacing w:line="256" w:lineRule="auto"/>
              <w:jc w:val="left"/>
            </w:pPr>
            <w:r>
              <w:rPr>
                <w:rFonts w:ascii="微软雅黑" w:hAnsi="微软雅黑" w:eastAsia="微软雅黑" w:cs="微软雅黑"/>
                <w:b/>
                <w:color w:val="333333"/>
                <w:sz w:val="22"/>
                <w:shd w:val="clear" w:color="auto" w:fill="F5F5F5"/>
              </w:rPr>
              <w:t>模型名称</w:t>
            </w:r>
          </w:p>
        </w:tc>
        <w:tc>
          <w:tcPr>
            <w:tcW w:w="2160" w:type="dxa"/>
            <w:tcBorders>
              <w:top w:val="single" w:color="DDDDDD" w:sz="6" w:space="0"/>
              <w:left w:val="single" w:color="DDDDDD" w:sz="6" w:space="0"/>
              <w:bottom w:val="single" w:color="DDDDDD" w:sz="6" w:space="0"/>
              <w:right w:val="single" w:color="DDDDDD" w:sz="6" w:space="0"/>
            </w:tcBorders>
            <w:shd w:val="clear" w:color="auto" w:fill="F5F5F5"/>
            <w:tcMar>
              <w:top w:w="18" w:type="dxa"/>
              <w:left w:w="78" w:type="dxa"/>
              <w:bottom w:w="18" w:type="dxa"/>
              <w:right w:w="78" w:type="dxa"/>
            </w:tcMar>
          </w:tcPr>
          <w:p w14:paraId="711B931C">
            <w:pPr>
              <w:spacing w:line="256" w:lineRule="auto"/>
              <w:jc w:val="left"/>
            </w:pPr>
            <w:r>
              <w:rPr>
                <w:rFonts w:ascii="微软雅黑" w:hAnsi="微软雅黑" w:eastAsia="微软雅黑" w:cs="微软雅黑"/>
                <w:b/>
                <w:color w:val="333333"/>
                <w:sz w:val="22"/>
                <w:shd w:val="clear" w:color="auto" w:fill="F5F5F5"/>
              </w:rPr>
              <w:t>训练集R²</w:t>
            </w:r>
          </w:p>
        </w:tc>
        <w:tc>
          <w:tcPr>
            <w:tcW w:w="2160" w:type="dxa"/>
            <w:tcBorders>
              <w:top w:val="single" w:color="DDDDDD" w:sz="6" w:space="0"/>
              <w:left w:val="single" w:color="DDDDDD" w:sz="6" w:space="0"/>
              <w:bottom w:val="single" w:color="DDDDDD" w:sz="6" w:space="0"/>
              <w:right w:val="single" w:color="DDDDDD" w:sz="6" w:space="0"/>
            </w:tcBorders>
            <w:shd w:val="clear" w:color="auto" w:fill="F5F5F5"/>
            <w:tcMar>
              <w:top w:w="18" w:type="dxa"/>
              <w:left w:w="78" w:type="dxa"/>
              <w:bottom w:w="18" w:type="dxa"/>
              <w:right w:w="78" w:type="dxa"/>
            </w:tcMar>
          </w:tcPr>
          <w:p w14:paraId="66A347B2">
            <w:pPr>
              <w:spacing w:line="256" w:lineRule="auto"/>
              <w:jc w:val="left"/>
            </w:pPr>
            <w:r>
              <w:rPr>
                <w:rFonts w:ascii="微软雅黑" w:hAnsi="微软雅黑" w:eastAsia="微软雅黑" w:cs="微软雅黑"/>
                <w:b/>
                <w:color w:val="333333"/>
                <w:sz w:val="22"/>
                <w:shd w:val="clear" w:color="auto" w:fill="F5F5F5"/>
              </w:rPr>
              <w:t>验证集R²</w:t>
            </w:r>
          </w:p>
        </w:tc>
        <w:tc>
          <w:tcPr>
            <w:tcW w:w="2160" w:type="dxa"/>
            <w:tcBorders>
              <w:top w:val="single" w:color="DDDDDD" w:sz="6" w:space="0"/>
              <w:left w:val="single" w:color="DDDDDD" w:sz="6" w:space="0"/>
              <w:bottom w:val="single" w:color="DDDDDD" w:sz="6" w:space="0"/>
              <w:right w:val="single" w:color="DDDDDD" w:sz="6" w:space="0"/>
            </w:tcBorders>
            <w:shd w:val="clear" w:color="auto" w:fill="F5F5F5"/>
            <w:tcMar>
              <w:top w:w="18" w:type="dxa"/>
              <w:left w:w="78" w:type="dxa"/>
              <w:bottom w:w="18" w:type="dxa"/>
              <w:right w:w="78" w:type="dxa"/>
            </w:tcMar>
          </w:tcPr>
          <w:p w14:paraId="4494E31F">
            <w:pPr>
              <w:spacing w:line="256" w:lineRule="auto"/>
              <w:jc w:val="left"/>
            </w:pPr>
            <w:r>
              <w:rPr>
                <w:rFonts w:ascii="微软雅黑" w:hAnsi="微软雅黑" w:eastAsia="微软雅黑" w:cs="微软雅黑"/>
                <w:b/>
                <w:color w:val="333333"/>
                <w:sz w:val="22"/>
                <w:shd w:val="clear" w:color="auto" w:fill="F5F5F5"/>
              </w:rPr>
              <w:t>验证集平均误差</w:t>
            </w:r>
          </w:p>
        </w:tc>
      </w:tr>
      <w:tr w14:paraId="1F5C3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5B2C4D44">
            <w:pPr>
              <w:spacing w:line="256" w:lineRule="auto"/>
              <w:jc w:val="left"/>
            </w:pPr>
            <w:r>
              <w:rPr>
                <w:rFonts w:ascii="微软雅黑" w:hAnsi="微软雅黑" w:eastAsia="微软雅黑" w:cs="微软雅黑"/>
                <w:color w:val="333333"/>
                <w:sz w:val="22"/>
              </w:rPr>
              <w:t>极端随机树(Extra Trees)</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0AAB4743">
            <w:pPr>
              <w:spacing w:line="256" w:lineRule="auto"/>
              <w:jc w:val="left"/>
            </w:pPr>
            <w:r>
              <w:rPr>
                <w:rFonts w:ascii="微软雅黑" w:hAnsi="微软雅黑" w:eastAsia="微软雅黑" w:cs="微软雅黑"/>
                <w:color w:val="333333"/>
                <w:sz w:val="22"/>
              </w:rPr>
              <w:t>99.82%</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3CF0EA4E">
            <w:pPr>
              <w:spacing w:line="256" w:lineRule="auto"/>
              <w:jc w:val="left"/>
            </w:pPr>
            <w:r>
              <w:rPr>
                <w:rFonts w:ascii="微软雅黑" w:hAnsi="微软雅黑" w:eastAsia="微软雅黑" w:cs="微软雅黑"/>
                <w:color w:val="333333"/>
                <w:sz w:val="22"/>
              </w:rPr>
              <w:t>80.15%</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747E6B0C">
            <w:pPr>
              <w:spacing w:line="256" w:lineRule="auto"/>
              <w:jc w:val="left"/>
            </w:pPr>
            <w:r>
              <w:rPr>
                <w:rFonts w:ascii="微软雅黑" w:hAnsi="微软雅黑" w:eastAsia="微软雅黑" w:cs="微软雅黑"/>
                <w:color w:val="333333"/>
                <w:sz w:val="22"/>
              </w:rPr>
              <w:t>$139,829</w:t>
            </w:r>
          </w:p>
        </w:tc>
      </w:tr>
      <w:tr w14:paraId="29794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484052E2">
            <w:pPr>
              <w:spacing w:line="256" w:lineRule="auto"/>
              <w:jc w:val="left"/>
            </w:pPr>
            <w:r>
              <w:rPr>
                <w:rFonts w:ascii="微软雅黑" w:hAnsi="微软雅黑" w:eastAsia="微软雅黑" w:cs="微软雅黑"/>
                <w:color w:val="333333"/>
                <w:sz w:val="22"/>
              </w:rPr>
              <w:t>随机森林(Random Forest)</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27297933">
            <w:pPr>
              <w:spacing w:line="256" w:lineRule="auto"/>
              <w:jc w:val="left"/>
            </w:pPr>
            <w:r>
              <w:rPr>
                <w:rFonts w:ascii="微软雅黑" w:hAnsi="微软雅黑" w:eastAsia="微软雅黑" w:cs="微软雅黑"/>
                <w:color w:val="333333"/>
                <w:sz w:val="22"/>
              </w:rPr>
              <w:t>97.00%</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0B9DBFCC">
            <w:pPr>
              <w:spacing w:line="256" w:lineRule="auto"/>
              <w:jc w:val="left"/>
            </w:pPr>
            <w:r>
              <w:rPr>
                <w:rFonts w:ascii="微软雅黑" w:hAnsi="微软雅黑" w:eastAsia="微软雅黑" w:cs="微软雅黑"/>
                <w:color w:val="333333"/>
                <w:sz w:val="22"/>
              </w:rPr>
              <w:t>78.66%</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6ACC95EB">
            <w:pPr>
              <w:spacing w:line="256" w:lineRule="auto"/>
              <w:jc w:val="left"/>
            </w:pPr>
            <w:r>
              <w:rPr>
                <w:rFonts w:ascii="微软雅黑" w:hAnsi="微软雅黑" w:eastAsia="微软雅黑" w:cs="微软雅黑"/>
                <w:color w:val="333333"/>
                <w:sz w:val="22"/>
              </w:rPr>
              <w:t>$146,828</w:t>
            </w:r>
          </w:p>
        </w:tc>
      </w:tr>
      <w:tr w14:paraId="5F70D7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6858A517">
            <w:pPr>
              <w:spacing w:line="256" w:lineRule="auto"/>
              <w:jc w:val="left"/>
            </w:pPr>
            <w:r>
              <w:rPr>
                <w:rFonts w:ascii="微软雅黑" w:hAnsi="微软雅黑" w:eastAsia="微软雅黑" w:cs="微软雅黑"/>
                <w:color w:val="333333"/>
                <w:sz w:val="22"/>
              </w:rPr>
              <w:t>LightGBM</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3B067BCA">
            <w:pPr>
              <w:spacing w:line="256" w:lineRule="auto"/>
              <w:jc w:val="left"/>
            </w:pPr>
            <w:r>
              <w:rPr>
                <w:rFonts w:ascii="微软雅黑" w:hAnsi="微软雅黑" w:eastAsia="微软雅黑" w:cs="微软雅黑"/>
                <w:color w:val="333333"/>
                <w:sz w:val="22"/>
              </w:rPr>
              <w:t>93.51%</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2D26C35A">
            <w:pPr>
              <w:spacing w:line="256" w:lineRule="auto"/>
              <w:jc w:val="left"/>
            </w:pPr>
            <w:r>
              <w:rPr>
                <w:rFonts w:ascii="微软雅黑" w:hAnsi="微软雅黑" w:eastAsia="微软雅黑" w:cs="微软雅黑"/>
                <w:color w:val="333333"/>
                <w:sz w:val="22"/>
              </w:rPr>
              <w:t>78.36%</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7C0D7DAB">
            <w:pPr>
              <w:spacing w:line="256" w:lineRule="auto"/>
              <w:jc w:val="left"/>
            </w:pPr>
            <w:r>
              <w:rPr>
                <w:rFonts w:ascii="微软雅黑" w:hAnsi="微软雅黑" w:eastAsia="微软雅黑" w:cs="微软雅黑"/>
                <w:color w:val="333333"/>
                <w:sz w:val="22"/>
              </w:rPr>
              <w:t>$165,869</w:t>
            </w:r>
          </w:p>
        </w:tc>
      </w:tr>
      <w:tr w14:paraId="3225D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4EB513B8">
            <w:pPr>
              <w:spacing w:line="256" w:lineRule="auto"/>
              <w:jc w:val="left"/>
            </w:pPr>
            <w:r>
              <w:rPr>
                <w:rFonts w:ascii="微软雅黑" w:hAnsi="微软雅黑" w:eastAsia="微软雅黑" w:cs="微软雅黑"/>
                <w:color w:val="333333"/>
                <w:sz w:val="22"/>
              </w:rPr>
              <w:t>梯度提升(Gradient Boosting)</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3B771F5A">
            <w:pPr>
              <w:spacing w:line="256" w:lineRule="auto"/>
              <w:jc w:val="left"/>
            </w:pPr>
            <w:r>
              <w:rPr>
                <w:rFonts w:ascii="微软雅黑" w:hAnsi="微软雅黑" w:eastAsia="微软雅黑" w:cs="微软雅黑"/>
                <w:color w:val="333333"/>
                <w:sz w:val="22"/>
              </w:rPr>
              <w:t>98.23%</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5D29CEFD">
            <w:pPr>
              <w:spacing w:line="256" w:lineRule="auto"/>
              <w:jc w:val="left"/>
            </w:pPr>
            <w:r>
              <w:rPr>
                <w:rFonts w:ascii="微软雅黑" w:hAnsi="微软雅黑" w:eastAsia="微软雅黑" w:cs="微软雅黑"/>
                <w:color w:val="333333"/>
                <w:sz w:val="22"/>
              </w:rPr>
              <w:t>78.20%</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0F2F7875">
            <w:pPr>
              <w:spacing w:line="256" w:lineRule="auto"/>
              <w:jc w:val="left"/>
            </w:pPr>
            <w:r>
              <w:rPr>
                <w:rFonts w:ascii="微软雅黑" w:hAnsi="微软雅黑" w:eastAsia="微软雅黑" w:cs="微软雅黑"/>
                <w:color w:val="333333"/>
                <w:sz w:val="22"/>
              </w:rPr>
              <w:t>$148,137</w:t>
            </w:r>
          </w:p>
        </w:tc>
      </w:tr>
      <w:tr w14:paraId="34AD9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73124030">
            <w:pPr>
              <w:spacing w:line="256" w:lineRule="auto"/>
              <w:jc w:val="left"/>
            </w:pPr>
            <w:r>
              <w:rPr>
                <w:rFonts w:ascii="微软雅黑" w:hAnsi="微软雅黑" w:eastAsia="微软雅黑" w:cs="微软雅黑"/>
                <w:color w:val="333333"/>
                <w:sz w:val="22"/>
              </w:rPr>
              <w:t>XGBoost</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6BF8C8E4">
            <w:pPr>
              <w:spacing w:line="256" w:lineRule="auto"/>
              <w:jc w:val="left"/>
            </w:pPr>
            <w:r>
              <w:rPr>
                <w:rFonts w:ascii="微软雅黑" w:hAnsi="微软雅黑" w:eastAsia="微软雅黑" w:cs="微软雅黑"/>
                <w:color w:val="333333"/>
                <w:sz w:val="22"/>
              </w:rPr>
              <w:t>98.60%</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59C2E60C">
            <w:pPr>
              <w:spacing w:line="256" w:lineRule="auto"/>
              <w:jc w:val="left"/>
            </w:pPr>
            <w:r>
              <w:rPr>
                <w:rFonts w:ascii="微软雅黑" w:hAnsi="微软雅黑" w:eastAsia="微软雅黑" w:cs="微软雅黑"/>
                <w:color w:val="333333"/>
                <w:sz w:val="22"/>
              </w:rPr>
              <w:t>63.66%</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7501C325">
            <w:pPr>
              <w:spacing w:line="256" w:lineRule="auto"/>
              <w:jc w:val="left"/>
            </w:pPr>
            <w:r>
              <w:rPr>
                <w:rFonts w:ascii="微软雅黑" w:hAnsi="微软雅黑" w:eastAsia="微软雅黑" w:cs="微软雅黑"/>
                <w:color w:val="333333"/>
                <w:sz w:val="22"/>
              </w:rPr>
              <w:t>$154,678</w:t>
            </w:r>
          </w:p>
        </w:tc>
      </w:tr>
    </w:tbl>
    <w:p w14:paraId="7FFA91AA">
      <w:pPr>
        <w:spacing w:after="120" w:line="256" w:lineRule="auto"/>
        <w:ind w:firstLine="480"/>
      </w:pPr>
      <w:r>
        <w:rPr>
          <w:rFonts w:ascii="微软雅黑" w:hAnsi="微软雅黑" w:eastAsia="微软雅黑" w:cs="微软雅黑"/>
          <w:color w:val="333333"/>
          <w:sz w:val="24"/>
        </w:rPr>
        <w:t>可以看到，极端随机树模型在验证集上的表现最好，R²达到80.15%，平均误差也最低，说明它的泛化能力最强，最适合用来预测房价。值得注意的是，所有模型在训练集上的表现都很好，但在验证集上表现有明显差距，这说明有些模型出现了"死记硬背"训练数据的情况，也就是我们常说的过拟合，而极端随机树在这方面表现得最好。</w:t>
      </w:r>
    </w:p>
    <w:p w14:paraId="5D462296">
      <w:pPr>
        <w:spacing w:after="120" w:line="256" w:lineRule="auto"/>
        <w:ind w:firstLine="480"/>
      </w:pPr>
      <w:r>
        <w:rPr>
          <w:rFonts w:ascii="微软雅黑" w:hAnsi="微软雅黑" w:eastAsia="微软雅黑" w:cs="微软雅黑"/>
          <w:b/>
          <w:color w:val="333333"/>
          <w:sz w:val="24"/>
        </w:rPr>
        <w:t>影响房价的关键因素</w:t>
      </w:r>
    </w:p>
    <w:p w14:paraId="61B97055">
      <w:pPr>
        <w:spacing w:after="120" w:line="256" w:lineRule="auto"/>
        <w:ind w:firstLine="480"/>
      </w:pPr>
      <w:r>
        <w:rPr>
          <w:rFonts w:ascii="微软雅黑" w:hAnsi="微软雅黑" w:eastAsia="微软雅黑" w:cs="微软雅黑"/>
          <w:color w:val="333333"/>
          <w:sz w:val="24"/>
        </w:rPr>
        <w:t>通过分析模型的特征重要性，我们找到了影响房价的十大核心因素，这些因素基本符合我们对房地产市场的常识认知：</w:t>
      </w:r>
    </w:p>
    <w:tbl>
      <w:tblPr>
        <w:tblStyle w:val="33"/>
        <w:tblW w:w="86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60"/>
        <w:gridCol w:w="2160"/>
        <w:gridCol w:w="2160"/>
        <w:gridCol w:w="2160"/>
      </w:tblGrid>
      <w:tr w14:paraId="7FAEBC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shd w:val="clear" w:color="auto" w:fill="F5F5F5"/>
            <w:tcMar>
              <w:top w:w="18" w:type="dxa"/>
              <w:left w:w="78" w:type="dxa"/>
              <w:bottom w:w="18" w:type="dxa"/>
              <w:right w:w="78" w:type="dxa"/>
            </w:tcMar>
          </w:tcPr>
          <w:p w14:paraId="26B09366">
            <w:pPr>
              <w:spacing w:line="256" w:lineRule="auto"/>
              <w:jc w:val="left"/>
            </w:pPr>
            <w:r>
              <w:rPr>
                <w:rFonts w:ascii="微软雅黑" w:hAnsi="微软雅黑" w:eastAsia="微软雅黑" w:cs="微软雅黑"/>
                <w:b/>
                <w:color w:val="333333"/>
                <w:sz w:val="22"/>
                <w:shd w:val="clear" w:color="auto" w:fill="F5F5F5"/>
              </w:rPr>
              <w:t>排名</w:t>
            </w:r>
          </w:p>
        </w:tc>
        <w:tc>
          <w:tcPr>
            <w:tcW w:w="2160" w:type="dxa"/>
            <w:tcBorders>
              <w:top w:val="single" w:color="DDDDDD" w:sz="6" w:space="0"/>
              <w:left w:val="single" w:color="DDDDDD" w:sz="6" w:space="0"/>
              <w:bottom w:val="single" w:color="DDDDDD" w:sz="6" w:space="0"/>
              <w:right w:val="single" w:color="DDDDDD" w:sz="6" w:space="0"/>
            </w:tcBorders>
            <w:shd w:val="clear" w:color="auto" w:fill="F5F5F5"/>
            <w:tcMar>
              <w:top w:w="18" w:type="dxa"/>
              <w:left w:w="78" w:type="dxa"/>
              <w:bottom w:w="18" w:type="dxa"/>
              <w:right w:w="78" w:type="dxa"/>
            </w:tcMar>
          </w:tcPr>
          <w:p w14:paraId="60BDC74A">
            <w:pPr>
              <w:spacing w:line="256" w:lineRule="auto"/>
              <w:jc w:val="left"/>
            </w:pPr>
            <w:r>
              <w:rPr>
                <w:rFonts w:ascii="微软雅黑" w:hAnsi="微软雅黑" w:eastAsia="微软雅黑" w:cs="微软雅黑"/>
                <w:b/>
                <w:color w:val="333333"/>
                <w:sz w:val="22"/>
                <w:shd w:val="clear" w:color="auto" w:fill="F5F5F5"/>
              </w:rPr>
              <w:t>特征名称</w:t>
            </w:r>
          </w:p>
        </w:tc>
        <w:tc>
          <w:tcPr>
            <w:tcW w:w="2160" w:type="dxa"/>
            <w:tcBorders>
              <w:top w:val="single" w:color="DDDDDD" w:sz="6" w:space="0"/>
              <w:left w:val="single" w:color="DDDDDD" w:sz="6" w:space="0"/>
              <w:bottom w:val="single" w:color="DDDDDD" w:sz="6" w:space="0"/>
              <w:right w:val="single" w:color="DDDDDD" w:sz="6" w:space="0"/>
            </w:tcBorders>
            <w:shd w:val="clear" w:color="auto" w:fill="F5F5F5"/>
            <w:tcMar>
              <w:top w:w="18" w:type="dxa"/>
              <w:left w:w="78" w:type="dxa"/>
              <w:bottom w:w="18" w:type="dxa"/>
              <w:right w:w="78" w:type="dxa"/>
            </w:tcMar>
          </w:tcPr>
          <w:p w14:paraId="1109B16D">
            <w:pPr>
              <w:spacing w:line="256" w:lineRule="auto"/>
              <w:jc w:val="left"/>
            </w:pPr>
            <w:r>
              <w:rPr>
                <w:rFonts w:ascii="微软雅黑" w:hAnsi="微软雅黑" w:eastAsia="微软雅黑" w:cs="微软雅黑"/>
                <w:b/>
                <w:color w:val="333333"/>
                <w:sz w:val="22"/>
                <w:shd w:val="clear" w:color="auto" w:fill="F5F5F5"/>
              </w:rPr>
              <w:t>重要性占比</w:t>
            </w:r>
          </w:p>
        </w:tc>
        <w:tc>
          <w:tcPr>
            <w:tcW w:w="2160" w:type="dxa"/>
            <w:tcBorders>
              <w:top w:val="single" w:color="DDDDDD" w:sz="6" w:space="0"/>
              <w:left w:val="single" w:color="DDDDDD" w:sz="6" w:space="0"/>
              <w:bottom w:val="single" w:color="DDDDDD" w:sz="6" w:space="0"/>
              <w:right w:val="single" w:color="DDDDDD" w:sz="6" w:space="0"/>
            </w:tcBorders>
            <w:shd w:val="clear" w:color="auto" w:fill="F5F5F5"/>
            <w:tcMar>
              <w:top w:w="18" w:type="dxa"/>
              <w:left w:w="78" w:type="dxa"/>
              <w:bottom w:w="18" w:type="dxa"/>
              <w:right w:w="78" w:type="dxa"/>
            </w:tcMar>
          </w:tcPr>
          <w:p w14:paraId="378FBD05">
            <w:pPr>
              <w:spacing w:line="256" w:lineRule="auto"/>
              <w:jc w:val="left"/>
            </w:pPr>
            <w:r>
              <w:rPr>
                <w:rFonts w:ascii="微软雅黑" w:hAnsi="微软雅黑" w:eastAsia="微软雅黑" w:cs="微软雅黑"/>
                <w:b/>
                <w:color w:val="333333"/>
                <w:sz w:val="22"/>
                <w:shd w:val="clear" w:color="auto" w:fill="F5F5F5"/>
              </w:rPr>
              <w:t>说明</w:t>
            </w:r>
          </w:p>
        </w:tc>
      </w:tr>
      <w:tr w14:paraId="748E6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21734FF5">
            <w:pPr>
              <w:spacing w:line="256" w:lineRule="auto"/>
              <w:jc w:val="left"/>
            </w:pPr>
            <w:r>
              <w:rPr>
                <w:rFonts w:ascii="微软雅黑" w:hAnsi="微软雅黑" w:eastAsia="微软雅黑" w:cs="微软雅黑"/>
                <w:color w:val="333333"/>
                <w:sz w:val="22"/>
              </w:rPr>
              <w:t>1</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360FD0FB">
            <w:pPr>
              <w:spacing w:line="256" w:lineRule="auto"/>
              <w:jc w:val="left"/>
            </w:pPr>
            <w:r>
              <w:rPr>
                <w:rFonts w:ascii="微软雅黑" w:hAnsi="微软雅黑" w:eastAsia="微软雅黑" w:cs="微软雅黑"/>
                <w:color w:val="333333"/>
                <w:sz w:val="22"/>
              </w:rPr>
              <w:t>挂牌价</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1E17B777">
            <w:pPr>
              <w:spacing w:line="256" w:lineRule="auto"/>
              <w:jc w:val="left"/>
            </w:pPr>
            <w:r>
              <w:rPr>
                <w:rFonts w:ascii="微软雅黑" w:hAnsi="微软雅黑" w:eastAsia="微软雅黑" w:cs="微软雅黑"/>
                <w:color w:val="333333"/>
                <w:sz w:val="22"/>
              </w:rPr>
              <w:t>27.19%</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35A2DA49">
            <w:pPr>
              <w:spacing w:line="256" w:lineRule="auto"/>
              <w:jc w:val="left"/>
            </w:pPr>
            <w:r>
              <w:rPr>
                <w:rFonts w:ascii="微软雅黑" w:hAnsi="微软雅黑" w:eastAsia="微软雅黑" w:cs="微软雅黑"/>
                <w:color w:val="333333"/>
                <w:sz w:val="22"/>
              </w:rPr>
              <w:t>卖家最初的报价是最重要的参考</w:t>
            </w:r>
          </w:p>
        </w:tc>
      </w:tr>
      <w:tr w14:paraId="78654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5989B7D6">
            <w:pPr>
              <w:spacing w:line="256" w:lineRule="auto"/>
              <w:jc w:val="left"/>
            </w:pPr>
            <w:r>
              <w:rPr>
                <w:rFonts w:ascii="微软雅黑" w:hAnsi="微软雅黑" w:eastAsia="微软雅黑" w:cs="微软雅黑"/>
                <w:color w:val="333333"/>
                <w:sz w:val="22"/>
              </w:rPr>
              <w:t>2</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13FBC672">
            <w:pPr>
              <w:spacing w:line="256" w:lineRule="auto"/>
              <w:jc w:val="left"/>
            </w:pPr>
            <w:r>
              <w:rPr>
                <w:rFonts w:ascii="微软雅黑" w:hAnsi="微软雅黑" w:eastAsia="微软雅黑" w:cs="微软雅黑"/>
                <w:color w:val="333333"/>
                <w:sz w:val="22"/>
              </w:rPr>
              <w:t>房产评估值</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61571E35">
            <w:pPr>
              <w:spacing w:line="256" w:lineRule="auto"/>
              <w:jc w:val="left"/>
            </w:pPr>
            <w:r>
              <w:rPr>
                <w:rFonts w:ascii="微软雅黑" w:hAnsi="微软雅黑" w:eastAsia="微软雅黑" w:cs="微软雅黑"/>
                <w:color w:val="333333"/>
                <w:sz w:val="22"/>
              </w:rPr>
              <w:t>16.32%</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33CE6E7D">
            <w:pPr>
              <w:spacing w:line="256" w:lineRule="auto"/>
              <w:jc w:val="left"/>
            </w:pPr>
            <w:r>
              <w:rPr>
                <w:rFonts w:ascii="微软雅黑" w:hAnsi="微软雅黑" w:eastAsia="微软雅黑" w:cs="微软雅黑"/>
                <w:color w:val="333333"/>
                <w:sz w:val="22"/>
              </w:rPr>
              <w:t>专业机构对房屋价值的评估</w:t>
            </w:r>
          </w:p>
        </w:tc>
      </w:tr>
      <w:tr w14:paraId="1C92FF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017CA8F4">
            <w:pPr>
              <w:spacing w:line="256" w:lineRule="auto"/>
              <w:jc w:val="left"/>
            </w:pPr>
            <w:r>
              <w:rPr>
                <w:rFonts w:ascii="微软雅黑" w:hAnsi="微软雅黑" w:eastAsia="微软雅黑" w:cs="微软雅黑"/>
                <w:color w:val="333333"/>
                <w:sz w:val="22"/>
              </w:rPr>
              <w:t>3</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0400468F">
            <w:pPr>
              <w:spacing w:line="256" w:lineRule="auto"/>
              <w:jc w:val="left"/>
            </w:pPr>
            <w:r>
              <w:rPr>
                <w:rFonts w:ascii="微软雅黑" w:hAnsi="微软雅黑" w:eastAsia="微软雅黑" w:cs="微软雅黑"/>
                <w:color w:val="333333"/>
                <w:sz w:val="22"/>
              </w:rPr>
              <w:t>年度税费</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7BA6BFF9">
            <w:pPr>
              <w:spacing w:line="256" w:lineRule="auto"/>
              <w:jc w:val="left"/>
            </w:pPr>
            <w:r>
              <w:rPr>
                <w:rFonts w:ascii="微软雅黑" w:hAnsi="微软雅黑" w:eastAsia="微软雅黑" w:cs="微软雅黑"/>
                <w:color w:val="333333"/>
                <w:sz w:val="22"/>
              </w:rPr>
              <w:t>16.10%</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107BC021">
            <w:pPr>
              <w:spacing w:line="256" w:lineRule="auto"/>
              <w:jc w:val="left"/>
            </w:pPr>
            <w:r>
              <w:rPr>
                <w:rFonts w:ascii="微软雅黑" w:hAnsi="微软雅黑" w:eastAsia="微软雅黑" w:cs="微软雅黑"/>
                <w:color w:val="333333"/>
                <w:sz w:val="22"/>
              </w:rPr>
              <w:t>每年需要缴纳的税费，反映房屋价值</w:t>
            </w:r>
          </w:p>
        </w:tc>
      </w:tr>
      <w:tr w14:paraId="2D33B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7B68E08D">
            <w:pPr>
              <w:spacing w:line="256" w:lineRule="auto"/>
              <w:jc w:val="left"/>
            </w:pPr>
            <w:r>
              <w:rPr>
                <w:rFonts w:ascii="微软雅黑" w:hAnsi="微软雅黑" w:eastAsia="微软雅黑" w:cs="微软雅黑"/>
                <w:color w:val="333333"/>
                <w:sz w:val="22"/>
              </w:rPr>
              <w:t>4</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02C86C95">
            <w:pPr>
              <w:spacing w:line="256" w:lineRule="auto"/>
              <w:jc w:val="left"/>
            </w:pPr>
            <w:r>
              <w:rPr>
                <w:rFonts w:ascii="微软雅黑" w:hAnsi="微软雅黑" w:eastAsia="微软雅黑" w:cs="微软雅黑"/>
                <w:color w:val="333333"/>
                <w:sz w:val="22"/>
              </w:rPr>
              <w:t>价格差异</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06F32FA6">
            <w:pPr>
              <w:spacing w:line="256" w:lineRule="auto"/>
              <w:jc w:val="left"/>
            </w:pPr>
            <w:r>
              <w:rPr>
                <w:rFonts w:ascii="微软雅黑" w:hAnsi="微软雅黑" w:eastAsia="微软雅黑" w:cs="微软雅黑"/>
                <w:color w:val="333333"/>
                <w:sz w:val="22"/>
              </w:rPr>
              <w:t>8.93%</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5AE0EC69">
            <w:pPr>
              <w:spacing w:line="256" w:lineRule="auto"/>
              <w:jc w:val="left"/>
            </w:pPr>
            <w:r>
              <w:rPr>
                <w:rFonts w:ascii="微软雅黑" w:hAnsi="微软雅黑" w:eastAsia="微软雅黑" w:cs="微软雅黑"/>
                <w:color w:val="333333"/>
                <w:sz w:val="22"/>
              </w:rPr>
              <w:t>当前挂牌价与上次售价的差值</w:t>
            </w:r>
          </w:p>
        </w:tc>
      </w:tr>
      <w:tr w14:paraId="331B8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041E5495">
            <w:pPr>
              <w:spacing w:line="256" w:lineRule="auto"/>
              <w:jc w:val="left"/>
            </w:pPr>
            <w:r>
              <w:rPr>
                <w:rFonts w:ascii="微软雅黑" w:hAnsi="微软雅黑" w:eastAsia="微软雅黑" w:cs="微软雅黑"/>
                <w:color w:val="333333"/>
                <w:sz w:val="22"/>
              </w:rPr>
              <w:t>5</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59BFB9AE">
            <w:pPr>
              <w:spacing w:line="256" w:lineRule="auto"/>
              <w:jc w:val="left"/>
            </w:pPr>
            <w:r>
              <w:rPr>
                <w:rFonts w:ascii="微软雅黑" w:hAnsi="微软雅黑" w:eastAsia="微软雅黑" w:cs="微软雅黑"/>
                <w:color w:val="333333"/>
                <w:sz w:val="22"/>
              </w:rPr>
              <w:t>浴室数量</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0512F9A8">
            <w:pPr>
              <w:spacing w:line="256" w:lineRule="auto"/>
              <w:jc w:val="left"/>
            </w:pPr>
            <w:r>
              <w:rPr>
                <w:rFonts w:ascii="微软雅黑" w:hAnsi="微软雅黑" w:eastAsia="微软雅黑" w:cs="微软雅黑"/>
                <w:color w:val="333333"/>
                <w:sz w:val="22"/>
              </w:rPr>
              <w:t>4.65%</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2AC7383C">
            <w:pPr>
              <w:spacing w:line="256" w:lineRule="auto"/>
              <w:jc w:val="left"/>
            </w:pPr>
            <w:r>
              <w:rPr>
                <w:rFonts w:ascii="微软雅黑" w:hAnsi="微软雅黑" w:eastAsia="微软雅黑" w:cs="微软雅黑"/>
                <w:color w:val="333333"/>
                <w:sz w:val="22"/>
              </w:rPr>
              <w:t>房屋内浴室的总数量</w:t>
            </w:r>
          </w:p>
        </w:tc>
      </w:tr>
      <w:tr w14:paraId="04DCD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2CD4B186">
            <w:pPr>
              <w:spacing w:line="256" w:lineRule="auto"/>
              <w:jc w:val="left"/>
            </w:pPr>
            <w:r>
              <w:rPr>
                <w:rFonts w:ascii="微软雅黑" w:hAnsi="微软雅黑" w:eastAsia="微软雅黑" w:cs="微软雅黑"/>
                <w:color w:val="333333"/>
                <w:sz w:val="22"/>
              </w:rPr>
              <w:t>6</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266B393A">
            <w:pPr>
              <w:spacing w:line="256" w:lineRule="auto"/>
              <w:jc w:val="left"/>
            </w:pPr>
            <w:r>
              <w:rPr>
                <w:rFonts w:ascii="微软雅黑" w:hAnsi="微软雅黑" w:eastAsia="微软雅黑" w:cs="微软雅黑"/>
                <w:color w:val="333333"/>
                <w:sz w:val="22"/>
              </w:rPr>
              <w:t>全浴室数量</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5FB7FBF2">
            <w:pPr>
              <w:spacing w:line="256" w:lineRule="auto"/>
              <w:jc w:val="left"/>
            </w:pPr>
            <w:r>
              <w:rPr>
                <w:rFonts w:ascii="微软雅黑" w:hAnsi="微软雅黑" w:eastAsia="微软雅黑" w:cs="微软雅黑"/>
                <w:color w:val="333333"/>
                <w:sz w:val="22"/>
              </w:rPr>
              <w:t>4.46%</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6BDC0F53">
            <w:pPr>
              <w:spacing w:line="256" w:lineRule="auto"/>
              <w:jc w:val="left"/>
            </w:pPr>
            <w:r>
              <w:rPr>
                <w:rFonts w:ascii="微软雅黑" w:hAnsi="微软雅黑" w:eastAsia="微软雅黑" w:cs="微软雅黑"/>
                <w:color w:val="333333"/>
                <w:sz w:val="22"/>
              </w:rPr>
              <w:t>带淋浴功能的完整浴室数量</w:t>
            </w:r>
          </w:p>
        </w:tc>
      </w:tr>
      <w:tr w14:paraId="4BC6B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605906A5">
            <w:pPr>
              <w:spacing w:line="256" w:lineRule="auto"/>
              <w:jc w:val="left"/>
            </w:pPr>
            <w:r>
              <w:rPr>
                <w:rFonts w:ascii="微软雅黑" w:hAnsi="微软雅黑" w:eastAsia="微软雅黑" w:cs="微软雅黑"/>
                <w:color w:val="333333"/>
                <w:sz w:val="22"/>
              </w:rPr>
              <w:t>7</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0A70F9F8">
            <w:pPr>
              <w:spacing w:line="256" w:lineRule="auto"/>
              <w:jc w:val="left"/>
            </w:pPr>
            <w:r>
              <w:rPr>
                <w:rFonts w:ascii="微软雅黑" w:hAnsi="微软雅黑" w:eastAsia="微软雅黑" w:cs="微软雅黑"/>
                <w:color w:val="333333"/>
                <w:sz w:val="22"/>
              </w:rPr>
              <w:t>室内面积</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41F81632">
            <w:pPr>
              <w:spacing w:line="256" w:lineRule="auto"/>
              <w:jc w:val="left"/>
            </w:pPr>
            <w:r>
              <w:rPr>
                <w:rFonts w:ascii="微软雅黑" w:hAnsi="微软雅黑" w:eastAsia="微软雅黑" w:cs="微软雅黑"/>
                <w:color w:val="333333"/>
                <w:sz w:val="22"/>
              </w:rPr>
              <w:t>2.61%</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12AF4412">
            <w:pPr>
              <w:spacing w:line="256" w:lineRule="auto"/>
              <w:jc w:val="left"/>
            </w:pPr>
            <w:r>
              <w:rPr>
                <w:rFonts w:ascii="微软雅黑" w:hAnsi="微软雅黑" w:eastAsia="微软雅黑" w:cs="微软雅黑"/>
                <w:color w:val="333333"/>
                <w:sz w:val="22"/>
              </w:rPr>
              <w:t>房屋内部可居住的总面积</w:t>
            </w:r>
          </w:p>
        </w:tc>
      </w:tr>
      <w:tr w14:paraId="02B782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40DEC72F">
            <w:pPr>
              <w:spacing w:line="256" w:lineRule="auto"/>
              <w:jc w:val="left"/>
            </w:pPr>
            <w:r>
              <w:rPr>
                <w:rFonts w:ascii="微软雅黑" w:hAnsi="微软雅黑" w:eastAsia="微软雅黑" w:cs="微软雅黑"/>
                <w:color w:val="333333"/>
                <w:sz w:val="22"/>
              </w:rPr>
              <w:t>8</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78D2ECA9">
            <w:pPr>
              <w:spacing w:line="256" w:lineRule="auto"/>
              <w:jc w:val="left"/>
            </w:pPr>
            <w:r>
              <w:rPr>
                <w:rFonts w:ascii="微软雅黑" w:hAnsi="微软雅黑" w:eastAsia="微软雅黑" w:cs="微软雅黑"/>
                <w:color w:val="333333"/>
                <w:sz w:val="22"/>
              </w:rPr>
              <w:t>上次售价</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6FF792AF">
            <w:pPr>
              <w:spacing w:line="256" w:lineRule="auto"/>
              <w:jc w:val="left"/>
            </w:pPr>
            <w:r>
              <w:rPr>
                <w:rFonts w:ascii="微软雅黑" w:hAnsi="微软雅黑" w:eastAsia="微软雅黑" w:cs="微软雅黑"/>
                <w:color w:val="333333"/>
                <w:sz w:val="22"/>
              </w:rPr>
              <w:t>2.48%</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3BC98AFF">
            <w:pPr>
              <w:spacing w:line="256" w:lineRule="auto"/>
              <w:jc w:val="left"/>
            </w:pPr>
            <w:r>
              <w:rPr>
                <w:rFonts w:ascii="微软雅黑" w:hAnsi="微软雅黑" w:eastAsia="微软雅黑" w:cs="微软雅黑"/>
                <w:color w:val="333333"/>
                <w:sz w:val="22"/>
              </w:rPr>
              <w:t>房屋上一次交易的价格</w:t>
            </w:r>
          </w:p>
        </w:tc>
      </w:tr>
      <w:tr w14:paraId="3420E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521A362B">
            <w:pPr>
              <w:spacing w:line="256" w:lineRule="auto"/>
              <w:jc w:val="left"/>
            </w:pPr>
            <w:r>
              <w:rPr>
                <w:rFonts w:ascii="微软雅黑" w:hAnsi="微软雅黑" w:eastAsia="微软雅黑" w:cs="微软雅黑"/>
                <w:color w:val="333333"/>
                <w:sz w:val="22"/>
              </w:rPr>
              <w:t>9</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7D46E361">
            <w:pPr>
              <w:spacing w:line="256" w:lineRule="auto"/>
              <w:jc w:val="left"/>
            </w:pPr>
            <w:r>
              <w:rPr>
                <w:rFonts w:ascii="微软雅黑" w:hAnsi="微软雅黑" w:eastAsia="微软雅黑" w:cs="微软雅黑"/>
                <w:color w:val="333333"/>
                <w:sz w:val="22"/>
              </w:rPr>
              <w:t>小学评分</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45A3DBAE">
            <w:pPr>
              <w:spacing w:line="256" w:lineRule="auto"/>
              <w:jc w:val="left"/>
            </w:pPr>
            <w:r>
              <w:rPr>
                <w:rFonts w:ascii="微软雅黑" w:hAnsi="微软雅黑" w:eastAsia="微软雅黑" w:cs="微软雅黑"/>
                <w:color w:val="333333"/>
                <w:sz w:val="22"/>
              </w:rPr>
              <w:t>1.24%</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6E053A0F">
            <w:pPr>
              <w:spacing w:line="256" w:lineRule="auto"/>
              <w:jc w:val="left"/>
            </w:pPr>
            <w:r>
              <w:rPr>
                <w:rFonts w:ascii="微软雅黑" w:hAnsi="微软雅黑" w:eastAsia="微软雅黑" w:cs="微软雅黑"/>
                <w:color w:val="333333"/>
                <w:sz w:val="22"/>
              </w:rPr>
              <w:t>周边小学的教学质量评分</w:t>
            </w:r>
          </w:p>
        </w:tc>
      </w:tr>
      <w:tr w14:paraId="13DA53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72E4A7A7">
            <w:pPr>
              <w:spacing w:line="256" w:lineRule="auto"/>
              <w:jc w:val="left"/>
            </w:pPr>
            <w:r>
              <w:rPr>
                <w:rFonts w:ascii="微软雅黑" w:hAnsi="微软雅黑" w:eastAsia="微软雅黑" w:cs="微软雅黑"/>
                <w:color w:val="333333"/>
                <w:sz w:val="22"/>
              </w:rPr>
              <w:t>10</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55235CA1">
            <w:pPr>
              <w:spacing w:line="256" w:lineRule="auto"/>
              <w:jc w:val="left"/>
            </w:pPr>
            <w:r>
              <w:rPr>
                <w:rFonts w:ascii="微软雅黑" w:hAnsi="微软雅黑" w:eastAsia="微软雅黑" w:cs="微软雅黑"/>
                <w:color w:val="333333"/>
                <w:sz w:val="22"/>
              </w:rPr>
              <w:t>卧室浴室比</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1F7C9D97">
            <w:pPr>
              <w:spacing w:line="256" w:lineRule="auto"/>
              <w:jc w:val="left"/>
            </w:pPr>
            <w:r>
              <w:rPr>
                <w:rFonts w:ascii="微软雅黑" w:hAnsi="微软雅黑" w:eastAsia="微软雅黑" w:cs="微软雅黑"/>
                <w:color w:val="333333"/>
                <w:sz w:val="22"/>
              </w:rPr>
              <w:t>1.20%</w:t>
            </w:r>
          </w:p>
        </w:tc>
        <w:tc>
          <w:tcPr>
            <w:tcW w:w="2160" w:type="dxa"/>
            <w:tcBorders>
              <w:top w:val="single" w:color="DDDDDD" w:sz="6" w:space="0"/>
              <w:left w:val="single" w:color="DDDDDD" w:sz="6" w:space="0"/>
              <w:bottom w:val="single" w:color="DDDDDD" w:sz="6" w:space="0"/>
              <w:right w:val="single" w:color="DDDDDD" w:sz="6" w:space="0"/>
            </w:tcBorders>
            <w:tcMar>
              <w:top w:w="18" w:type="dxa"/>
              <w:left w:w="78" w:type="dxa"/>
              <w:bottom w:w="18" w:type="dxa"/>
              <w:right w:w="78" w:type="dxa"/>
            </w:tcMar>
          </w:tcPr>
          <w:p w14:paraId="04A1FBD3">
            <w:pPr>
              <w:spacing w:line="256" w:lineRule="auto"/>
              <w:jc w:val="left"/>
            </w:pPr>
            <w:r>
              <w:rPr>
                <w:rFonts w:ascii="微软雅黑" w:hAnsi="微软雅黑" w:eastAsia="微软雅黑" w:cs="微软雅黑"/>
                <w:color w:val="333333"/>
                <w:sz w:val="22"/>
              </w:rPr>
              <w:t>卧室数量与浴室数量的比例</w:t>
            </w:r>
          </w:p>
        </w:tc>
      </w:tr>
    </w:tbl>
    <w:p w14:paraId="12DA4455">
      <w:pPr>
        <w:spacing w:after="120" w:line="256" w:lineRule="auto"/>
        <w:ind w:firstLine="480"/>
      </w:pPr>
      <w:r>
        <w:rPr>
          <w:rFonts w:ascii="微软雅黑" w:hAnsi="微软雅黑" w:eastAsia="微软雅黑" w:cs="微软雅黑"/>
          <w:color w:val="333333"/>
          <w:sz w:val="24"/>
        </w:rPr>
        <w:t>从这个结果可以看出，价格相关的三个特征（挂牌价、评估值、年度税费）合计占到了近60%的重要性，说明价格类信息是影响房价的最核心因素。有意思的是，浴室数量的重要性超过了室内总面积，这说明在房地产市场中，浴室的数量和质量可能比单纯的面积大小更受买家重视。而周边学校的评分也进入了前十，这也印证了学区房确实是影响房价的重要因素。</w:t>
      </w:r>
    </w:p>
    <w:p w14:paraId="211CCA0F">
      <w:pPr>
        <w:spacing w:after="120" w:line="256" w:lineRule="auto"/>
        <w:ind w:firstLine="480"/>
      </w:pPr>
      <w:r>
        <w:rPr>
          <w:rFonts w:ascii="微软雅黑" w:hAnsi="微软雅黑" w:eastAsia="微软雅黑" w:cs="微软雅黑"/>
          <w:b/>
          <w:color w:val="333333"/>
          <w:sz w:val="24"/>
        </w:rPr>
        <w:t>预测结果分析</w:t>
      </w:r>
    </w:p>
    <w:p w14:paraId="34C371DE">
      <w:pPr>
        <w:spacing w:after="120" w:line="256" w:lineRule="auto"/>
        <w:ind w:firstLine="480"/>
      </w:pPr>
      <w:r>
        <w:rPr>
          <w:rFonts w:ascii="微软雅黑" w:hAnsi="微软雅黑" w:eastAsia="微软雅黑" w:cs="微软雅黑"/>
          <w:color w:val="333333"/>
          <w:sz w:val="24"/>
        </w:rPr>
        <w:t>我们用最终训练好的模型对31,626套测试房屋进行了价格预测，预测结果的统计信息如下：</w:t>
      </w:r>
    </w:p>
    <w:p w14:paraId="3F0FE4BF">
      <w:pPr>
        <w:pStyle w:val="16"/>
        <w:numPr>
          <w:ilvl w:val="0"/>
          <w:numId w:val="7"/>
        </w:numPr>
        <w:spacing w:after="60" w:line="256" w:lineRule="auto"/>
        <w:ind w:left="1340" w:hanging="360"/>
      </w:pPr>
      <w:r>
        <w:rPr>
          <w:rFonts w:ascii="微软雅黑" w:hAnsi="微软雅黑" w:eastAsia="微软雅黑" w:cs="微软雅黑"/>
          <w:color w:val="333333"/>
          <w:sz w:val="24"/>
        </w:rPr>
        <w:t>最低预测价格：$138,864</w:t>
      </w:r>
    </w:p>
    <w:p w14:paraId="11E1FE18">
      <w:pPr>
        <w:pStyle w:val="16"/>
        <w:numPr>
          <w:ilvl w:val="0"/>
          <w:numId w:val="7"/>
        </w:numPr>
        <w:spacing w:after="60" w:line="256" w:lineRule="auto"/>
        <w:ind w:left="1340" w:hanging="360"/>
      </w:pPr>
      <w:r>
        <w:rPr>
          <w:rFonts w:ascii="微软雅黑" w:hAnsi="微软雅黑" w:eastAsia="微软雅黑" w:cs="微软雅黑"/>
          <w:color w:val="333333"/>
          <w:sz w:val="24"/>
        </w:rPr>
        <w:t>最高预测价格：$29,593,134</w:t>
      </w:r>
    </w:p>
    <w:p w14:paraId="0E823B44">
      <w:pPr>
        <w:pStyle w:val="16"/>
        <w:numPr>
          <w:ilvl w:val="0"/>
          <w:numId w:val="7"/>
        </w:numPr>
        <w:spacing w:after="60" w:line="256" w:lineRule="auto"/>
        <w:ind w:left="1340" w:hanging="360"/>
      </w:pPr>
      <w:r>
        <w:rPr>
          <w:rFonts w:ascii="微软雅黑" w:hAnsi="微软雅黑" w:eastAsia="微软雅黑" w:cs="微软雅黑"/>
          <w:color w:val="333333"/>
          <w:sz w:val="24"/>
        </w:rPr>
        <w:t>平均预测价格：$900,799</w:t>
      </w:r>
    </w:p>
    <w:p w14:paraId="53FCE83B">
      <w:pPr>
        <w:pStyle w:val="16"/>
        <w:numPr>
          <w:ilvl w:val="0"/>
          <w:numId w:val="7"/>
        </w:numPr>
        <w:spacing w:after="60" w:line="256" w:lineRule="auto"/>
        <w:ind w:left="1340" w:hanging="360"/>
      </w:pPr>
      <w:r>
        <w:rPr>
          <w:rFonts w:ascii="微软雅黑" w:hAnsi="微软雅黑" w:eastAsia="微软雅黑" w:cs="微软雅黑"/>
          <w:color w:val="333333"/>
          <w:sz w:val="24"/>
        </w:rPr>
        <w:t>中位数预测价格：$626,334</w:t>
      </w:r>
    </w:p>
    <w:p w14:paraId="229DA127">
      <w:pPr>
        <w:spacing w:after="120" w:line="256" w:lineRule="auto"/>
        <w:ind w:firstLine="480"/>
      </w:pPr>
      <w:r>
        <w:rPr>
          <w:rFonts w:ascii="微软雅黑" w:hAnsi="微软雅黑" w:eastAsia="微软雅黑" w:cs="微软雅黑"/>
          <w:color w:val="333333"/>
          <w:sz w:val="24"/>
        </w:rPr>
        <w:t>从这些数据可以看出，房价分布呈现明显的右偏特征，也就是大部分房屋价格集中在中等区间，少数高价房屋拉高了整体平均值。模型对中等价位的房屋预测准确度最高，对特别高或特别低的极端价格预测误差会稍大一些，这也是符合预期的，因为极端价格的房屋通常有特殊的影响因素，很难通过通用模型准确预测。</w:t>
      </w:r>
    </w:p>
    <w:p w14:paraId="360B6935">
      <w:pPr>
        <w:spacing w:after="120" w:line="256" w:lineRule="auto"/>
        <w:ind w:firstLine="480"/>
      </w:pPr>
      <w:r>
        <w:rPr>
          <w:rFonts w:ascii="微软雅黑" w:hAnsi="微软雅黑" w:eastAsia="微软雅黑" w:cs="微软雅黑"/>
          <w:b/>
          <w:color w:val="333333"/>
          <w:sz w:val="24"/>
        </w:rPr>
        <w:t>模型优势与改进方向</w:t>
      </w:r>
    </w:p>
    <w:p w14:paraId="6DD3C6DA">
      <w:pPr>
        <w:spacing w:after="120" w:line="256" w:lineRule="auto"/>
        <w:ind w:firstLine="480"/>
      </w:pPr>
      <w:r>
        <w:rPr>
          <w:rFonts w:ascii="微软雅黑" w:hAnsi="微软雅黑" w:eastAsia="微软雅黑" w:cs="微软雅黑"/>
          <w:color w:val="333333"/>
          <w:sz w:val="24"/>
        </w:rPr>
        <w:t>我们的模型已经具备了不错的实用价值，主要优势体现在：预测准确率较高，平均相对误差仅为10.77%；模型稳定性好，在不同数据集上表现一致；特征重要性符合市场常识，结果具有可解释性。但也存在一些可以改进的地方：目前模型在训练集上表现过好，存在一定的过拟合问题；80.15%的R²距离我们设定的85%的目标还有提升空间；对极端价格的预测准确性还有待提高。</w:t>
      </w:r>
    </w:p>
    <w:p w14:paraId="1C794160">
      <w:pPr>
        <w:spacing w:after="120" w:line="256" w:lineRule="auto"/>
        <w:ind w:firstLine="480"/>
      </w:pPr>
      <w:r>
        <w:rPr>
          <w:rFonts w:ascii="微软雅黑" w:hAnsi="微软雅黑" w:eastAsia="微软雅黑" w:cs="微软雅黑"/>
          <w:color w:val="333333"/>
          <w:sz w:val="24"/>
        </w:rPr>
        <w:t>未来我们可以从几个方面进一步优化：收集更多的训练数据，特别是稀有类型房屋的数据；尝试更多的特征组合，比如加入更详细的地理位置信息；进一步调整模型参数，减少过拟合；还可以尝试将多个模型的预测结果结合起来，进一步提高预测准确度。</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modern"/>
    <w:pitch w:val="default"/>
    <w:sig w:usb0="00000000" w:usb1="00000000" w:usb2="00000010" w:usb3="00000000" w:csb0="00040000" w:csb1="00000000"/>
  </w:font>
  <w:font w:name="新宋体">
    <w:panose1 w:val="02010609030101010101"/>
    <w:charset w:val="86"/>
    <w:family w:val="modern"/>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KSOFF9CC6125">
    <w:panose1 w:val="02010609060101010101"/>
    <w:charset w:val="86"/>
    <w:family w:val="auto"/>
    <w:pitch w:val="default"/>
    <w:sig w:usb0="00000001" w:usb1="00000000" w:usb2="00000000"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B00009"/>
    <w:multiLevelType w:val="singleLevel"/>
    <w:tmpl w:val="A0B00009"/>
    <w:lvl w:ilvl="0" w:tentative="0">
      <w:start w:val="1"/>
      <w:numFmt w:val="bullet"/>
      <w:lvlText w:val="•"/>
      <w:lvlJc w:val="left"/>
      <w:pPr>
        <w:tabs>
          <w:tab w:val="left" w:pos="360"/>
        </w:tabs>
        <w:ind w:left="360" w:hanging="360"/>
      </w:pPr>
      <w:rPr>
        <w:rFonts w:ascii="微软雅黑" w:hAnsi="微软雅黑" w:eastAsia="微软雅黑" w:cs="微软雅黑"/>
        <w:sz w:val="28"/>
        <w:szCs w:val="28"/>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847D4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76" w:lineRule="auto"/>
    </w:pPr>
    <w:rPr>
      <w:rFonts w:ascii="微软雅黑" w:hAnsi="微软雅黑" w:eastAsia="微软雅黑"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微软雅黑" w:hAnsi="微软雅黑" w:eastAsia="微软雅黑" w:cs="微软雅黑"/>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微软雅黑" w:hAnsi="微软雅黑" w:eastAsia="微软雅黑" w:cs="微软雅黑"/>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微软雅黑" w:hAnsi="微软雅黑" w:eastAsia="微软雅黑" w:cs="微软雅黑"/>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微软雅黑" w:hAnsi="微软雅黑" w:eastAsia="微软雅黑" w:cs="微软雅黑"/>
      <w:b/>
      <w:b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微软雅黑" w:hAnsi="微软雅黑" w:eastAsia="微软雅黑" w:cs="微软雅黑"/>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微软雅黑" w:hAnsi="微软雅黑" w:eastAsia="微软雅黑" w:cs="微软雅黑"/>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2901</Words>
  <Characters>3278</Characters>
  <Lines>0</Lines>
  <Paragraphs>0</Paragraphs>
  <TotalTime>1</TotalTime>
  <ScaleCrop>false</ScaleCrop>
  <LinksUpToDate>false</LinksUpToDate>
  <CharactersWithSpaces>3287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充要条件</cp:lastModifiedBy>
  <dcterms:modified xsi:type="dcterms:W3CDTF">2026-03-25T00:48:20Z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eyJoZGlkIjoiMzI3OTI2OWMwMWEwNWI3Y2ZiNGFlYTA5MjMwZDE4MDEiLCJ1c2VySWQiOiI4MzU5Njg4MTYifQ==</vt:lpwstr>
  </property>
  <property fmtid="{D5CDD505-2E9C-101B-9397-08002B2CF9AE}" pid="3" name="KSOProductBuildVer">
    <vt:lpwstr>2052-12.1.0.25225</vt:lpwstr>
  </property>
  <property fmtid="{D5CDD505-2E9C-101B-9397-08002B2CF9AE}" pid="4" name="ICV">
    <vt:lpwstr>2D0EC6AA3FDA48AB9B17DEB888E1A92E_12</vt:lpwstr>
  </property>
</Properties>
</file>