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KHOA HỌC MÁY TÍNH / TRÍ TUỆ NHÂN TẠO</w:t>
      </w:r>
    </w:p>
    <w:p>
      <w:pPr>
        <w:spacing w:before="560" w:after="360"/>
        <w:jc w:val="center"/>
      </w:pPr>
      <w:r>
        <w:rPr>
          <w:rFonts w:ascii="Times New Roman" w:hAnsi="Times New Roman" w:eastAsia="Times New Roman"/>
          <w:b/>
          <w:i w:val="0"/>
          <w:color w:val="17324D"/>
          <w:sz w:val="34"/>
        </w:rPr>
        <w:t>SAFEWEB</w:t>
        <w:br/>
        <w:t>ỨNG DỤNG TRÍ TUỆ NHÂN TẠO MACHINE LEARNING KẾT HỢP PHÂN TÍCH URL CẢNH BÁO SỚM RỦI RO LỪA ĐẢO VÀ LỘ LỌT DỮ LIỆU</w:t>
      </w:r>
    </w:p>
    <w:p>
      <w:pPr>
        <w:jc w:val="center"/>
      </w:pPr>
      <w:r>
        <w:rPr>
          <w:rFonts w:ascii="Times New Roman" w:hAnsi="Times New Roman" w:eastAsia="Times New Roman"/>
          <w:b w:val="0"/>
          <w:i w:val="0"/>
          <w:color w:val="167C80"/>
          <w:sz w:val="24"/>
        </w:rPr>
        <w:t>━━━━━━━━━━━━━━━━━━━━━━━━━━━━━━━━━━━━</w:t>
      </w:r>
    </w:p>
    <w:p>
      <w:pPr>
        <w:spacing w:before="5200" w:after="0" w:line="20" w:lineRule="exact"/>
      </w:pPr>
    </w:p>
    <w:tbl>
      <w:tblPr>
        <w:tblW w:type="auto" w:w="0"/>
        <w:jc w:val="center"/>
        <w:tblLayout w:type="fixed"/>
        <w:tblLook w:firstColumn="1" w:firstRow="1" w:lastColumn="0" w:lastRow="0" w:noHBand="0" w:noVBand="1" w:val="04A0"/>
      </w:tblPr>
      <w:tblGrid>
        <w:gridCol w:w="4933"/>
        <w:gridCol w:w="4933"/>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Mô hình học máy</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Random Forest · Gradient Boosting · SVM tuyến tính · Logistic Regression</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pgSz w:w="11906" w:h="16838"/>
          <w:pgMar w:top="1020" w:right="1020" w:bottom="1020" w:left="1020" w:header="720" w:footer="720" w:gutter="0"/>
          <w:cols w:space="720"/>
          <w:titlePg/>
          <w:docGrid w:linePitch="360"/>
        </w:sectPr>
      </w:pPr>
    </w:p>
    <w:p>
      <w:pPr>
        <w:pStyle w:val="Heading1"/>
        <w:keepNext/>
        <w:spacing w:before="120" w:after="40"/>
      </w:pPr>
      <w:r>
        <w:t>MỤC LỤC</w:t>
      </w:r>
    </w:p>
    <w:p>
      <w:pPr>
        <w:keepLines/>
        <w:spacing w:after="80"/>
      </w:pPr>
      <w:r>
        <w:rPr>
          <w:rFonts w:ascii="Times New Roman" w:hAnsi="Times New Roman" w:eastAsia="Times New Roman"/>
          <w:b w:val="0"/>
          <w:i w:val="0"/>
          <w:color w:val="23313F"/>
          <w:sz w:val="19"/>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"1-3" \h \z \u </w:instrText>
        <w:fldChar w:fldCharType="separate"/>
        <w:t>Mục lục được cập nhật tự động từ các đề mục của báo cáo.</w:t>
        <w:fldChar w:fldCharType="end"/>
      </w:r>
    </w:p>
    <w:p>
      <w:r>
        <w:br w:type="page"/>
      </w:r>
    </w:p>
    <w:p>
      <w:pPr>
        <w:pStyle w:val="Heading1"/>
        <w:keepNext/>
        <w:spacing w:before="120" w:after="40"/>
      </w:pPr>
      <w:r>
        <w:t>TÓM TẮT</w:t>
      </w:r>
    </w:p>
    <w:p>
      <w:pPr>
        <w:keepLines/>
        <w:spacing w:after="100"/>
        <w:ind w:firstLine="454"/>
      </w:pPr>
      <w:r>
        <w:rPr>
          <w:rFonts w:ascii="Times New Roman" w:hAnsi="Times New Roman" w:eastAsia="Times New Roman"/>
          <w:b w:val="0"/>
          <w:i w:val="0"/>
          <w:color w:val="23313F"/>
          <w:sz w:val="19"/>
        </w:rPr>
        <w:t>SafeWeb là nguyên mẫu phần mềm hướng đến cảnh báo sớm rủi ro lừa đảo và lộ lọt dữ liệu qua phân tích URL. Hệ thống ưu tiên xử lý cục bộ, kết hợp cơ sở dữ liệu tham chiếu, 55 đặc trưng và bốn mô hình học máy: Random Forest, Gradient Boosting, SVM tuyến tính và Logistic Regression. DNS, chuyển hướng, metadata và ảnh xem trước chỉ được yêu cầu khi người dùng đồng ý. Giao diện còn cung cấp kho dữ liệu tương tác và gợi ý category/provider/brand theo luật.</w:t>
      </w:r>
    </w:p>
    <w:p>
      <w:pPr>
        <w:keepLines/>
        <w:spacing w:after="100"/>
        <w:ind w:firstLine="454"/>
      </w:pPr>
      <w:r>
        <w:rPr>
          <w:rFonts w:ascii="Times New Roman" w:hAnsi="Times New Roman" w:eastAsia="Times New Roman"/>
          <w:b w:val="0"/>
          <w:i w:val="0"/>
          <w:color w:val="23313F"/>
          <w:sz w:val="19"/>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19"/>
        </w:rPr>
        <w:t>Gradient Boosting đạt F1 phishing 0,8697, recall 0,9561; SVM đạt ROC-AUC 0,9308 nhưng recall ở ngưỡng hiện tại chỉ 0,0071. Lần kiểm thử ghi nhận 59 kiểm thử Python, 15 kiểm thử trình duyệt; parity trên 10 URL hợp lệ và 6 URL lỗi có sai khác cực đại 1,33×10⁻¹⁵ ở đặc trưng và 7,77×10⁻¹⁶ ở xác suất. Kết quả xác minh tính nhất quán trên các ca đã chọn, không chứng minh hiệu quả thực địa. SafeWeb là công cụ giáo dục tham khảo, không chứng nhận website an toàn hay độc hại.</w:t>
      </w:r>
    </w:p>
    <w:p>
      <w:pPr>
        <w:keepLines/>
        <w:spacing w:after="160"/>
      </w:pPr>
      <w:r>
        <w:rPr>
          <w:rFonts w:ascii="Times New Roman" w:hAnsi="Times New Roman" w:eastAsia="Times New Roman"/>
          <w:b w:val="0"/>
          <w:i w:val="0"/>
          <w:color w:val="23313F"/>
          <w:sz w:val="19"/>
        </w:rPr>
        <w:t>Từ khóa: phishing; URL; PhishVN; học máy; suy luận phía trình duyệt; bảo vệ quyền riêng tư.</w:t>
      </w:r>
    </w:p>
    <w:p>
      <w:pPr>
        <w:sectPr>
          <w:footerReference w:type="default" r:id="rId9"/>
          <w:pgSz w:w="11906" w:h="16838"/>
          <w:pgMar w:top="1020" w:right="1020" w:bottom="1020" w:left="1020" w:header="720" w:footer="425" w:gutter="0"/>
          <w:cols w:space="720"/>
          <w:docGrid w:linePitch="360"/>
          <w:pgNumType w:fmt="lowerRoman" w:start="1"/>
        </w:sectPr>
      </w:pPr>
    </w:p>
    <w:p>
      <w:pPr>
        <w:pStyle w:val="Heading1"/>
        <w:keepNext/>
        <w:spacing w:before="120" w:after="40"/>
      </w:pPr>
      <w:r>
        <w:t>CHƯƠNG 1. XÁC ĐỊNH NHU CẦU VÀ MỤC TIÊU KỸ THUẬT</w:t>
      </w:r>
    </w:p>
    <w:p>
      <w:pPr>
        <w:pStyle w:val="Heading2"/>
        <w:keepNext/>
        <w:spacing w:before="80" w:after="40"/>
      </w:pPr>
      <w:r>
        <w:t>1.1. Bối cảnh và vấn đề thực tiễn</w:t>
      </w:r>
    </w:p>
    <w:p>
      <w:pPr>
        <w:keepLines/>
        <w:spacing w:after="100"/>
        <w:ind w:firstLine="454"/>
      </w:pPr>
      <w:r>
        <w:rPr>
          <w:rFonts w:ascii="Times New Roman" w:hAnsi="Times New Roman" w:eastAsia="Times New Roman"/>
          <w:b w:val="0"/>
          <w:i w:val="0"/>
          <w:color w:val="23313F"/>
          <w:sz w:val="19"/>
        </w:rPr>
        <w:t>URL gồm scheme, authority, path, query và fragment theo cú pháp URI (Berners-Lee et al., 2005). Phishing thường dùng hostname giả mạo thương hiệu, đường dẫn dài, ký tự mã hóa hoặc lời mời đăng nhập. HTTPS chỉ mô tả giao thức kết nối, không xác minh chủ thể website. Vì vậy SafeWeb trình bày tín hiệu quan sát được thay vì khẳng định chắc chắn URL an toàn hay độc hại.</w:t>
      </w:r>
    </w:p>
    <w:p>
      <w:pPr>
        <w:keepLines/>
        <w:spacing w:after="100"/>
        <w:ind w:firstLine="454"/>
      </w:pPr>
      <w:r>
        <w:rPr>
          <w:rFonts w:ascii="Times New Roman" w:hAnsi="Times New Roman" w:eastAsia="Times New Roman"/>
          <w:b w:val="0"/>
          <w:i w:val="0"/>
          <w:color w:val="23313F"/>
          <w:sz w:val="19"/>
        </w:rPr>
        <w:t>URL có thể chứa mã theo dõi hoặc định danh riêng tư. SafeWeb ưu tiên chuẩn hóa, tra cứu và suy luận cục bộ; chỉ DNS, redirect, metadata và preview mới gửi yêu cầu ngoài sau khi người dùng đồng ý.</w:t>
      </w:r>
    </w:p>
    <w:p>
      <w:pPr>
        <w:pStyle w:val="Heading2"/>
        <w:keepNext/>
        <w:spacing w:before="80" w:after="40"/>
      </w:pPr>
      <w:r>
        <w:t>1.2. Nhu cầu kỹ thuật và câu hỏi nghiên cứu</w:t>
      </w:r>
    </w:p>
    <w:p>
      <w:pPr>
        <w:keepLines/>
        <w:spacing w:after="100"/>
        <w:ind w:firstLine="454"/>
      </w:pPr>
      <w:r>
        <w:rPr>
          <w:rFonts w:ascii="Times New Roman" w:hAnsi="Times New Roman" w:eastAsia="Times New Roman"/>
          <w:b w:val="0"/>
          <w:i w:val="0"/>
          <w:color w:val="23313F"/>
          <w:sz w:val="19"/>
        </w:rPr>
        <w:t>Nhu cầu kỹ thuật là phân tích URL, tra cứu tham chiếu, hiển thị lý do/mức cảnh báo và chỉ kiểm tra mạng sau consent. Câu hỏi nghiên cứu: với cùng schema và tham số, suy luận JavaScript có khớp Python trên bộ ca kiểm thử định trước không?</w:t>
      </w:r>
    </w:p>
    <w:p>
      <w:pPr>
        <w:keepLines/>
        <w:spacing w:after="100"/>
        <w:ind w:firstLine="454"/>
      </w:pPr>
      <w:r>
        <w:rPr>
          <w:rFonts w:ascii="Times New Roman" w:hAnsi="Times New Roman" w:eastAsia="Times New Roman"/>
          <w:b w:val="0"/>
          <w:i w:val="0"/>
          <w:color w:val="23313F"/>
          <w:sz w:val="19"/>
        </w:rPr>
        <w:t>Giả thuyết: giữ cố định thứ tự 55 feature và phép tiền xử lý khi export sẽ làm xác suất trình duyệt gần trùng Python trong sai số dấu phẩy động. Script parity kiểm tra giả thuyết trên các ca chọn sẵn; kết quả không khái quát tới mọi URL.</w:t>
      </w:r>
    </w:p>
    <w:p>
      <w:pPr>
        <w:pStyle w:val="Heading2"/>
        <w:keepNext/>
        <w:spacing w:before="80" w:after="40"/>
      </w:pPr>
      <w:r>
        <w:t>1.3. Mục tiêu và tiêu chí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Tập kiểm thử theo phân vùng chính thức không giao tên miền đăng ký với train.</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before="0" w:after="0" w:line="40" w:lineRule="exact"/>
      </w:pPr>
    </w:p>
    <w:p>
      <w:pPr>
        <w:pStyle w:val="Heading2"/>
        <w:keepNext/>
        <w:spacing w:before="80" w:after="40"/>
      </w:pPr>
      <w:r>
        <w:t>1.4. Phạm vi, giả định và giới hạn</w:t>
      </w:r>
    </w:p>
    <w:p>
      <w:pPr>
        <w:keepLines/>
        <w:spacing w:after="100"/>
        <w:ind w:firstLine="454"/>
      </w:pPr>
      <w:r>
        <w:rPr>
          <w:rFonts w:ascii="Times New Roman" w:hAnsi="Times New Roman" w:eastAsia="Times New Roman"/>
          <w:b w:val="0"/>
          <w:i w:val="0"/>
          <w:color w:val="23313F"/>
          <w:sz w:val="19"/>
        </w:rPr>
        <w:t>Phạm vi gồm chuỗi URL và nhãn trong các tập dữ liệu đã công bố. SafeWeb không tải/chạy HTML, không xác thực chứng thư TLS, tuổi tên miền, WHOIS, reputation hay hành vi trang; DNS chỉ kiểm tra khi bật live inspection. Nguyên mẫu chưa được đánh giá người dùng hoặc kiểm định bảo mật độc lập.</w:t>
      </w:r>
    </w:p>
    <w:p>
      <w:pPr>
        <w:pStyle w:val="Heading2"/>
        <w:keepNext/>
        <w:spacing w:before="80" w:after="40"/>
      </w:pPr>
      <w:r>
        <w:t>1.5. Giá trị và định hướng giáo dục</w:t>
      </w:r>
    </w:p>
    <w:p>
      <w:pPr>
        <w:keepLines/>
        <w:spacing w:after="100"/>
        <w:ind w:firstLine="454"/>
      </w:pPr>
      <w:r>
        <w:rPr>
          <w:rFonts w:ascii="Times New Roman" w:hAnsi="Times New Roman" w:eastAsia="Times New Roman"/>
          <w:b w:val="0"/>
          <w:i w:val="0"/>
          <w:color w:val="23313F"/>
          <w:sz w:val="19"/>
        </w:rPr>
        <w:t>SafeWeb hướng tới dạy an toàn số và tư duy dữ liệu qua việc quan sát pipeline, so sánh bằng chứng và thảo luận giới hạn tự động hóa. Chưa có nghiên cứu học sinh, đo trước/sau hay đánh giá hiệu quả sư phạm; các nội dung sau là mục tiêu đề xuất, không phải kết quả thực nghiệm.</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87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Năng lực hướng tới</w:t>
            </w:r>
          </w:p>
        </w:tc>
        <w:tc>
          <w:tcPr>
            <w:tcW w:type="dxa" w:w="36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Hoạt động học tập có thể quan sát</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Giới hạn cần nêu</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Hiểu cấu trúc URL</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Tách scheme, hostname, subdomain, path và query; chỉ ra phần nào chứa tín hiệu được trích xuất.</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Một dấu hiệu như từ khóa ngân hàng, IP hay HTTPS không tự chứng minh URL độc hại hoặc an toàn.</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Tư duy phản biện về AI</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So sánh kết quả tra cứu cơ sở dữ liệu với xác suất từng mô hình; đọc precision, recall, F1 và false positive/false negative.</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Kết quả phụ thuộc corpus và threshold; SVM hiện có recall phishing rất thấp dù ROC-AUC cao.</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Quyền riêng tư và công dân số</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biệt phân tích local-only với live inspection; cân nhắc trước khi chia sẻ URL cho dịch vụ ngoài.</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nhập URL riêng tư, token hoặc thông tin đăng nhập; HTTPS không xác thực danh tính website.</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Tư duy kỹ thuật và tái lập</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Theo dõi pipeline dữ liệu → đặc trưng → mô hình → giao diện; đối chiếu Python–JavaScript.</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Parity xác minh hai hiện thực nhất quán trên bộ ca đã chọn, không chứng minh độ chính xác phổ quát.</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Kịch bản lớp học có thể dùng URL giả lập: học sinh phân tích hostname trước khi xem dự đoán, giải thích một false negative/false positive và đề xuất cách xác minh qua kênh chính thức. Tắt live checks, không mở URL mẫu. Nghiên cứu sư phạm tương lai cần bài kiểm tra trước/sau, rubric và quy trình đồng thuận/bảo vệ dữ liệu; các phép đo này chưa được thực hiện.</w:t>
      </w:r>
    </w:p>
    <w:p>
      <w:pPr>
        <w:pStyle w:val="Heading1"/>
        <w:keepNext/>
        <w:spacing w:before="120" w:after="40"/>
      </w:pPr>
      <w:r>
        <w:t>CHƯƠNG 2. PHÂN TÍCH GIẢI PHÁP VÀ CƠ SỞ LÝ THUYẾT</w:t>
      </w:r>
    </w:p>
    <w:p>
      <w:pPr>
        <w:pStyle w:val="Heading2"/>
        <w:keepNext/>
        <w:spacing w:before="80" w:after="40"/>
      </w:pPr>
      <w:r>
        <w:t>2.1. Phân biệt dự án khoa học và dự án kỹ thuật</w:t>
      </w:r>
    </w:p>
    <w:p>
      <w:pPr>
        <w:keepLines/>
        <w:spacing w:after="100"/>
        <w:ind w:firstLine="454"/>
      </w:pPr>
      <w:r>
        <w:rPr>
          <w:rFonts w:ascii="Times New Roman" w:hAnsi="Times New Roman" w:eastAsia="Times New Roman"/>
          <w:b w:val="0"/>
          <w:i w:val="0"/>
          <w:color w:val="23313F"/>
          <w:sz w:val="19"/>
        </w:rPr>
        <w:t>SafeWeb thuộc dự án kỹ thuật: đầu ra là nguyên mẫu phần mềm; tiêu chí gồm khả năng hoạt động, tái lập, nhất quán triển khai và giới hạn vận hành. Thí nghiệm học máy đánh giá thiết kế, không nghiên cứu nhân quả hành vi người dùng.</w:t>
      </w:r>
    </w:p>
    <w:p>
      <w:pPr>
        <w:pStyle w:val="Heading2"/>
        <w:keepNext/>
        <w:spacing w:before="80" w:after="40"/>
      </w:pPr>
      <w:r>
        <w:t>2.2. Phân tích các phương án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98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heuristic URL</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Nhanh, dễ giải thích, không cần huấn luyện.</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Khó biểu diễn tương tác phi tuyến; giữ như lớp giải thích, không dùng làm nguồn kết luận duy nhất.</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tra cứu danh sách</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Khi khớp bản ghi có nguồn gốc và nhãn rõ.</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nhận diện biến thể URL chưa có trong kho; dùng làm tầng xác minh độc lập.</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backend inference</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Dễ cập nhật mô hình và tập trung tài nguyên.</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URL phải gửi tới server; không phù hợp mục tiêu phân tích cục bộ mặc định.</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Mô hình trong trình duyệt + tra cứu + live opt-in</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thể chạy phân tích cục bộ, trình bày nhiều nguồn, bổ sung kiểm tra mạng có đồng ý.</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Bundle lớn hơn; phải duy trì parity và thừa nhận giới hạn CORS/nguồn dữ liệu.</w:t>
            </w:r>
          </w:p>
        </w:tc>
      </w:tr>
    </w:tbl>
    <w:p>
      <w:pPr>
        <w:spacing w:before="0" w:after="0" w:line="40" w:lineRule="exact"/>
      </w:pPr>
    </w:p>
    <w:p>
      <w:pPr>
        <w:pStyle w:val="Heading2"/>
        <w:keepNext/>
        <w:spacing w:before="80" w:after="40"/>
      </w:pPr>
      <w:r>
        <w:t>2.3. Cơ sở lý thuyết của bốn bộ phân loại</w:t>
      </w:r>
    </w:p>
    <w:p>
      <w:pPr>
        <w:keepLines/>
        <w:spacing w:after="100"/>
        <w:ind w:firstLine="454"/>
      </w:pPr>
      <w:r>
        <w:rPr>
          <w:rFonts w:ascii="Times New Roman" w:hAnsi="Times New Roman" w:eastAsia="Times New Roman"/>
          <w:b w:val="0"/>
          <w:i w:val="0"/>
          <w:color w:val="23313F"/>
          <w:sz w:val="19"/>
        </w:rPr>
        <w:t>Random Forest tổng hợp xác suất từ các cây quyết định lấy mẫu ngẫu nhiên, phù hợp quan hệ phi tuyến và có thể export cây sang JavaScript (Breiman, 2001). Cấu hình: 100 cây, depth 16, leaf 3, balanced-subsample.</w:t>
      </w:r>
    </w:p>
    <w:p>
      <w:pPr>
        <w:keepLines/>
        <w:spacing w:after="100"/>
        <w:ind w:firstLine="454"/>
      </w:pPr>
      <w:r>
        <w:rPr>
          <w:rFonts w:ascii="Times New Roman" w:hAnsi="Times New Roman" w:eastAsia="Times New Roman"/>
          <w:b w:val="0"/>
          <w:i w:val="0"/>
          <w:color w:val="23313F"/>
          <w:sz w:val="19"/>
        </w:rPr>
        <w:t>Gradient Boosting cộng tuần tự cây nông theo gradient mất mát (Friedman, 2001). Cấu hình: 100 cây, depth 3, learning rate 0,1; đạt recall cao nhất nhưng có nhiều false positive.</w:t>
      </w:r>
    </w:p>
    <w:p>
      <w:pPr>
        <w:keepLines/>
        <w:spacing w:after="100"/>
        <w:ind w:firstLine="454"/>
      </w:pPr>
      <w:r>
        <w:rPr>
          <w:rFonts w:ascii="Times New Roman" w:hAnsi="Times New Roman" w:eastAsia="Times New Roman"/>
          <w:b w:val="0"/>
          <w:i w:val="0"/>
          <w:color w:val="23313F"/>
          <w:sz w:val="19"/>
        </w:rPr>
        <w:t>Linear SVM tối đa hóa biên phân tách (Cortes &amp; Vapnik, 1995), dùng `StandardScaler`, `LinearSVC` và sigmoid calibration 3-fold. ROC-AUC 0,9308 nhưng recall hiện chỉ 0,0071, nên ngưỡng chưa hữu ích.</w:t>
      </w:r>
    </w:p>
    <w:p>
      <w:pPr>
        <w:keepLines/>
        <w:spacing w:after="100"/>
        <w:ind w:firstLine="454"/>
      </w:pPr>
      <w:r>
        <w:rPr>
          <w:rFonts w:ascii="Times New Roman" w:hAnsi="Times New Roman" w:eastAsia="Times New Roman"/>
          <w:b w:val="0"/>
          <w:i w:val="0"/>
          <w:color w:val="23313F"/>
          <w:sz w:val="19"/>
        </w:rPr>
        <w:t>Logistic Regression là baseline tuyến tính, ánh xạ tổ hợp đặc trưng qua sigmoid; cấu hình dùng `StandardScaler`, balanced class weights và tối đa 2.000 vòng lặp. Các estimator dựa trên scikit-learn (Pedregosa et al., 2011).</w:t>
      </w:r>
    </w:p>
    <w:p>
      <w:pPr>
        <w:pStyle w:val="Heading2"/>
        <w:keepNext/>
        <w:spacing w:before="80" w:after="40"/>
      </w:pPr>
      <w:r>
        <w:t>2.4. Lý do phối hợp mô hình và cách hiểu đồng thuận</w:t>
      </w:r>
    </w:p>
    <w:p>
      <w:pPr>
        <w:keepLines/>
        <w:spacing w:after="100"/>
        <w:ind w:firstLine="454"/>
      </w:pPr>
      <w:r>
        <w:rPr>
          <w:rFonts w:ascii="Times New Roman" w:hAnsi="Times New Roman" w:eastAsia="Times New Roman"/>
          <w:b w:val="0"/>
          <w:i w:val="0"/>
          <w:color w:val="23313F"/>
          <w:sz w:val="19"/>
        </w:rPr>
        <w:t>Hệ thống lấy trung bình số học bốn xác suất, dùng ngưỡng 0,5 cho nhãn và vẫn hiển thị điểm riêng; đây không phải bỏ phiếu đa số hay bảo đảm lỗi độc lập. Vì SVM có recall 0,0071 ở ngưỡng hiện tại, cần hiệu chỉnh trước khi dựa vào đồng thuận.</w:t>
      </w:r>
    </w:p>
    <w:p>
      <w:pPr>
        <w:pStyle w:val="Heading2"/>
        <w:keepNext/>
        <w:spacing w:before="80" w:after="40"/>
      </w:pPr>
      <w:r>
        <w:t>2.5. Điểm mới trong phạm vi nguyên mẫu</w:t>
      </w:r>
    </w:p>
    <w:p>
      <w:pPr>
        <w:pStyle w:val="ListBullet"/>
        <w:keepLines/>
        <w:spacing w:after="40"/>
        <w:ind w:left="397" w:hanging="198"/>
      </w:pPr>
      <w:r>
        <w:rPr>
          <w:rFonts w:ascii="Times New Roman" w:hAnsi="Times New Roman" w:eastAsia="Times New Roman"/>
          <w:b w:val="0"/>
          <w:i w:val="0"/>
          <w:color w:val="23313F"/>
          <w:sz w:val="19"/>
        </w:rPr>
        <w:t>Ghép cơ sở dữ liệu tham chiếu có provenance với suy luận bốn mô hình trong một trải nghiệm phía trình duyệt.</w:t>
      </w:r>
    </w:p>
    <w:p>
      <w:pPr>
        <w:pStyle w:val="ListBullet"/>
        <w:keepLines/>
        <w:spacing w:after="40"/>
        <w:ind w:left="397" w:hanging="198"/>
      </w:pPr>
      <w:r>
        <w:rPr>
          <w:rFonts w:ascii="Times New Roman" w:hAnsi="Times New Roman" w:eastAsia="Times New Roman"/>
          <w:b w:val="0"/>
          <w:i w:val="0"/>
          <w:color w:val="23313F"/>
          <w:sz w:val="19"/>
        </w:rPr>
        <w:t>Tách kết quả khớp dữ liệu trực tiếp khỏi điểm số học máy để người dùng phân biệt provenance và generalization.</w:t>
      </w:r>
    </w:p>
    <w:p>
      <w:pPr>
        <w:pStyle w:val="ListBullet"/>
        <w:keepLines/>
        <w:spacing w:after="40"/>
        <w:ind w:left="397" w:hanging="198"/>
      </w:pPr>
      <w:r>
        <w:rPr>
          <w:rFonts w:ascii="Times New Roman" w:hAnsi="Times New Roman" w:eastAsia="Times New Roman"/>
          <w:b w:val="0"/>
          <w:i w:val="0"/>
          <w:color w:val="23313F"/>
          <w:sz w:val="19"/>
        </w:rPr>
        <w:t>Đóng gói tham số mô hình, cây, scaler, calibration và quy tắc public suffix để suy luận offline mà không gửi URL ở chế độ mặc định.</w:t>
      </w:r>
    </w:p>
    <w:p>
      <w:pPr>
        <w:pStyle w:val="ListBullet"/>
        <w:keepLines/>
        <w:spacing w:after="40"/>
        <w:ind w:left="397" w:hanging="198"/>
      </w:pPr>
      <w:r>
        <w:rPr>
          <w:rFonts w:ascii="Times New Roman" w:hAnsi="Times New Roman" w:eastAsia="Times New Roman"/>
          <w:b w:val="0"/>
          <w:i w:val="0"/>
          <w:color w:val="23313F"/>
          <w:sz w:val="19"/>
        </w:rPr>
        <w:t>Có consent gate trước DNS, redirect, metadata và preview; thể hiện trực tiếp đánh đổi giữa thông tin bổ sung và quyền riêng tư.</w:t>
      </w:r>
    </w:p>
    <w:p>
      <w:pPr>
        <w:pStyle w:val="ListBullet"/>
        <w:keepLines/>
        <w:spacing w:after="40"/>
        <w:ind w:left="397" w:hanging="198"/>
      </w:pPr>
      <w:r>
        <w:rPr>
          <w:rFonts w:ascii="Times New Roman" w:hAnsi="Times New Roman" w:eastAsia="Times New Roman"/>
          <w:b w:val="0"/>
          <w:i w:val="0"/>
          <w:color w:val="23313F"/>
          <w:sz w:val="19"/>
        </w:rPr>
        <w:t>Kiểm tra khả năng tái hiện giữa Python và JavaScript bằng vector đặc trưng và xác suất thay vì chỉ kiểm thử giao diện.</w:t>
      </w:r>
    </w:p>
    <w:p>
      <w:pPr>
        <w:keepLines/>
        <w:spacing w:after="100"/>
        <w:ind w:firstLine="454"/>
      </w:pPr>
      <w:r>
        <w:rPr>
          <w:rFonts w:ascii="Times New Roman" w:hAnsi="Times New Roman" w:eastAsia="Times New Roman"/>
          <w:b w:val="0"/>
          <w:i w:val="0"/>
          <w:color w:val="23313F"/>
          <w:sz w:val="19"/>
        </w:rPr>
        <w:t>Các điểm trên là đóng góp kỹ thuật của nguyên mẫu, không phải khẳng định thuật toán mới hoặc ưu thế vượt trội so với dịch vụ thương mại.</w:t>
      </w:r>
    </w:p>
    <w:p>
      <w:pPr>
        <w:pStyle w:val="Heading1"/>
        <w:keepNext/>
        <w:spacing w:before="120" w:after="40"/>
      </w:pPr>
      <w:r>
        <w:t>CHƯƠNG 3. THIẾT KẾ, VẬT LIỆU VÀ PHƯƠNG PHÁP</w:t>
      </w:r>
    </w:p>
    <w:p>
      <w:pPr>
        <w:pStyle w:val="Heading2"/>
        <w:keepNext/>
        <w:spacing w:before="80" w:after="40"/>
      </w:pPr>
      <w:r>
        <w:t>3.1. Thành phần và công cụ</w:t>
      </w:r>
    </w:p>
    <w:tbl>
      <w:tblPr>
        <w:tblStyle w:val="TableGrid"/>
        <w:tblW w:type="auto" w:w="0"/>
        <w:jc w:val="center"/>
        <w:tblLayout w:type="fixed"/>
        <w:tblLook w:firstColumn="1" w:firstRow="1" w:lastColumn="0" w:lastRow="0" w:noHBand="0" w:noVBand="1" w:val="04A0"/>
      </w:tblPr>
      <w:tblGrid>
        <w:gridCol w:w="4933"/>
        <w:gridCol w:w="4933"/>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before="0" w:after="0" w:line="40" w:lineRule="exact"/>
      </w:pPr>
    </w:p>
    <w:p>
      <w:pPr>
        <w:pStyle w:val="Heading2"/>
        <w:keepNext/>
        <w:spacing w:before="80" w:after="40"/>
      </w:pPr>
      <w:r>
        <w:t>3.2. Kiểm toán và chuẩn bị dữ liệu</w:t>
      </w:r>
    </w:p>
    <w:p>
      <w:pPr>
        <w:keepLines/>
        <w:spacing w:after="100"/>
        <w:ind w:firstLine="454"/>
      </w:pPr>
      <w:r>
        <w:rPr>
          <w:rFonts w:ascii="Times New Roman" w:hAnsi="Times New Roman" w:eastAsia="Times New Roman"/>
          <w:b w:val="0"/>
          <w:i w:val="0"/>
          <w:color w:val="23313F"/>
          <w:sz w:val="19"/>
        </w:rPr>
        <w:t>PhishVN v3.1.0 cung cấp 53.116 dòng nguồn, nhãn, metadata provenance và phân vùng train/validation/test theo nhóm (Thai Nguyen Vu, 2026). Pipeline canonicalize URL, gộp alias apex/`www`, rà soát nhãn xung đột và giữ phân vùng chính thức. Sau xử lý còn 36.261 URL: 19.909 phishing và 16.352 benign; 16.855 dòng bí danh trùng bị loại, không có nhóm nhãn xung đột hoặc URL lỗi/truncated bị loại. Phân vùng gồm train 25.185, validation 4.452 và test 6.624; giao nhau domain đăng ký giữa các phân vùng bằng 0.</w:t>
      </w:r>
    </w:p>
    <w:p>
      <w:pPr>
        <w:keepLines/>
        <w:spacing w:after="100"/>
        <w:ind w:firstLine="454"/>
      </w:pPr>
      <w:r>
        <w:rPr>
          <w:rFonts w:ascii="Times New Roman" w:hAnsi="Times New Roman" w:eastAsia="Times New Roman"/>
          <w:b w:val="0"/>
          <w:i w:val="0"/>
          <w:color w:val="23313F"/>
          <w:sz w:val="19"/>
        </w:rPr>
        <w:t>PhiUSIIL Phishing URL Dataset có 235.795 dòng nguồn (PhiUSIIL Phishing URL Dataset, n.d.). Bước làm sạch loại 86 dòng URL xung đột nhãn, 3.586 URL canonical trùng và 461 dòng thuộc 4.260 domain của test PhishVN; không có URL lỗi bị loại ở thống kê hiện hành. Còn 231.662 dòng dùng huấn luyện. Nhãn nguồn được đảo để khớp quy ước SafeWeb. Train bao gồm 29.637 mẫu PhishVN train+validation và 231.662 mẫu PhiUSIIL; test vẫn là 6.624 dòng PhishVN không được đưa vào fit.</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Đặc trưng CompPhish có sẵn trên PhishVN được đối chiếu với phép trích xuất cục bộ: 797.742 giá trị trên 36.261 bản ghi khớp với bảng phát hành trong sai số dung sai của pipeline. Timestamp thu thập/scrape chỉ là provenance, không được dùng như thời điểm sự kiện hoặc nhãn.</w:t>
      </w:r>
    </w:p>
    <w:p>
      <w:pPr>
        <w:pStyle w:val="Heading2"/>
        <w:keepNext/>
        <w:spacing w:before="80" w:after="40"/>
      </w:pPr>
      <w:r>
        <w:t>3.3. Lược đồ 55 đặc trưng</w:t>
      </w:r>
    </w:p>
    <w:p>
      <w:pPr>
        <w:keepLines/>
        <w:spacing w:after="100"/>
        <w:ind w:firstLine="454"/>
      </w:pPr>
      <w:r>
        <w:rPr>
          <w:rFonts w:ascii="Times New Roman" w:hAnsi="Times New Roman" w:eastAsia="Times New Roman"/>
          <w:b w:val="0"/>
          <w:i w:val="0"/>
          <w:color w:val="23313F"/>
          <w:sz w:val="19"/>
        </w:rPr>
        <w:t>Đầu vào mô hình là một vector số có thứ tự cố định. Các biến trùng khái niệm giữa SafeWeb và PhishVN được giữ riêng vì chúng theo định nghĩa nguồn khác nhau. Một số giá trị về TLD lấy từ hồ sơ host PhishVN khi có; các URL không có hồ sơ dùng phép tính cục bộ và danh sách suspicious TLD đóng gói.</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7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before="0" w:after="0" w:line="40" w:lineRule="exact"/>
      </w:pPr>
    </w:p>
    <w:p>
      <w:pPr>
        <w:pStyle w:val="Heading2"/>
        <w:keepNext/>
        <w:spacing w:before="80" w:after="40"/>
      </w:pPr>
      <w:r>
        <w:t>3.4. Nhóm từ khóa và cách diễn giải</w:t>
      </w:r>
    </w:p>
    <w:p>
      <w:pPr>
        <w:keepLines/>
        <w:spacing w:after="100"/>
        <w:ind w:firstLine="454"/>
      </w:pPr>
      <w:r>
        <w:rPr>
          <w:rFonts w:ascii="Times New Roman" w:hAnsi="Times New Roman" w:eastAsia="Times New Roman"/>
          <w:b w:val="0"/>
          <w:i w:val="0"/>
          <w:color w:val="23313F"/>
          <w:sz w:val="19"/>
        </w:rPr>
        <w:t>Các nhóm ngữ nghĩa dưới đây giúp mô tả bề mặt đe dọa, nhưng không đồng nghĩa tất cả từ trong danh sách đều là feature model. Mô hình đang dùng đúng tám cờ từ khóa ở bảng 3.2; việc một từ xuất hiện không chứng minh phishing vì trang hợp lệ cũng có thể chứa những từ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before="0" w:after="0" w:line="40" w:lineRule="exact"/>
      </w:pPr>
    </w:p>
    <w:p>
      <w:pPr>
        <w:pStyle w:val="Heading2"/>
        <w:keepNext/>
        <w:spacing w:before="80" w:after="40"/>
      </w:pPr>
      <w:r>
        <w:t>3.5. Quy trình huấn luyện có thể tái lập</w:t>
      </w:r>
    </w:p>
    <w:p>
      <w:pPr>
        <w:pStyle w:val="ListNumber"/>
        <w:keepLines/>
        <w:spacing w:after="40"/>
        <w:ind w:left="397" w:hanging="198"/>
      </w:pPr>
      <w:r>
        <w:rPr>
          <w:rFonts w:ascii="Times New Roman" w:hAnsi="Times New Roman" w:eastAsia="Times New Roman"/>
          <w:b w:val="0"/>
          <w:i w:val="0"/>
          <w:color w:val="23313F"/>
          <w:sz w:val="19"/>
        </w:rPr>
        <w:t>Đọc phân vùng chính thức PhishVN; lấy train và validation làm phần PhishVN dùng fit, giữ test ngoài huấn luyện.</w:t>
      </w:r>
    </w:p>
    <w:p>
      <w:pPr>
        <w:pStyle w:val="ListNumber"/>
        <w:keepLines/>
        <w:spacing w:after="40"/>
        <w:ind w:left="397" w:hanging="198"/>
      </w:pPr>
      <w:r>
        <w:rPr>
          <w:rFonts w:ascii="Times New Roman" w:hAnsi="Times New Roman" w:eastAsia="Times New Roman"/>
          <w:b w:val="0"/>
          <w:i w:val="0"/>
          <w:color w:val="23313F"/>
          <w:sz w:val="19"/>
        </w:rPr>
        <w:t>Đọc URL/label từ archive PhiUSIIL, chuẩn hóa URL, đổi quy ước nhãn, loại xung đột, bản ghi trùng và domain thuộc test.</w:t>
      </w:r>
    </w:p>
    <w:p>
      <w:pPr>
        <w:pStyle w:val="ListNumber"/>
        <w:keepLines/>
        <w:spacing w:after="40"/>
        <w:ind w:left="397" w:hanging="198"/>
      </w:pPr>
      <w:r>
        <w:rPr>
          <w:rFonts w:ascii="Times New Roman" w:hAnsi="Times New Roman" w:eastAsia="Times New Roman"/>
          <w:b w:val="0"/>
          <w:i w:val="0"/>
          <w:color w:val="23313F"/>
          <w:sz w:val="19"/>
        </w:rPr>
        <w:t>Tạo cùng một thứ tự 55 đặc trưng cho hai nguồn; dùng 21 cột CompPhish đã phát hành cùng cờ suspicious-TLD và ba feature obfuscation.</w:t>
      </w:r>
    </w:p>
    <w:p>
      <w:pPr>
        <w:pStyle w:val="ListNumber"/>
        <w:keepLines/>
        <w:spacing w:after="40"/>
        <w:ind w:left="397" w:hanging="198"/>
      </w:pPr>
      <w:r>
        <w:rPr>
          <w:rFonts w:ascii="Times New Roman" w:hAnsi="Times New Roman" w:eastAsia="Times New Roman"/>
          <w:b w:val="0"/>
          <w:i w:val="0"/>
          <w:color w:val="23313F"/>
          <w:sz w:val="19"/>
        </w:rPr>
        <w:t>Tạo sample weight bảo đảm mỗi nguồn có tổng trọng số bằng nhau, và hai lớp benign/phishing cân bằng trong từng nguồn.</w:t>
      </w:r>
    </w:p>
    <w:p>
      <w:pPr>
        <w:pStyle w:val="ListNumber"/>
        <w:keepLines/>
        <w:spacing w:after="40"/>
        <w:ind w:left="397" w:hanging="198"/>
      </w:pPr>
      <w:r>
        <w:rPr>
          <w:rFonts w:ascii="Times New Roman" w:hAnsi="Times New Roman" w:eastAsia="Times New Roman"/>
          <w:b w:val="0"/>
          <w:i w:val="0"/>
          <w:color w:val="23313F"/>
          <w:sz w:val="19"/>
        </w:rPr>
        <w:t>Fit bốn estimator với random seed 42; đánh giá đồng nhất trên 6.624 URL test PhishVN; ghi accuracy, precision/recall/F1 phishing, ROC-AUC và confusion matrix.</w:t>
      </w:r>
    </w:p>
    <w:p>
      <w:pPr>
        <w:pStyle w:val="Heading2"/>
        <w:keepNext/>
        <w:spacing w:before="80" w:after="40"/>
      </w:pPr>
      <w:r>
        <w:t>3.6. Kiến trúc suy luận trình duyệt</w:t>
      </w:r>
    </w:p>
    <w:p>
      <w:pPr>
        <w:keepLines/>
        <w:spacing w:after="100"/>
        <w:ind w:firstLine="454"/>
      </w:pPr>
      <w:r>
        <w:rPr>
          <w:rFonts w:ascii="Times New Roman" w:hAnsi="Times New Roman" w:eastAsia="Times New Roman"/>
          <w:b w:val="0"/>
          <w:i w:val="0"/>
          <w:color w:val="23313F"/>
          <w:sz w:val="19"/>
        </w:rPr>
        <w:t>`scripts/export_browser_model.py` tuần tự hóa danh sách feature và biểu diễn có thể thực thi: mỗi cây Random Forest/Gradient Boosting thành mảng left/right child, feature index, threshold và output; Logistic Regression/SVM mang mean, scale, coefficient, intercept; SVM kèm tham số sigmoid calibration. Bundle cũng chứa public suffix rules và cơ sở dữ liệu tham chiếu. `browser-model.js` tính feature trên chuỗi, đi qua cây, chuẩn hóa linear score và áp sigmoid; đây là thực thi tham số đã fit, không gọi Python hay backend.</w:t>
      </w:r>
    </w:p>
    <w:p>
      <w:pPr>
        <w:keepLines/>
        <w:spacing w:after="100"/>
        <w:ind w:firstLine="454"/>
      </w:pPr>
      <w:r>
        <w:rPr>
          <w:rFonts w:ascii="Times New Roman" w:hAnsi="Times New Roman" w:eastAsia="Times New Roman"/>
          <w:b w:val="0"/>
          <w:i w:val="0"/>
          <w:color w:val="23313F"/>
          <w:sz w:val="19"/>
        </w:rPr>
        <w:t>Tính riêng tư cần diễn đạt có điều kiện: luồng local-only không gửi URL ra ngoài, nhưng dữ liệu mô hình và kho tham chiếu được tải cùng ứng dụng; khi bật live inspection, URL được gửi đến Google DNS-over-HTTPS và dịch vụ metadata/preview. Do đó sản phẩm không bảo đảm “tuyệt đối riêng tư” trong mọi chế độ; người dùng phải tránh đưa token, thông tin đăng nhập hoặc URL bí mật vào công cụ.</w:t>
      </w:r>
    </w:p>
    <w:p>
      <w:pPr>
        <w:pStyle w:val="Heading2"/>
        <w:keepNext/>
        <w:spacing w:before="80" w:after="40"/>
      </w:pPr>
      <w:r>
        <w:t>3.7. Tra cứu cơ sở dữ liệu tham chiếu và thứ tự kết luận</w:t>
      </w:r>
    </w:p>
    <w:p>
      <w:pPr>
        <w:keepLines/>
        <w:spacing w:after="100"/>
        <w:ind w:firstLine="454"/>
      </w:pPr>
      <w:r>
        <w:rPr>
          <w:rFonts w:ascii="Times New Roman" w:hAnsi="Times New Roman" w:eastAsia="Times New Roman"/>
          <w:b w:val="0"/>
          <w:i w:val="0"/>
          <w:color w:val="23313F"/>
          <w:sz w:val="19"/>
        </w:rPr>
        <w:t>Cơ sở dữ liệu tham chiếu so khớp URL chuẩn hóa, hostname đã biết hoặc chữ ký đặc trưng không va chạm nhãn benign. Chỉ mục triển khai được tạo từ tập dữ liệu PhishVN đã trích dẫn: 19.909 khóa URL phishing, 19.859 hostname phishing độc quyền và 4.461 chữ ký đặc trưng riêng biệt. Kết quả khớp được trình bày riêng với metric held-out; các điểm số bốn mô hình vẫn hiển thị để phân biệt tra cứu trực tiếp với dự đoán. Không tìm thấy trong cơ sở dữ liệu chỉ có nghĩa là không có bản ghi khớp, không phải bằng chứng URL an toàn.</w:t>
      </w:r>
    </w:p>
    <w:p>
      <w:pPr>
        <w:pStyle w:val="Heading2"/>
        <w:keepNext/>
        <w:spacing w:before="80" w:after="40"/>
      </w:pPr>
      <w:r>
        <w:t>3.8. Chuẩn hóa URL và các chức năng chính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cơ sở dữ liệu + đối chiếu đặc trưng</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chính xác → hostname đã biết → chữ ký đặc trưng độc quyền.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quả chỉ phản ánh bản ghi khớp; chữ ký đặc trưng có độ bao phủ và khả năng va chạm phụ thuộc thiết kế kho.</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đối chiếu</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tập dữ liệu tham chiếu, hiển thị dưới dạng văn bản.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before="0" w:after="0" w:line="40" w:lineRule="exact"/>
      </w:pPr>
    </w:p>
    <w:p>
      <w:pPr>
        <w:pStyle w:val="Heading2"/>
        <w:keepNext/>
        <w:spacing w:before="80" w:after="40"/>
      </w:pPr>
      <w:r>
        <w:t>3.9. Phân tích tín hiệu, mức rủi ro và giao diện</w:t>
      </w:r>
    </w:p>
    <w:p>
      <w:pPr>
        <w:keepLines/>
        <w:spacing w:after="100"/>
        <w:ind w:firstLine="454"/>
      </w:pPr>
      <w:r>
        <w:rPr>
          <w:rFonts w:ascii="Times New Roman" w:hAnsi="Times New Roman" w:eastAsia="Times New Roman"/>
          <w:b w:val="0"/>
          <w:i w:val="0"/>
          <w:color w:val="23313F"/>
          <w:sz w:val="19"/>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19"/>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Kết quả khớp cơ sở dữ liệu và Easter egg có nhánh ghi đè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19"/>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80" w:after="4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9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before="0" w:after="0" w:line="40" w:lineRule="exact"/>
      </w:pPr>
    </w:p>
    <w:p>
      <w:pPr>
        <w:pStyle w:val="Heading2"/>
        <w:keepNext/>
        <w:spacing w:before="80" w:after="40"/>
      </w:pPr>
      <w:r>
        <w:t>3.11. Lưu đồ vận hành</w:t>
      </w:r>
    </w:p>
    <w:p>
      <w:pPr>
        <w:keepLines/>
        <w:spacing w:after="100"/>
        <w:ind w:firstLine="454"/>
      </w:pPr>
      <w:r>
        <w:rPr>
          <w:rFonts w:ascii="Times New Roman" w:hAnsi="Times New Roman" w:eastAsia="Times New Roman"/>
          <w:b w:val="0"/>
          <w:i w:val="0"/>
          <w:color w:val="23313F"/>
          <w:sz w:val="19"/>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688000" cy="1220588"/>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3.1. Pipeline từ nhập URL đến hiển thị; kiểm tra mạng là nhánh tùy chọn sau khi đồng ý.</w:t>
      </w:r>
    </w:p>
    <w:p>
      <w:pPr>
        <w:pStyle w:val="Heading1"/>
        <w:keepNext/>
        <w:spacing w:before="120" w:after="40"/>
      </w:pPr>
      <w:r>
        <w:t>CHƯƠNG 4. KẾT QUẢ THỬ NGHIỆM VÀ THẢO LUẬN</w:t>
      </w:r>
    </w:p>
    <w:p>
      <w:pPr>
        <w:pStyle w:val="Heading2"/>
        <w:keepNext/>
        <w:spacing w:before="80" w:after="40"/>
      </w:pPr>
      <w:r>
        <w:t>4.1. Giao thức đánh giá và định nghĩa chỉ số</w:t>
      </w:r>
    </w:p>
    <w:p>
      <w:pPr>
        <w:keepLines/>
        <w:spacing w:after="100"/>
        <w:ind w:firstLine="454"/>
      </w:pPr>
      <w:r>
        <w:rPr>
          <w:rFonts w:ascii="Times New Roman" w:hAnsi="Times New Roman" w:eastAsia="Times New Roman"/>
          <w:b w:val="0"/>
          <w:i w:val="0"/>
          <w:color w:val="23313F"/>
          <w:sz w:val="19"/>
        </w:rPr>
        <w:t>Mỗi bộ phân loại được fit trên cùng 261.299 mẫu với cùng 55 cột đặc trưng và đánh giá trên cùng 6.624 mẫu PhishVN test chưa tham gia huấn luyện. Test gồm 3.825 benign và 2.799 phishing. Precision = TP/(TP+FP), recall = TP/(TP+FN), F1 = 2 × precision × recall/(precision+recall); các chỉ số này trong bảng dành cho lớp phishing. Ma trận nhầm lẫn trình bày theo thứ tự TN/FP/FN/TP. Accuracy là tỷ lệ dự đoán đúng trên toàn tập; ROC-AUC đo khả năng xếp hạng qua nhiều ngưỡng, không thay thế đánh giá ngưỡng quyết định. Số liệu được đọc từ artefact metric và báo cáo đánh giá trong repository (SafeWeb project, 2026).</w:t>
      </w:r>
    </w:p>
    <w:p>
      <w:pPr>
        <w:pStyle w:val="Heading2"/>
        <w:keepNext/>
        <w:spacing w:before="80" w:after="40"/>
      </w:pPr>
      <w:r>
        <w:t>4.2. Kết quả định lượng bốn mô hình</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64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Gradient Boosting có accuracy 0,8789 và F1 phishing 0,8697; recall 0,9561 tương ứng 2.676/2.799 phishing phát hiện đúng, song false positive là 679. Random Forest đạt recall 0,9232, F1 0,8615 và ít false negative hơn một số baseline tuyến tính. Logistic Regression có F1 0,8371. SVM giữ 3.825 benign đúng và không có false positive ở ngưỡng phân loại hiện tại, nhưng bỏ sót 2.779/2.799 phishing; accuracy 0,5805 và F1 phishing 0,0142 khiến nhãn SVM hiện tại không thể xem là hữu ích. ROC-AUC SVM 0,9308 gợi ý khả năng xếp hạng khác với ngưỡng hoạt động, nhưng cần khảo sát calibration/threshold trên validation trước khi thay đổi.</w:t>
      </w:r>
    </w:p>
    <w:p>
      <w:pPr>
        <w:pStyle w:val="Heading2"/>
        <w:keepNext/>
        <w:spacing w:before="80" w:after="40"/>
      </w:pPr>
      <w:r>
        <w:t>4.3. Phân tích sai số và độ tin cậy</w:t>
      </w:r>
    </w:p>
    <w:p>
      <w:pPr>
        <w:keepLines/>
        <w:spacing w:after="100"/>
        <w:ind w:firstLine="454"/>
      </w:pPr>
      <w:r>
        <w:rPr>
          <w:rFonts w:ascii="Times New Roman" w:hAnsi="Times New Roman" w:eastAsia="Times New Roman"/>
          <w:b w:val="0"/>
          <w:i w:val="0"/>
          <w:color w:val="23313F"/>
          <w:sz w:val="19"/>
        </w:rPr>
        <w:t>False negative là URL phishing bị gán benign; đây là loại sai số có thể làm người dùng mất cảnh giác. False positive làm URL hợp lệ bị cảnh báo, có thể gây mệt mỏi cảnh báo. Gradient Boosting giảm FN xuống 123 nhưng có 679 FP; Logistic Regression có 341 FN và 616 FP. SVM ưu tiên precision 1,0 trên 20 dự đoán phishing nhưng chỉ phát hiện 20 trường hợp, vì vậy precision cao ở đây không đại diện cho khả năng phát hiện tổng quát.</w:t>
      </w:r>
    </w:p>
    <w:p>
      <w:pPr>
        <w:keepLines/>
        <w:spacing w:after="100"/>
        <w:ind w:firstLine="454"/>
      </w:pPr>
      <w:r>
        <w:rPr>
          <w:rFonts w:ascii="Times New Roman" w:hAnsi="Times New Roman" w:eastAsia="Times New Roman"/>
          <w:b w:val="0"/>
          <w:i w:val="0"/>
          <w:color w:val="23313F"/>
          <w:sz w:val="19"/>
        </w:rPr>
        <w:t>Các chỉ số là hiệu năng trên một corpus có quy trình gán nhãn và phân vùng cụ thể. Chúng không đo calibration xác suất, không phản ánh phân phối URL triển khai, không đo khả năng chống né tránh/adversarial và không chứng minh quan hệ nhân quả giữa từng đặc trưng với phishing. Phân vùng domain-disjoint làm giảm rò rỉ cùng tên miền nhưng không loại bỏ mọi dạng trùng chiến dịch, nguồn feed hoặc drift theo thời gian.</w:t>
      </w:r>
    </w:p>
    <w:p>
      <w:pPr>
        <w:pStyle w:val="Heading2"/>
        <w:keepNext/>
        <w:spacing w:before="80" w:after="40"/>
      </w:pPr>
      <w:r>
        <w:t>4.4. Đối chiếu Python–JavaScript</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Parity là xác minh kỹ thuật hai hiện thực đang dùng cùng công thức/parameters với các ca đã chọn, không phải bằng chứng mô hình đúng về mặt bảo mật. Test suite mới chạy trên bộ ca được lưu trong repository; cần bổ sung URL IDN, IPv6, user-info, query lồng nhiều tầng, public suffix hiếm và URL adversarial trước khi coi độ bao phủ là rộng.</w:t>
      </w:r>
    </w:p>
    <w:p>
      <w:pPr>
        <w:pStyle w:val="Heading2"/>
        <w:keepNext/>
        <w:spacing w:before="80" w:after="40"/>
      </w:pPr>
      <w:r>
        <w:t>4.5. Kiểm thử phần mềm và build</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keepLines/>
        <w:jc w:val="center"/>
      </w:pPr>
      <w:r>
        <w:drawing>
          <wp:inline xmlns:a="http://schemas.openxmlformats.org/drawingml/2006/main" xmlns:pic="http://schemas.openxmlformats.org/drawingml/2006/picture">
            <wp:extent cx="5400000" cy="2171591"/>
            <wp:docPr id="2" name="Picture 2"/>
            <wp:cNvGraphicFramePr>
              <a:graphicFrameLocks noChangeAspect="1"/>
            </wp:cNvGraphicFramePr>
            <a:graphic>
              <a:graphicData uri="http://schemas.openxmlformats.org/drawingml/2006/picture">
                <pic:pic>
                  <pic:nvPicPr>
                    <pic:cNvPr id="0" name="test-evidence.png"/>
                    <pic:cNvPicPr/>
                  </pic:nvPicPr>
                  <pic:blipFill>
                    <a:blip r:embed="rId12"/>
                    <a:stretch>
                      <a:fillRect/>
                    </a:stretch>
                  </pic:blipFill>
                  <pic:spPr>
                    <a:xfrm>
                      <a:off x="0" y="0"/>
                      <a:ext cx="5400000" cy="2171591"/>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4.3. Tổng hợp bằng chứng kiểm thử thực thi cục bộ; không phải ảnh chụp terminal.</w:t>
      </w:r>
    </w:p>
    <w:p>
      <w:pPr>
        <w:pStyle w:val="Heading2"/>
        <w:keepNext/>
        <w:spacing w:before="80" w:after="40"/>
      </w:pPr>
      <w:r>
        <w:t>4.6. Hướng dẫn thao tác và giao diện thực tế</w:t>
      </w:r>
    </w:p>
    <w:p>
      <w:pPr>
        <w:keepLines/>
        <w:spacing w:after="100"/>
      </w:pPr>
      <w:r>
        <w:rPr>
          <w:rFonts w:ascii="Times New Roman" w:hAnsi="Times New Roman" w:eastAsia="Times New Roman"/>
          <w:b w:val="0"/>
          <w:i w:val="0"/>
          <w:color w:val="23313F"/>
          <w:sz w:val="19"/>
        </w:rPr>
        <w:t>Các bước dưới đây mô tả luồng thao tác an toàn trên backend Flask tại `http://127.0.0.1:5000/`. Ảnh trang chủ được chụp từ ứng dụng đang chạy; URL ví dụ không chứa thông tin đăng nhập.</w:t>
      </w:r>
    </w:p>
    <w:p>
      <w:pPr>
        <w:pStyle w:val="ListNumber"/>
        <w:keepLines/>
        <w:spacing w:after="40"/>
        <w:ind w:left="397" w:hanging="198"/>
      </w:pPr>
      <w:r>
        <w:rPr>
          <w:rFonts w:ascii="Times New Roman" w:hAnsi="Times New Roman" w:eastAsia="Times New Roman"/>
          <w:b w:val="0"/>
          <w:i w:val="0"/>
          <w:color w:val="23313F"/>
          <w:sz w:val="19"/>
        </w:rPr>
        <w:t>Nhập URL cần kiểm tra; xem dòng URL đã chuẩn hóa trước khi phân tích. Không dán URL riêng tư, token hoặc mật khẩu.</w:t>
      </w:r>
    </w:p>
    <w:p>
      <w:pPr>
        <w:pStyle w:val="ListNumber"/>
        <w:keepLines/>
        <w:spacing w:after="40"/>
        <w:ind w:left="397" w:hanging="198"/>
      </w:pPr>
      <w:r>
        <w:rPr>
          <w:rFonts w:ascii="Times New Roman" w:hAnsi="Times New Roman" w:eastAsia="Times New Roman"/>
          <w:b w:val="0"/>
          <w:i w:val="0"/>
          <w:color w:val="23313F"/>
          <w:sz w:val="19"/>
        </w:rPr>
        <w:t>Mặc định SafeWeb chỉ phân tích cục bộ. Chỉ bật kiểm tra trực tuyến nếu chấp nhận gửi URL tới các dịch vụ DNS/preview được nêu trong giao diện.</w:t>
      </w:r>
    </w:p>
    <w:p>
      <w:pPr>
        <w:pStyle w:val="ListNumber"/>
        <w:keepLines/>
        <w:spacing w:after="40"/>
        <w:ind w:left="397" w:hanging="198"/>
      </w:pPr>
      <w:r>
        <w:rPr>
          <w:rFonts w:ascii="Times New Roman" w:hAnsi="Times New Roman" w:eastAsia="Times New Roman"/>
          <w:b w:val="0"/>
          <w:i w:val="0"/>
          <w:color w:val="23313F"/>
          <w:sz w:val="19"/>
        </w:rPr>
        <w:t>Chọn Phân tích URL; đọc riêng kết quả tra cứu cơ sở dữ liệu, xác suất từng mô hình, mức rủi ro, tín hiệu và khuyến nghị. Mức rủi ro thấp không chứng nhận trang an toàn.</w:t>
      </w:r>
    </w:p>
    <w:p>
      <w:pPr>
        <w:pStyle w:val="ListNumber"/>
        <w:keepLines/>
        <w:spacing w:after="40"/>
        <w:ind w:left="397" w:hanging="198"/>
      </w:pPr>
      <w:r>
        <w:rPr>
          <w:rFonts w:ascii="Times New Roman" w:hAnsi="Times New Roman" w:eastAsia="Times New Roman"/>
          <w:b w:val="0"/>
          <w:i w:val="0"/>
          <w:color w:val="23313F"/>
          <w:sz w:val="19"/>
        </w:rPr>
        <w:t>Mở Cơ sở dữ liệu URL để tìm/lọc bản ghi; URL trong kho được hiển thị để tham khảo, không cần mở trang đích.</w:t>
      </w:r>
    </w:p>
    <w:p>
      <w:pPr>
        <w:keepLines/>
        <w:jc w:val="center"/>
      </w:pPr>
      <w:r>
        <w:drawing>
          <wp:inline xmlns:a="http://schemas.openxmlformats.org/drawingml/2006/main" xmlns:pic="http://schemas.openxmlformats.org/drawingml/2006/picture">
            <wp:extent cx="5400000" cy="5912195"/>
            <wp:docPr id="3" name="Picture 3"/>
            <wp:cNvGraphicFramePr>
              <a:graphicFrameLocks noChangeAspect="1"/>
            </wp:cNvGraphicFramePr>
            <a:graphic>
              <a:graphicData uri="http://schemas.openxmlformats.org/drawingml/2006/picture">
                <pic:pic>
                  <pic:nvPicPr>
                    <pic:cNvPr id="0" name="homepage.png"/>
                    <pic:cNvPicPr/>
                  </pic:nvPicPr>
                  <pic:blipFill>
                    <a:blip r:embed="rId13"/>
                    <a:stretch>
                      <a:fillRect/>
                    </a:stretch>
                  </pic:blipFill>
                  <pic:spPr>
                    <a:xfrm>
                      <a:off x="0" y="0"/>
                      <a:ext cx="5400000" cy="5912195"/>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4.4. Giao diện trang chủ SafeWeb trên backend Flask.</w:t>
      </w:r>
    </w:p>
    <w:p>
      <w:pPr>
        <w:pStyle w:val="Heading2"/>
        <w:keepNext/>
        <w:spacing w:before="80" w:after="40"/>
      </w:pPr>
      <w:r>
        <w:t>4.7. Tính năng bổ sung và ranh giới tin cậy</w:t>
      </w:r>
    </w:p>
    <w:p>
      <w:pPr>
        <w:keepLines/>
        <w:spacing w:after="100"/>
        <w:ind w:firstLine="454"/>
      </w:pPr>
      <w:r>
        <w:rPr>
          <w:rFonts w:ascii="Times New Roman" w:hAnsi="Times New Roman" w:eastAsia="Times New Roman"/>
          <w:b w:val="0"/>
          <w:i w:val="0"/>
          <w:color w:val="23313F"/>
          <w:sz w:val="19"/>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120" w:after="40"/>
      </w:pPr>
      <w:r>
        <w:t>CHƯƠNG 5. ĐÁNH GIÁ SẢN PHẨM, KẾT LUẬN VÀ KIẾN NGHỊ</w:t>
      </w:r>
    </w:p>
    <w:p>
      <w:pPr>
        <w:pStyle w:val="Heading2"/>
        <w:keepNext/>
        <w:spacing w:before="80" w:after="40"/>
      </w:pPr>
      <w:r>
        <w:t>5.1. Mức độ đạt mục tiêu kỹ thuật</w:t>
      </w:r>
    </w:p>
    <w:p>
      <w:pPr>
        <w:keepLines/>
        <w:spacing w:after="100"/>
        <w:ind w:firstLine="454"/>
      </w:pPr>
      <w:r>
        <w:rPr>
          <w:rFonts w:ascii="Times New Roman" w:hAnsi="Times New Roman" w:eastAsia="Times New Roman"/>
          <w:b w:val="0"/>
          <w:i w:val="0"/>
          <w:color w:val="23313F"/>
          <w:sz w:val="19"/>
        </w:rPr>
        <w:t>Nguyên mẫu hoàn thành luồng phân tích URL cục bộ, tra cứu cơ sở dữ liệu tham chiếu, trích xuất schema 55 feature, suy luận bốn mô hình trên trình duyệt, giao diện đa ngôn ngữ, explorer dữ liệu và nhánh kiểm tra DNS/redirect có đồng ý. Kiểm thử parity và build cung cấp bằng chứng triển khai nhất quán trên phạm vi đã định. Tuy vậy, kết quả SVM cho thấy ensemble hiện tại chưa đủ căn cứ để được mô tả là đồng thuận chất lượng đồng đều; cần ưu tiên sửa calibration hoặc ngưỡng dựa trên validation và báo cáo lại trên test độc lập sau khi khóa quy trình.</w:t>
      </w:r>
    </w:p>
    <w:p>
      <w:pPr>
        <w:pStyle w:val="Heading2"/>
        <w:keepNext/>
        <w:spacing w:before="80" w:after="40"/>
      </w:pPr>
      <w:r>
        <w:t>5.2. Kết luận</w:t>
      </w:r>
    </w:p>
    <w:p>
      <w:pPr>
        <w:keepLines/>
        <w:spacing w:after="100"/>
        <w:ind w:firstLine="454"/>
      </w:pPr>
      <w:r>
        <w:rPr>
          <w:rFonts w:ascii="Times New Roman" w:hAnsi="Times New Roman" w:eastAsia="Times New Roman"/>
          <w:b w:val="0"/>
          <w:i w:val="0"/>
          <w:color w:val="23313F"/>
          <w:sz w:val="19"/>
        </w:rPr>
        <w:t>SafeWeb chứng minh tính khả thi của nguyên mẫu cảnh báo sớm dựa trên URL, xử lý cục bộ mặc định, cơ sở dữ liệu tham chiếu và bốn mô hình. Trên tập kiểm thử giữ riêng, Gradient Boosting đạt F1 phishing 0,8697 và recall 0,9561; SVM ở ngưỡng hiện tại gần như không phát hiện lớp phishing. Hệ thống phù hợp làm công cụ giáo dục và sàng lọc tham khảo, không phải bộ bảo vệ hoàn chỉnh hay chứng nhận tính an toàn của URL.</w:t>
      </w:r>
    </w:p>
    <w:p>
      <w:pPr>
        <w:pStyle w:val="Heading2"/>
        <w:keepNext/>
        <w:spacing w:before="80" w:after="40"/>
      </w:pPr>
      <w:r>
        <w:t>5.3. Hạn chế</w:t>
      </w:r>
    </w:p>
    <w:p>
      <w:pPr>
        <w:pStyle w:val="ListBullet"/>
        <w:keepLines/>
        <w:spacing w:after="40"/>
        <w:ind w:left="397" w:hanging="198"/>
      </w:pPr>
      <w:r>
        <w:rPr>
          <w:rFonts w:ascii="Times New Roman" w:hAnsi="Times New Roman" w:eastAsia="Times New Roman"/>
          <w:b w:val="0"/>
          <w:i w:val="0"/>
          <w:color w:val="23313F"/>
          <w:sz w:val="19"/>
        </w:rPr>
        <w:t>SVM calibration/decision threshold cần được sửa theo validation; không lựa chọn threshold trên tập test rồi báo cùng test như đánh giá độc lập.</w:t>
      </w:r>
    </w:p>
    <w:p>
      <w:pPr>
        <w:pStyle w:val="ListBullet"/>
        <w:keepLines/>
        <w:spacing w:after="40"/>
        <w:ind w:left="397" w:hanging="198"/>
      </w:pPr>
      <w:r>
        <w:rPr>
          <w:rFonts w:ascii="Times New Roman" w:hAnsi="Times New Roman" w:eastAsia="Times New Roman"/>
          <w:b w:val="0"/>
          <w:i w:val="0"/>
          <w:color w:val="23313F"/>
          <w:sz w:val="19"/>
        </w:rPr>
        <w:t>Cơ sở dữ liệu phụ thuộc coverage, thời điểm phát hiện và chất lượng nhãn của nguồn; không match không đồng nghĩa an toàn.</w:t>
      </w:r>
    </w:p>
    <w:p>
      <w:pPr>
        <w:pStyle w:val="ListBullet"/>
        <w:keepLines/>
        <w:spacing w:after="40"/>
        <w:ind w:left="397" w:hanging="198"/>
      </w:pPr>
      <w:r>
        <w:rPr>
          <w:rFonts w:ascii="Times New Roman" w:hAnsi="Times New Roman" w:eastAsia="Times New Roman"/>
          <w:b w:val="0"/>
          <w:i w:val="0"/>
          <w:color w:val="23313F"/>
          <w:sz w:val="19"/>
        </w:rPr>
        <w:t>Đặc trưng chủ yếu dựa trên URL, không phân tích nội dung trang, chứng thư, tuổi domain, reputation feed hoặc hành vi script.</w:t>
      </w:r>
    </w:p>
    <w:p>
      <w:pPr>
        <w:pStyle w:val="ListBullet"/>
        <w:keepLines/>
        <w:spacing w:after="40"/>
        <w:ind w:left="397" w:hanging="198"/>
      </w:pPr>
      <w:r>
        <w:rPr>
          <w:rFonts w:ascii="Times New Roman" w:hAnsi="Times New Roman" w:eastAsia="Times New Roman"/>
          <w:b w:val="0"/>
          <w:i w:val="0"/>
          <w:color w:val="23313F"/>
          <w:sz w:val="19"/>
        </w:rPr>
        <w:t>Tín hiệu từ khóa có thể tạo thiên lệch ngôn ngữ và false positive; danh sách hiện tại chỉ gồm tám substring.</w:t>
      </w:r>
    </w:p>
    <w:p>
      <w:pPr>
        <w:pStyle w:val="ListBullet"/>
        <w:keepLines/>
        <w:spacing w:after="40"/>
        <w:ind w:left="397" w:hanging="198"/>
      </w:pPr>
      <w:r>
        <w:rPr>
          <w:rFonts w:ascii="Times New Roman" w:hAnsi="Times New Roman" w:eastAsia="Times New Roman"/>
          <w:b w:val="0"/>
          <w:i w:val="0"/>
          <w:color w:val="23313F"/>
          <w:sz w:val="19"/>
        </w:rPr>
        <w:t>Tách domain không loại hết rò rỉ chiến dịch/nguồn, và dữ liệu benchmark không đại diện mọi quốc gia, ngôn ngữ hay thời điểm.</w:t>
      </w:r>
    </w:p>
    <w:p>
      <w:pPr>
        <w:pStyle w:val="ListBullet"/>
        <w:keepLines/>
        <w:spacing w:after="40"/>
        <w:ind w:left="397" w:hanging="198"/>
      </w:pPr>
      <w:r>
        <w:rPr>
          <w:rFonts w:ascii="Times New Roman" w:hAnsi="Times New Roman" w:eastAsia="Times New Roman"/>
          <w:b w:val="0"/>
          <w:i w:val="0"/>
          <w:color w:val="23313F"/>
          <w:sz w:val="19"/>
        </w:rPr>
        <w:t>Live inspection gửi URL tới dịch vụ ngoài sau đồng ý; CORS, rate limit, DNS cache và dịch vụ preview làm kết quả không ổn định.</w:t>
      </w:r>
    </w:p>
    <w:p>
      <w:pPr>
        <w:pStyle w:val="ListBullet"/>
        <w:keepLines/>
        <w:spacing w:after="40"/>
        <w:ind w:left="397" w:hanging="198"/>
      </w:pPr>
      <w:r>
        <w:rPr>
          <w:rFonts w:ascii="Times New Roman" w:hAnsi="Times New Roman" w:eastAsia="Times New Roman"/>
          <w:b w:val="0"/>
          <w:i w:val="0"/>
          <w:color w:val="23313F"/>
          <w:sz w:val="19"/>
        </w:rPr>
        <w:t>Chưa có thử nghiệm usability có người tham gia, đánh giá accessibility độc lập hay đo thời gian/chi phí vận hành trên thiết bị yếu.</w:t>
      </w:r>
    </w:p>
    <w:p>
      <w:pPr>
        <w:pStyle w:val="Heading2"/>
        <w:keepNext/>
        <w:spacing w:before="80" w:after="4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19"/>
        </w:rPr>
        <w:t>Phiên bản tiếp theo có thể chuyển từ website phân tích theo yêu cầu sang tiện ích mở rộng trình duyệt. Một content script sẽ lấy các anchor đang hiện trong viewport, canonicalize URL, khử trùng, gửi chuỗi qua bộ suy luận cục bộ và gắn cảnh báo không chặn trang. Khi cuộn, IntersectionObserver có thể xử lý incremental; chỉ cache hash/feature cần thiết và giới hạn số URL mỗi nhịp để tránh làm chậm trang.</w:t>
      </w:r>
    </w:p>
    <w:p>
      <w:pPr>
        <w:keepLines/>
        <w:spacing w:after="100"/>
        <w:ind w:firstLine="454"/>
      </w:pPr>
      <w:r>
        <w:rPr>
          <w:rFonts w:ascii="Times New Roman" w:hAnsi="Times New Roman" w:eastAsia="Times New Roman"/>
          <w:b w:val="0"/>
          <w:i w:val="0"/>
          <w:color w:val="23313F"/>
          <w:sz w:val="19"/>
        </w:rPr>
        <w:t>Thiết kế phải mặc định không gửi URL ra ngoài, không đọc nội dung form hoặc trường mật khẩu, không thay đổi đích liên kết, không tự chặn click nếu chưa có cơ sở, và giải thích mức tin cậy bằng lý do cụ thể. Quyền extension cần giới hạn tối thiểu; người dùng cần bật rõ chế độ quét trang, có pause/allowlist, và biết URL của trang hiện tại có thể chứa dữ liệu nhạy cảm. Kiểm thử tương lai cần đo độ bao phủ viewport, latency, false positive, pin/CPU trên trang nhiều liên kết, tương thích SPA và khả năng khôi phục thao tác của người dùng.</w:t>
      </w:r>
    </w:p>
    <w:p>
      <w:pPr>
        <w:pStyle w:val="Heading2"/>
        <w:keepNext/>
        <w:spacing w:before="80" w:after="40"/>
      </w:pPr>
      <w:r>
        <w:t>5.5. Kế hoạch cải tiến theo giai đoạn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Giai đoạn</w:t>
            </w:r>
          </w:p>
        </w:tc>
        <w:tc>
          <w:tcPr>
            <w:tcW w:type="dxa" w:w="396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Công việc</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Tiêu chí nghiệm thu đề xuất</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V2.4 — hiệu chỉnh mô hình</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Khảo sát calibration/threshold SVM chỉ trên validation; so sánh ensemble có/không SVM.</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Khóa metric/threshold trước đánh giá test mới; báo cáo recall, precision, calibration và confusion matrix.</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V2.5 — giải thích và dữ liệu</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Mở rộng feature-level explanations, đánh giá URL IDN/adversarial, lưu provenance/version.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Mỗi lời giải thích ánh xạ tới phép đo thật; kiểm thử tiếng Việt và Unicode.</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V3 — browser extension thử nghiệm</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Quét viewport opt-in, batching, cache cục bộ và cảnh báo không chặn.</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gửi URL mặc định; permission audit; usability/performance test trước phát hành.</w:t>
            </w:r>
          </w:p>
        </w:tc>
      </w:tr>
    </w:tbl>
    <w:p>
      <w:pPr>
        <w:spacing w:before="0" w:after="0" w:line="40" w:lineRule="exact"/>
      </w:pPr>
    </w:p>
    <w:p>
      <w:pPr>
        <w:pStyle w:val="Heading1"/>
        <w:keepNext/>
        <w:spacing w:before="120" w:after="40"/>
      </w:pPr>
      <w:r>
        <w:t>TÀI LIỆU THAM KHẢO</w:t>
      </w:r>
    </w:p>
    <w:p>
      <w:pPr>
        <w:keepLines/>
        <w:spacing w:after="100"/>
        <w:ind w:left="454" w:hanging="454"/>
      </w:pPr>
      <w:r>
        <w:rPr>
          <w:rFonts w:ascii="Times New Roman" w:hAnsi="Times New Roman" w:eastAsia="Times New Roman"/>
          <w:b w:val="0"/>
          <w:i w:val="0"/>
          <w:color w:val="23313F"/>
          <w:sz w:val="19"/>
        </w:rPr>
        <w:t>Berners-Lee, T., Fielding, R., &amp; Masinter, L. (2005). Uniform Resource Identifier (URI): Generic syntax (RFC 3986). Internet Engineering Task Force. https://doi.org/10.17487/RFC3986</w:t>
      </w:r>
    </w:p>
    <w:p>
      <w:pPr>
        <w:keepLines/>
        <w:spacing w:after="100"/>
        <w:ind w:left="454" w:hanging="454"/>
      </w:pPr>
      <w:r>
        <w:rPr>
          <w:rFonts w:ascii="Times New Roman" w:hAnsi="Times New Roman" w:eastAsia="Times New Roman"/>
          <w:b w:val="0"/>
          <w:i w:val="0"/>
          <w:color w:val="23313F"/>
          <w:sz w:val="19"/>
        </w:rPr>
        <w:t>Breiman, L. (2001). Random forests. Machine Learning, 45, 5–32. https://doi.org/10.1023/A:1010933404324</w:t>
      </w:r>
    </w:p>
    <w:p>
      <w:pPr>
        <w:keepLines/>
        <w:spacing w:after="100"/>
        <w:ind w:left="454" w:hanging="454"/>
      </w:pPr>
      <w:r>
        <w:rPr>
          <w:rFonts w:ascii="Times New Roman" w:hAnsi="Times New Roman" w:eastAsia="Times New Roman"/>
          <w:b w:val="0"/>
          <w:i w:val="0"/>
          <w:color w:val="23313F"/>
          <w:sz w:val="19"/>
        </w:rPr>
        <w:t>Cortes, C., &amp; Vapnik, V. (1995). Support-vector networks. Machine Learning, 20, 273–297. https://doi.org/10.1007/BF00994018</w:t>
      </w:r>
    </w:p>
    <w:p>
      <w:pPr>
        <w:keepLines/>
        <w:spacing w:after="100"/>
        <w:ind w:left="454" w:hanging="454"/>
      </w:pPr>
      <w:r>
        <w:rPr>
          <w:rFonts w:ascii="Times New Roman" w:hAnsi="Times New Roman" w:eastAsia="Times New Roman"/>
          <w:b w:val="0"/>
          <w:i w:val="0"/>
          <w:color w:val="23313F"/>
          <w:sz w:val="19"/>
        </w:rPr>
        <w:t>Fielding, R., Nottingham, M., &amp; Reschke, J. (Eds.). (2022). HTTP semantics (RFC 9110). Internet Engineering Task Force. https://doi.org/10.17487/RFC9110</w:t>
      </w:r>
    </w:p>
    <w:p>
      <w:pPr>
        <w:keepLines/>
        <w:spacing w:after="100"/>
        <w:ind w:left="454" w:hanging="454"/>
      </w:pPr>
      <w:r>
        <w:rPr>
          <w:rFonts w:ascii="Times New Roman" w:hAnsi="Times New Roman" w:eastAsia="Times New Roman"/>
          <w:b w:val="0"/>
          <w:i w:val="0"/>
          <w:color w:val="23313F"/>
          <w:sz w:val="19"/>
        </w:rPr>
        <w:t>Friedman, J. H. (2001). Greedy function approximation: A gradient boosting machine. The Annals of Statistics, 29(5), 1189–1232. https://doi.org/10.1214/aos/1013203451</w:t>
      </w:r>
    </w:p>
    <w:p>
      <w:pPr>
        <w:keepLines/>
        <w:spacing w:after="100"/>
        <w:ind w:left="454" w:hanging="454"/>
      </w:pPr>
      <w:r>
        <w:rPr>
          <w:rFonts w:ascii="Times New Roman" w:hAnsi="Times New Roman" w:eastAsia="Times New Roman"/>
          <w:b w:val="0"/>
          <w:i w:val="0"/>
          <w:color w:val="23313F"/>
          <w:sz w:val="19"/>
        </w:rPr>
        <w:t>Mockapetris, P. (1987). Domain names—Implementation and specification (RFC 1035). Internet Engineering Task Force. https://doi.org/10.17487/RFC1035</w:t>
      </w:r>
    </w:p>
    <w:p>
      <w:pPr>
        <w:keepLines/>
        <w:spacing w:after="100"/>
        <w:ind w:left="454" w:hanging="454"/>
      </w:pPr>
      <w:r>
        <w:rPr>
          <w:rFonts w:ascii="Times New Roman" w:hAnsi="Times New Roman" w:eastAsia="Times New Roman"/>
          <w:b w:val="0"/>
          <w:i w:val="0"/>
          <w:color w:val="23313F"/>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100"/>
        <w:ind w:left="454" w:hanging="454"/>
      </w:pPr>
      <w:r>
        <w:rPr>
          <w:rFonts w:ascii="Times New Roman" w:hAnsi="Times New Roman" w:eastAsia="Times New Roman"/>
          <w:b w:val="0"/>
          <w:i w:val="0"/>
          <w:color w:val="23313F"/>
          <w:sz w:val="19"/>
        </w:rPr>
        <w:t>PhiUSIIL Phishing URL Dataset. (n.d.). URL and label archive used for source-balanced model fitting. Dataset attribution and audit recorded in SafeWeb ML Experiment Report.</w:t>
      </w:r>
    </w:p>
    <w:p>
      <w:pPr>
        <w:keepLines/>
        <w:spacing w:after="100"/>
        <w:ind w:left="454" w:hanging="454"/>
      </w:pPr>
      <w:r>
        <w:rPr>
          <w:rFonts w:ascii="Times New Roman" w:hAnsi="Times New Roman" w:eastAsia="Times New Roman"/>
          <w:b w:val="0"/>
          <w:i w:val="0"/>
          <w:color w:val="23313F"/>
          <w:sz w:val="19"/>
        </w:rPr>
        <w:t>SafeWeb. (2026). Tài liệu kỹ thuật, báo cáo thí nghiệm học máy, metrics.json, phishvn_domain_eval.json và mã nguồn [Tài liệu dự án và phần mềm].</w:t>
      </w:r>
    </w:p>
    <w:p>
      <w:pPr>
        <w:keepLines/>
        <w:spacing w:after="100"/>
        <w:ind w:left="454" w:hanging="454"/>
      </w:pPr>
      <w:r>
        <w:rPr>
          <w:rFonts w:ascii="Times New Roman" w:hAnsi="Times New Roman" w:eastAsia="Times New Roman"/>
          <w:b w:val="0"/>
          <w:i w:val="0"/>
          <w:color w:val="23313F"/>
          <w:sz w:val="19"/>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120" w:after="4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English term</w:t>
            </w:r>
          </w:p>
        </w:tc>
        <w:tc>
          <w:tcPr>
            <w:tcW w:type="dxa" w:w="255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Thuật ngữ tiếng Việt</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Ý nghĩa trong báo cáo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Lừa đảo trực tuyến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Trang/URL giả mạo nhằm chiếm đoạt thông tin hoặc dẫn dụ hành động.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(Uniform Resource Locator)</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định vị tài nguyên thống nhất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định vị tài nguyên web.</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Machine Learning (ML)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máy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Phương pháp học quy luật từ dữ liệu.</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Binary classification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nhị phân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lớp benign và phishing.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 feature vector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Đặc trưng / véc-tơ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giá trị số mô tả một URL theo thứ tự schema.</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extraction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Trích xuất đặc trưng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Tính các biến từ chuỗi URL và hồ sơ dữ liệu.</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Domain-disjoint split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biệt theo tên miền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để domain đăng ký không xuất hiện ở cả train và test.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inference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Suy luận trong trình duyệt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Thực thi mô hình JavaScript trên máy người dùng.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Ensemble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mô hình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hợp nhiều bộ phân loại; ở SafeWeb là trung bình xác suất.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Rừng ngẫu nhiên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cây quyết định lấy mẫu ngẫu nhiên.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Tăng cường gradient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tuần tự các bộ học yếu theo gradient mất mát.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Support Vector Machine (SVM)</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Máy véc-tơ hỗ trợ</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dựa trên biên phân tách; SafeWeb dùng LinearSVC.</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Hồi quy logistic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Mô hình tuyến tính xác suất dùng sigmoid.</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Calibration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Hiệu chuẩn xác suất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Ánh xạ score sang xác suất; không đảm bảo calibration hoàn hảo.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Threshold</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Ngưỡng quyết định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Ranh giới biến xác suất thành nhãn hoặc tier.</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Precision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chính xác dương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FP) cho lớp đang xét.</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Recall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bao phủ / độ nhạy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FN) cho lớp đang xét.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F1-score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Điểm F1</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Trung bình điều hòa của precision và recall.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ROC-AUC</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Diện tích dưới đường ROC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Đánh giá xếp hạng trên nhiều ngưỡng.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Confusion matrix</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 trận nhầm lẫn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Bảng đếm dự đoán đúng/sai theo lớp.</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False positive / false negative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Dương tính giả / âm tính giả</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Cảnh báo nhầm / bỏ sót URL phishing.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Canonicalization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Chuẩn hóa dạng chuẩn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Biến thể URL được quy về biểu diễn nhất quán.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Registrable domain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Tên miền có thể đăng ký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Phần domain cấp đăng ký theo public suffix rules.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Public Suffix List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Danh sách hậu tố công cộng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Quy tắc xác định ranh giới suffix và registrable domain.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 độ hỗn loạn ký tự</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phân bố thông tin ký tự theo Shannon; không phải mức độc hại.</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Percent-encoding</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Mã hóa phần trăm</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Biểu diễn byte bằng chuỗi `%xx` trong URL.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signature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Chữ ký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đặc trưng chuẩn hóa dùng đối chiếu chỉ mục.</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provenance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gốc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nhãn, thời điểm và lịch sử biến đổi của bản ghi.</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Held-out test set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Tập kiểm thử giữ riêng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không dùng trong fit/tuning chính.</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leakage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Rò rỉ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Thông tin test vô tình ảnh hưởng huấn luyện hoặc chọn mô hình.</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over HTTPS (DoH)</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HTTPS</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DNS qua giao thức HTTPS.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chain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chuyển hướng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Dãy đích URL qua các bước HTTP hoặc tham số nhúng.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Cross-Origin Resource Sharing (CORS)</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Chia sẻ tài nguyên khác nguồn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Chính sách trình duyệt có thể chặn đọc phản hồi cross-origin.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Metadata</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Siêu dữ liệu trang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Tiêu đề/mô tả/thuộc tính được dịch vụ preview trả về.</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Consent gate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Cổng đồng 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Bước yêu cầu người dùng cho phép trước khi chia sẻ URL.</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Parity check</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Kiểm tra tương đương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Đối chiếu đầu ra của hai hiện thực trên cùng bộ ca.</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Viewport scanner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quét vùng nhìn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Tiện ích phát hiện liên kết đang hiển thị trên khung nhìn.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Prototype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Nguyên mẫu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Phiên bản chứng minh tính khả thi, chưa phải sản phẩm chứng nhận.</w:t>
            </w:r>
          </w:p>
        </w:tc>
      </w:tr>
    </w:tbl>
    <w:p>
      <w:pPr>
        <w:spacing w:before="0" w:after="0" w:line="40" w:lineRule="exact"/>
      </w:pPr>
    </w:p>
    <w:p>
      <w:pPr>
        <w:pStyle w:val="Heading1"/>
        <w:keepNext/>
        <w:spacing w:before="120" w:after="40"/>
      </w:pPr>
      <w:r>
        <w:t>PHỤ LỤC B. QUY TRÌNH TÁI LẬP</w:t>
      </w:r>
    </w:p>
    <w:p>
      <w:pPr>
        <w:keepLines/>
        <w:spacing w:after="100"/>
      </w:pPr>
      <w:r>
        <w:rPr>
          <w:rFonts w:ascii="Times New Roman" w:hAnsi="Times New Roman" w:eastAsia="Times New Roman"/>
          <w:b w:val="0"/>
          <w:i w:val="0"/>
          <w:color w:val="23313F"/>
          <w:sz w:val="19"/>
        </w:rPr>
        <w:t>Tái lập theo thứ tự: `python scripts/prepare_phishvn_dataset.py` → `python scripts/train_phishvn_model.py` → `python scripts/export_browser_model.py` → `python scripts/compare_browser_model.py` → `python -m pytest -q` → `npm run test:browser` → `npm run build`. Cần có archive PhishVN/PhiUSIIL và các dependency tương ứng.</w:t>
      </w:r>
    </w:p>
    <w:p>
      <w:r>
        <w:br w:type="page"/>
      </w:r>
    </w:p>
    <w:p>
      <w:pPr>
        <w:spacing w:before="3400"/>
        <w:jc w:val="center"/>
      </w:pPr>
      <w:r>
        <w:rPr>
          <w:rFonts w:ascii="Times New Roman" w:hAnsi="Times New Roman" w:eastAsia="Times New Roman"/>
          <w:b/>
          <w:i w:val="0"/>
          <w:color w:val="17324D"/>
          <w:sz w:val="50"/>
        </w:rPr>
        <w:t>SAFEWEB</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2000" w:after="160"/>
        <w:jc w:val="center"/>
      </w:pPr>
      <w:r>
        <w:rPr>
          <w:rFonts w:ascii="Times New Roman" w:hAnsi="Times New Roman" w:eastAsia="Times New Roman"/>
          <w:b/>
          <w:i w:val="0"/>
          <w:color w:val="17324D"/>
          <w:sz w:val="20"/>
        </w:rPr>
        <w:t>NHÓM THỰC HIỆN VÀ NGƯỜI HƯỚNG DẪN</w:t>
      </w:r>
    </w:p>
    <w:tbl>
      <w:tblPr>
        <w:tblW w:type="auto" w:w="0"/>
        <w:jc w:val="center"/>
        <w:tblLayout w:type="fixed"/>
        <w:tblLook w:firstColumn="1" w:firstRow="1" w:lastColumn="0" w:lastRow="0" w:noHBand="0" w:noVBand="1" w:val="04A0"/>
      </w:tblPr>
      <w:tblGrid>
        <w:gridCol w:w="4933"/>
        <w:gridCol w:w="4933"/>
      </w:tblGrid>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1</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Lê Văn Tuấn Anh</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2</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Nguyễn Hoàng Bảo</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hướng dẫn</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Trần Văn Toàn</w:t>
            </w:r>
          </w:p>
        </w:tc>
      </w:tr>
    </w:tbl>
    <w:sectPr w:rsidR="00FC693F" w:rsidRPr="0006063C" w:rsidSect="00034616">
      <w:footerReference w:type="default" r:id="rId10"/>
      <w:pgSz w:w="11906" w:h="16838"/>
      <w:pgMar w:top="1020" w:right="1020" w:bottom="1020" w:left="1020" w:header="720" w:footer="425"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0"/>
      <w:jc w:val="both"/>
    </w:pPr>
    <w:rPr>
      <w:rFonts w:ascii="Times New Roman" w:hAnsi="Times New Roman" w:eastAsia="Times New Roman"/>
      <w:color w:val="233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Ứng dụng trí tuệ nhân tạo kết hợp phân tích URL</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