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KHOA HỌC MÁY TÍNH / TRÍ TUỆ NHÂN TẠO</w:t>
      </w:r>
    </w:p>
    <w:p>
      <w:pPr>
        <w:spacing w:before="560" w:after="360"/>
        <w:jc w:val="center"/>
      </w:pPr>
      <w:r>
        <w:rPr>
          <w:rFonts w:ascii="Times New Roman" w:hAnsi="Times New Roman" w:eastAsia="Times New Roman"/>
          <w:b/>
          <w:i w:val="0"/>
          <w:color w:val="17324D"/>
          <w:sz w:val="34"/>
        </w:rPr>
        <w:t>SAFEWEB</w:t>
        <w:br/>
        <w:t>ỨNG DỤNG TRÍ TUỆ NHÂN TẠO MACHINE LEARNING KẾT HỢP PHÂN TÍCH URL CẢNH BÁO SỚM RỦI RO LỪA ĐẢO VÀ LỘ LỌT DỮ LIỆU</w:t>
      </w:r>
    </w:p>
    <w:p>
      <w:pPr>
        <w:jc w:val="center"/>
      </w:pPr>
      <w:r>
        <w:rPr>
          <w:rFonts w:ascii="Times New Roman" w:hAnsi="Times New Roman" w:eastAsia="Times New Roman"/>
          <w:b w:val="0"/>
          <w:i w:val="0"/>
          <w:color w:val="167C80"/>
          <w:sz w:val="24"/>
        </w:rPr>
        <w:t>━━━━━━━━━━━━━━━━━━━━━━━━━━━━━━━━━━━━</w:t>
      </w:r>
    </w:p>
    <w:p>
      <w:pPr>
        <w:spacing w:before="5200" w:after="0" w:line="20" w:lineRule="exact"/>
      </w:pPr>
    </w:p>
    <w:tbl>
      <w:tblPr>
        <w:tblW w:type="auto" w:w="0"/>
        <w:jc w:val="center"/>
        <w:tblLayout w:type="fixed"/>
        <w:tblLook w:firstColumn="1" w:firstRow="1" w:lastColumn="0" w:lastRow="0" w:noHBand="0" w:noVBand="1" w:val="04A0"/>
      </w:tblPr>
      <w:tblGrid>
        <w:gridCol w:w="4933"/>
        <w:gridCol w:w="4933"/>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Mô hình học máy</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Random Forest · Gradient Boosting · SVM tuyến tính · Logistic Regression</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pgSz w:w="11906" w:h="16838"/>
          <w:pgMar w:top="1020" w:right="1020" w:bottom="1020" w:left="1020" w:header="720" w:footer="720" w:gutter="0"/>
          <w:cols w:space="720"/>
          <w:titlePg/>
          <w:docGrid w:linePitch="360"/>
        </w:sectPr>
      </w:pPr>
    </w:p>
    <w:p>
      <w:pPr>
        <w:pStyle w:val="Heading1"/>
        <w:keepNext/>
        <w:spacing w:before="120" w:after="40"/>
      </w:pPr>
      <w:r>
        <w:t>MỤC LỤC</w:t>
      </w:r>
    </w:p>
    <w:p>
      <w:pPr>
        <w:keepLines/>
        <w:spacing w:after="80"/>
      </w:pPr>
      <w:r>
        <w:rPr>
          <w:rFonts w:ascii="Times New Roman" w:hAnsi="Times New Roman" w:eastAsia="Times New Roman"/>
          <w:b w:val="0"/>
          <w:i w:val="0"/>
          <w:color w:val="23313F"/>
          <w:sz w:val="19"/>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"1-3" \h \z \u </w:instrText>
        <w:fldChar w:fldCharType="separate"/>
        <w:t>Mục lục được cập nhật tự động từ các đề mục của báo cáo.</w:t>
        <w:fldChar w:fldCharType="end"/>
      </w:r>
    </w:p>
    <w:p>
      <w:r>
        <w:br w:type="page"/>
      </w:r>
    </w:p>
    <w:p>
      <w:pPr>
        <w:pStyle w:val="Heading1"/>
        <w:keepNext/>
        <w:spacing w:before="120" w:after="40"/>
      </w:pPr>
      <w:r>
        <w:t>TÓM TẮT</w:t>
      </w:r>
    </w:p>
    <w:p>
      <w:pPr>
        <w:keepLines/>
        <w:spacing w:after="100"/>
        <w:ind w:firstLine="454"/>
      </w:pPr>
      <w:r>
        <w:rPr>
          <w:rFonts w:ascii="Times New Roman" w:hAnsi="Times New Roman" w:eastAsia="Times New Roman"/>
          <w:b w:val="0"/>
          <w:i w:val="0"/>
          <w:color w:val="23313F"/>
          <w:sz w:val="19"/>
        </w:rPr>
        <w:t>SafeWeb là nguyên mẫu phần mềm hướng đến cảnh báo sớm rủi ro lừa đảo và lộ lọt dữ liệu qua phân tích URL. Hệ thống ưu tiên xử lý cục bộ, kết hợp cơ sở dữ liệu tham chiếu, 55 đặc trưng và bốn mô hình học máy: Random Forest, Gradient Boosting, SVM tuyến tính và Logistic Regression. DNS, chuyển hướng, metadata và ảnh xem trước chỉ được yêu cầu khi người dùng đồng ý. Giao diện còn cung cấp kho dữ liệu tương tác và gợi ý category/provider/brand theo luật.</w:t>
      </w:r>
    </w:p>
    <w:p>
      <w:pPr>
        <w:keepLines/>
        <w:spacing w:after="100"/>
        <w:ind w:firstLine="454"/>
      </w:pPr>
      <w:r>
        <w:rPr>
          <w:rFonts w:ascii="Times New Roman" w:hAnsi="Times New Roman" w:eastAsia="Times New Roman"/>
          <w:b w:val="0"/>
          <w:i w:val="0"/>
          <w:color w:val="23313F"/>
          <w:sz w:val="19"/>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19"/>
        </w:rPr>
        <w:t>Gradient Boosting đạt F1 phishing 0,8697, recall 0,9561; SVM đạt ROC-AUC 0,9308 nhưng recall ở ngưỡng hiện tại chỉ 0,0071. Lần kiểm thử ghi nhận 59 kiểm thử Python, 15 kiểm thử trình duyệt; parity trên 10 URL hợp lệ và 6 URL lỗi có sai khác cực đại 1,33×10⁻¹⁵ ở đặc trưng và 7,77×10⁻¹⁶ ở xác suất. Kết quả xác minh tính nhất quán trên các ca đã chọn, không chứng minh hiệu quả thực địa. SafeWeb là công cụ giáo dục tham khảo, không chứng nhận website an toàn hay độc hại.</w:t>
      </w:r>
    </w:p>
    <w:p>
      <w:pPr>
        <w:keepLines/>
        <w:spacing w:after="160"/>
      </w:pPr>
      <w:r>
        <w:rPr>
          <w:rFonts w:ascii="Times New Roman" w:hAnsi="Times New Roman" w:eastAsia="Times New Roman"/>
          <w:b w:val="0"/>
          <w:i w:val="0"/>
          <w:color w:val="23313F"/>
          <w:sz w:val="19"/>
        </w:rPr>
        <w:t>Từ khóa: phishing; URL; PhishVN; học máy; suy luận phía trình duyệt; bảo vệ quyền riêng tư.</w:t>
      </w:r>
    </w:p>
    <w:p>
      <w:pPr>
        <w:sectPr>
          <w:footerReference w:type="default" r:id="rId9"/>
          <w:pgSz w:w="11906" w:h="16838"/>
          <w:pgMar w:top="1020" w:right="1020" w:bottom="1020" w:left="1020" w:header="720" w:footer="425" w:gutter="0"/>
          <w:cols w:space="720"/>
          <w:docGrid w:linePitch="360"/>
          <w:pgNumType w:fmt="lowerRoman" w:start="1"/>
        </w:sectPr>
      </w:pPr>
    </w:p>
    <w:p>
      <w:pPr>
        <w:pStyle w:val="Heading1"/>
        <w:keepNext/>
        <w:spacing w:before="120" w:after="40"/>
      </w:pPr>
      <w:r>
        <w:t>CHƯƠNG 1. XÁC ĐỊNH NHU CẦU VÀ MỤC TIÊU KỸ THUẬT</w:t>
      </w:r>
    </w:p>
    <w:p>
      <w:pPr>
        <w:pStyle w:val="Heading2"/>
        <w:keepNext/>
        <w:spacing w:before="80" w:after="40"/>
      </w:pPr>
      <w:r>
        <w:t>1.1. Bối cảnh và vấn đề thực tiễn</w:t>
      </w:r>
    </w:p>
    <w:p>
      <w:pPr>
        <w:keepLines/>
        <w:spacing w:after="100"/>
        <w:ind w:firstLine="454"/>
      </w:pPr>
      <w:r>
        <w:rPr>
          <w:rFonts w:ascii="Times New Roman" w:hAnsi="Times New Roman" w:eastAsia="Times New Roman"/>
          <w:b w:val="0"/>
          <w:i w:val="0"/>
          <w:color w:val="23313F"/>
          <w:sz w:val="19"/>
        </w:rPr>
        <w:t>URL gồm scheme, authority, path, query và fragment theo cú pháp URI (Berners-Lee et al., 2005). Phishing thường dùng hostname giả mạo thương hiệu, đường dẫn dài, ký tự mã hóa hoặc lời mời đăng nhập. HTTPS chỉ mô tả giao thức kết nối, không xác minh chủ thể website. Vì vậy SafeWeb trình bày tín hiệu quan sát được thay vì khẳng định chắc chắn URL an toàn hay độc hại.</w:t>
      </w:r>
    </w:p>
    <w:p>
      <w:pPr>
        <w:keepLines/>
        <w:spacing w:after="100"/>
        <w:ind w:firstLine="454"/>
      </w:pPr>
      <w:r>
        <w:rPr>
          <w:rFonts w:ascii="Times New Roman" w:hAnsi="Times New Roman" w:eastAsia="Times New Roman"/>
          <w:b w:val="0"/>
          <w:i w:val="0"/>
          <w:color w:val="23313F"/>
          <w:sz w:val="19"/>
        </w:rPr>
        <w:t>URL có thể chứa mã theo dõi hoặc định danh riêng tư. SafeWeb ưu tiên chuẩn hóa, tra cứu và suy luận cục bộ; chỉ DNS, redirect, metadata và preview mới gửi yêu cầu ngoài sau khi người dùng đồng ý.</w:t>
      </w:r>
    </w:p>
    <w:p>
      <w:pPr>
        <w:pStyle w:val="Heading2"/>
        <w:keepNext/>
        <w:spacing w:before="80" w:after="40"/>
      </w:pPr>
      <w:r>
        <w:t>1.2. Nhu cầu kỹ thuật và câu hỏi nghiên cứu</w:t>
      </w:r>
    </w:p>
    <w:p>
      <w:pPr>
        <w:keepLines/>
        <w:spacing w:after="100"/>
        <w:ind w:firstLine="454"/>
      </w:pPr>
      <w:r>
        <w:rPr>
          <w:rFonts w:ascii="Times New Roman" w:hAnsi="Times New Roman" w:eastAsia="Times New Roman"/>
          <w:b w:val="0"/>
          <w:i w:val="0"/>
          <w:color w:val="23313F"/>
          <w:sz w:val="19"/>
        </w:rPr>
        <w:t>Nhu cầu kỹ thuật là phân tích URL, tra cứu tham chiếu, hiển thị lý do/mức cảnh báo và chỉ kiểm tra mạng sau consent. Câu hỏi nghiên cứu: với cùng schema và tham số, suy luận JavaScript có khớp Python trên bộ ca kiểm thử định trước không?</w:t>
      </w:r>
    </w:p>
    <w:p>
      <w:pPr>
        <w:keepLines/>
        <w:spacing w:after="100"/>
        <w:ind w:firstLine="454"/>
      </w:pPr>
      <w:r>
        <w:rPr>
          <w:rFonts w:ascii="Times New Roman" w:hAnsi="Times New Roman" w:eastAsia="Times New Roman"/>
          <w:b w:val="0"/>
          <w:i w:val="0"/>
          <w:color w:val="23313F"/>
          <w:sz w:val="19"/>
        </w:rPr>
        <w:t>Giả thuyết: giữ cố định thứ tự 55 feature và phép tiền xử lý khi export sẽ làm xác suất trình duyệt gần trùng Python trong sai số dấu phẩy động. Script parity kiểm tra giả thuyết trên các ca chọn sẵn; kết quả không khái quát tới mọi URL.</w:t>
      </w:r>
    </w:p>
    <w:p>
      <w:pPr>
        <w:pStyle w:val="Heading2"/>
        <w:keepNext/>
        <w:spacing w:before="80" w:after="40"/>
      </w:pPr>
      <w:r>
        <w:t>1.3. Mục tiêu và tiêu chí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Tập kiểm thử theo phân vùng chính thức không giao tên miền đăng ký với train.</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before="0" w:after="0" w:line="40" w:lineRule="exact"/>
      </w:pPr>
    </w:p>
    <w:p>
      <w:pPr>
        <w:pStyle w:val="Heading2"/>
        <w:keepNext/>
        <w:spacing w:before="80" w:after="40"/>
      </w:pPr>
      <w:r>
        <w:t>1.4. Phạm vi, giả định và giới hạn</w:t>
      </w:r>
    </w:p>
    <w:p>
      <w:pPr>
        <w:keepLines/>
        <w:spacing w:after="100"/>
        <w:ind w:firstLine="454"/>
      </w:pPr>
      <w:r>
        <w:rPr>
          <w:rFonts w:ascii="Times New Roman" w:hAnsi="Times New Roman" w:eastAsia="Times New Roman"/>
          <w:b w:val="0"/>
          <w:i w:val="0"/>
          <w:color w:val="23313F"/>
          <w:sz w:val="19"/>
        </w:rPr>
        <w:t>Phạm vi gồm chuỗi URL và nhãn trong các tập dữ liệu đã công bố. SafeWeb không tải/chạy HTML, không xác thực chứng thư TLS, tuổi tên miền, WHOIS, reputation hay hành vi trang; DNS chỉ kiểm tra khi bật live inspection. Nguyên mẫu chưa được đánh giá người dùng hoặc kiểm định bảo mật độc lập.</w:t>
      </w:r>
    </w:p>
    <w:p>
      <w:pPr>
        <w:pStyle w:val="Heading2"/>
        <w:keepNext/>
        <w:spacing w:before="80" w:after="40"/>
      </w:pPr>
      <w:r>
        <w:t>1.5. Giá trị và định hướng giáo dục</w:t>
      </w:r>
    </w:p>
    <w:p>
      <w:pPr>
        <w:keepLines/>
        <w:spacing w:after="100"/>
        <w:ind w:firstLine="454"/>
      </w:pPr>
      <w:r>
        <w:rPr>
          <w:rFonts w:ascii="Times New Roman" w:hAnsi="Times New Roman" w:eastAsia="Times New Roman"/>
          <w:b w:val="0"/>
          <w:i w:val="0"/>
          <w:color w:val="23313F"/>
          <w:sz w:val="19"/>
        </w:rPr>
        <w:t>SafeWeb hướng tới dạy an toàn số và tư duy dữ liệu: quan sát pipeline, so sánh bằng chứng, nhận diện giới hạn AI. Chưa có nghiên cứu học sinh hay đo hiệu quả sư phạm; đây là mục tiêu đề xuất, không phải kết quả thực nghiệm.</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87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Năng lực hướng tới</w:t>
            </w:r>
          </w:p>
        </w:tc>
        <w:tc>
          <w:tcPr>
            <w:tcW w:type="dxa" w:w="36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Hoạt động học tập có thể quan sát</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Giới hạn cần nêu</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Hiểu URL</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Tách scheme, hostname, subdomain, path, query và xác định tín hiệu.</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Từ khóa, IP hay HTTPS không tự chứng minh an toàn/độc hại.</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Phản biện AI</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So sánh tra cứu, xác suất model, precision/recall/F1 và lỗi FP/FN.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Kết quả phụ thuộc dữ liệu/ngưỡng; SVM có recall rất thấp.</w:t>
            </w:r>
          </w:p>
        </w:tc>
      </w:tr>
      <w:tr>
        <w:trPr>
          <w:cantSplit/>
        </w:trPr>
        <w:tc>
          <w:tcPr>
            <w:tcW w:type="dxa" w:w="187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Quyền riêng tư</w:t>
            </w:r>
          </w:p>
        </w:tc>
        <w:tc>
          <w:tcPr>
            <w:tcW w:type="dxa" w:w="36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Phân biệt local-only với live inspection trước khi chia sẻ URL.</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nhập token/URL riêng tư; HTTPS không xác thực danh tính.</w:t>
            </w:r>
          </w:p>
        </w:tc>
      </w:tr>
      <w:tr>
        <w:trPr>
          <w:cantSplit/>
        </w:trPr>
        <w:tc>
          <w:tcPr>
            <w:tcW w:type="dxa" w:w="187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Tái lập kỹ thuật</w:t>
            </w:r>
          </w:p>
        </w:tc>
        <w:tc>
          <w:tcPr>
            <w:tcW w:type="dxa" w:w="36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Theo dõi pipeline và đối chiếu Python–JavaScript.</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Parity chỉ xác nhận các ca đã chọn.</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Kịch bản lớp học dùng URL giả lập: phân tích hostname trước khi xem dự đoán, giải thích một FP/FN và đề xuất cách xác minh chính thức. Tắt live checks, không mở URL. Đánh giá sư phạm tương lai cần pre/post test, rubric, đồng thuận và bảo vệ dữ liệu; hiện chưa đo các kết quả này.</w:t>
      </w:r>
    </w:p>
    <w:p>
      <w:pPr>
        <w:pStyle w:val="Heading1"/>
        <w:keepNext/>
        <w:spacing w:before="120" w:after="40"/>
      </w:pPr>
      <w:r>
        <w:t>CHƯƠNG 2. PHÂN TÍCH GIẢI PHÁP VÀ CƠ SỞ LÝ THUYẾT</w:t>
      </w:r>
    </w:p>
    <w:p>
      <w:pPr>
        <w:pStyle w:val="Heading2"/>
        <w:keepNext/>
        <w:spacing w:before="80" w:after="40"/>
      </w:pPr>
      <w:r>
        <w:t>2.1. Phân biệt dự án khoa học và dự án kỹ thuật</w:t>
      </w:r>
    </w:p>
    <w:p>
      <w:pPr>
        <w:keepLines/>
        <w:spacing w:after="100"/>
        <w:ind w:firstLine="454"/>
      </w:pPr>
      <w:r>
        <w:rPr>
          <w:rFonts w:ascii="Times New Roman" w:hAnsi="Times New Roman" w:eastAsia="Times New Roman"/>
          <w:b w:val="0"/>
          <w:i w:val="0"/>
          <w:color w:val="23313F"/>
          <w:sz w:val="19"/>
        </w:rPr>
        <w:t>SafeWeb là dự án kỹ thuật với đầu ra nguyên mẫu phần mềm; đánh giá dựa trên hoạt động, tái lập và giới hạn vận hành, không nghiên cứu nhân quả hành vi người dùng.</w:t>
      </w:r>
    </w:p>
    <w:p>
      <w:pPr>
        <w:pStyle w:val="Heading2"/>
        <w:keepNext/>
        <w:spacing w:before="80" w:after="40"/>
      </w:pPr>
      <w:r>
        <w:t>2.2. Phân tích các phương án thiết kế</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98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Heuristic URL</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Nhanh, giải thích được, không cần fit.</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Hạn chế tương tác phi tuyến; không dùng riêng làm verdict.</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tra cứu</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Match có record/provenance.</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bao phủ URL mới; giữ như tầng riêng.</w:t>
            </w:r>
          </w:p>
        </w:tc>
      </w:tr>
      <w:tr>
        <w:trPr>
          <w:cantSplit/>
        </w:trPr>
        <w:tc>
          <w:tcPr>
            <w:tcW w:type="dxa" w:w="198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Chỉ backend</w:t>
            </w:r>
          </w:p>
        </w:tc>
        <w:tc>
          <w:tcPr>
            <w:tcW w:type="dxa" w:w="289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Dễ cập nhật/tập trung tài nguyên.</w:t>
            </w:r>
          </w:p>
        </w:tc>
        <w:tc>
          <w:tcPr>
            <w:tcW w:type="dxa" w:w="413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Phải gửi URL lên server.</w:t>
            </w:r>
          </w:p>
        </w:tc>
      </w:tr>
      <w:tr>
        <w:trPr>
          <w:cantSplit/>
        </w:trPr>
        <w:tc>
          <w:tcPr>
            <w:tcW w:type="dxa" w:w="198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Trình duyệt + tra cứu + live opt-in</w:t>
            </w:r>
          </w:p>
        </w:tc>
        <w:tc>
          <w:tcPr>
            <w:tcW w:type="dxa" w:w="289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Local inference và kiểm tra mạng theo consent.</w:t>
            </w:r>
          </w:p>
        </w:tc>
        <w:tc>
          <w:tcPr>
            <w:tcW w:type="dxa" w:w="413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Bundle lớn; cần parity, có giới hạn CORS.</w:t>
            </w:r>
          </w:p>
        </w:tc>
      </w:tr>
    </w:tbl>
    <w:p>
      <w:pPr>
        <w:spacing w:before="0" w:after="0" w:line="40" w:lineRule="exact"/>
      </w:pPr>
    </w:p>
    <w:p>
      <w:pPr>
        <w:pStyle w:val="Heading2"/>
        <w:keepNext/>
        <w:spacing w:before="80" w:after="40"/>
      </w:pPr>
      <w:r>
        <w:t>2.3. Cơ sở lý thuyết của bốn bộ phân loại</w:t>
      </w:r>
    </w:p>
    <w:p>
      <w:pPr>
        <w:keepLines/>
        <w:spacing w:after="100"/>
        <w:ind w:firstLine="454"/>
      </w:pPr>
      <w:r>
        <w:rPr>
          <w:rFonts w:ascii="Times New Roman" w:hAnsi="Times New Roman" w:eastAsia="Times New Roman"/>
          <w:b w:val="0"/>
          <w:i w:val="0"/>
          <w:color w:val="23313F"/>
          <w:sz w:val="19"/>
        </w:rPr>
        <w:t>Random Forest tổng hợp xác suất từ các cây quyết định lấy mẫu ngẫu nhiên, phù hợp quan hệ phi tuyến và có thể export cây sang JavaScript (Breiman, 2001). Cấu hình: 100 cây, depth 16, leaf 3, balanced-subsample.</w:t>
      </w:r>
    </w:p>
    <w:p>
      <w:pPr>
        <w:keepLines/>
        <w:spacing w:after="100"/>
        <w:ind w:firstLine="454"/>
      </w:pPr>
      <w:r>
        <w:rPr>
          <w:rFonts w:ascii="Times New Roman" w:hAnsi="Times New Roman" w:eastAsia="Times New Roman"/>
          <w:b w:val="0"/>
          <w:i w:val="0"/>
          <w:color w:val="23313F"/>
          <w:sz w:val="19"/>
        </w:rPr>
        <w:t>Gradient Boosting cộng tuần tự cây nông theo gradient mất mát (Friedman, 2001). Cấu hình: 100 cây, depth 3, learning rate 0,1; đạt recall cao nhất nhưng có nhiều false positive.</w:t>
      </w:r>
    </w:p>
    <w:p>
      <w:pPr>
        <w:keepLines/>
        <w:spacing w:after="100"/>
        <w:ind w:firstLine="454"/>
      </w:pPr>
      <w:r>
        <w:rPr>
          <w:rFonts w:ascii="Times New Roman" w:hAnsi="Times New Roman" w:eastAsia="Times New Roman"/>
          <w:b w:val="0"/>
          <w:i w:val="0"/>
          <w:color w:val="23313F"/>
          <w:sz w:val="19"/>
        </w:rPr>
        <w:t>Linear SVM tối đa hóa biên phân tách (Cortes &amp; Vapnik, 1995), dùng `StandardScaler`, `LinearSVC` và sigmoid calibration 3-fold. ROC-AUC 0,9308 nhưng recall hiện chỉ 0,0071, nên ngưỡng chưa hữu ích.</w:t>
      </w:r>
    </w:p>
    <w:p>
      <w:pPr>
        <w:keepLines/>
        <w:spacing w:after="100"/>
        <w:ind w:firstLine="454"/>
      </w:pPr>
      <w:r>
        <w:rPr>
          <w:rFonts w:ascii="Times New Roman" w:hAnsi="Times New Roman" w:eastAsia="Times New Roman"/>
          <w:b w:val="0"/>
          <w:i w:val="0"/>
          <w:color w:val="23313F"/>
          <w:sz w:val="19"/>
        </w:rPr>
        <w:t>Logistic Regression là baseline tuyến tính, ánh xạ tổ hợp đặc trưng qua sigmoid; cấu hình dùng `StandardScaler`, balanced class weights và tối đa 2.000 vòng lặp. Các estimator dựa trên scikit-learn (Pedregosa et al., 2011).</w:t>
      </w:r>
    </w:p>
    <w:p>
      <w:pPr>
        <w:pStyle w:val="Heading2"/>
        <w:keepNext/>
        <w:spacing w:before="80" w:after="40"/>
      </w:pPr>
      <w:r>
        <w:t>2.4. Lý do phối hợp mô hình và cách hiểu đồng thuận</w:t>
      </w:r>
    </w:p>
    <w:p>
      <w:pPr>
        <w:keepLines/>
        <w:spacing w:after="100"/>
        <w:ind w:firstLine="454"/>
      </w:pPr>
      <w:r>
        <w:rPr>
          <w:rFonts w:ascii="Times New Roman" w:hAnsi="Times New Roman" w:eastAsia="Times New Roman"/>
          <w:b w:val="0"/>
          <w:i w:val="0"/>
          <w:color w:val="23313F"/>
          <w:sz w:val="19"/>
        </w:rPr>
        <w:t>Hệ thống lấy trung bình số học bốn xác suất, dùng ngưỡng 0,5 cho nhãn và vẫn hiển thị điểm riêng; đây không phải bỏ phiếu đa số hay bảo đảm lỗi độc lập. Vì SVM có recall 0,0071 ở ngưỡng hiện tại, cần hiệu chỉnh trước khi dựa vào đồng thuận.</w:t>
      </w:r>
    </w:p>
    <w:p>
      <w:pPr>
        <w:pStyle w:val="Heading2"/>
        <w:keepNext/>
        <w:spacing w:before="80" w:after="40"/>
      </w:pPr>
      <w:r>
        <w:t>2.5. Điểm mới trong phạm vi nguyên mẫu</w:t>
      </w:r>
    </w:p>
    <w:p>
      <w:pPr>
        <w:pStyle w:val="ListBullet"/>
        <w:keepLines/>
        <w:spacing w:after="40"/>
        <w:ind w:left="397" w:hanging="198"/>
      </w:pPr>
      <w:r>
        <w:rPr>
          <w:rFonts w:ascii="Times New Roman" w:hAnsi="Times New Roman" w:eastAsia="Times New Roman"/>
          <w:b w:val="0"/>
          <w:i w:val="0"/>
          <w:color w:val="23313F"/>
          <w:sz w:val="19"/>
        </w:rPr>
        <w:t>Kết hợp tra cứu tham chiếu và bốn model trong trình duyệt.</w:t>
      </w:r>
    </w:p>
    <w:p>
      <w:pPr>
        <w:pStyle w:val="ListBullet"/>
        <w:keepLines/>
        <w:spacing w:after="40"/>
        <w:ind w:left="397" w:hanging="198"/>
      </w:pPr>
      <w:r>
        <w:rPr>
          <w:rFonts w:ascii="Times New Roman" w:hAnsi="Times New Roman" w:eastAsia="Times New Roman"/>
          <w:b w:val="0"/>
          <w:i w:val="0"/>
          <w:color w:val="23313F"/>
          <w:sz w:val="19"/>
        </w:rPr>
        <w:t>Tách database match khỏi xác suất ML để phân biệt record và dự đoán.</w:t>
      </w:r>
    </w:p>
    <w:p>
      <w:pPr>
        <w:pStyle w:val="ListBullet"/>
        <w:keepLines/>
        <w:spacing w:after="40"/>
        <w:ind w:left="397" w:hanging="198"/>
      </w:pPr>
      <w:r>
        <w:rPr>
          <w:rFonts w:ascii="Times New Roman" w:hAnsi="Times New Roman" w:eastAsia="Times New Roman"/>
          <w:b w:val="0"/>
          <w:i w:val="0"/>
          <w:color w:val="23313F"/>
          <w:sz w:val="19"/>
        </w:rPr>
        <w:t>Đóng gói cây, scaler, calibration và suffix rules cho suy luận offline.</w:t>
      </w:r>
    </w:p>
    <w:p>
      <w:pPr>
        <w:pStyle w:val="ListBullet"/>
        <w:keepLines/>
        <w:spacing w:after="40"/>
        <w:ind w:left="397" w:hanging="198"/>
      </w:pPr>
      <w:r>
        <w:rPr>
          <w:rFonts w:ascii="Times New Roman" w:hAnsi="Times New Roman" w:eastAsia="Times New Roman"/>
          <w:b w:val="0"/>
          <w:i w:val="0"/>
          <w:color w:val="23313F"/>
          <w:sz w:val="19"/>
        </w:rPr>
        <w:t>Live checks có consent gate trước khi chia sẻ URL.</w:t>
      </w:r>
    </w:p>
    <w:p>
      <w:pPr>
        <w:pStyle w:val="ListBullet"/>
        <w:keepLines/>
        <w:spacing w:after="40"/>
        <w:ind w:left="397" w:hanging="198"/>
      </w:pPr>
      <w:r>
        <w:rPr>
          <w:rFonts w:ascii="Times New Roman" w:hAnsi="Times New Roman" w:eastAsia="Times New Roman"/>
          <w:b w:val="0"/>
          <w:i w:val="0"/>
          <w:color w:val="23313F"/>
          <w:sz w:val="19"/>
        </w:rPr>
        <w:t>Đối chiếu feature/probability giữa Python và JavaScript.</w:t>
      </w:r>
    </w:p>
    <w:p>
      <w:pPr>
        <w:keepLines/>
        <w:spacing w:after="100"/>
        <w:ind w:firstLine="454"/>
      </w:pPr>
      <w:r>
        <w:rPr>
          <w:rFonts w:ascii="Times New Roman" w:hAnsi="Times New Roman" w:eastAsia="Times New Roman"/>
          <w:b w:val="0"/>
          <w:i w:val="0"/>
          <w:color w:val="23313F"/>
          <w:sz w:val="19"/>
        </w:rPr>
        <w:t>Các điểm trên là đóng góp kỹ thuật của nguyên mẫu, không phải khẳng định thuật toán mới hoặc ưu thế vượt trội so với dịch vụ thương mại.</w:t>
      </w:r>
    </w:p>
    <w:p>
      <w:pPr>
        <w:pStyle w:val="Heading1"/>
        <w:keepNext/>
        <w:spacing w:before="120" w:after="40"/>
      </w:pPr>
      <w:r>
        <w:t>CHƯƠNG 3. THIẾT KẾ, VẬT LIỆU VÀ PHƯƠNG PHÁP</w:t>
      </w:r>
    </w:p>
    <w:p>
      <w:pPr>
        <w:pStyle w:val="Heading2"/>
        <w:keepNext/>
        <w:spacing w:before="80" w:after="40"/>
      </w:pPr>
      <w:r>
        <w:t>3.1. Thành phần và công cụ</w:t>
      </w:r>
    </w:p>
    <w:tbl>
      <w:tblPr>
        <w:tblStyle w:val="TableGrid"/>
        <w:tblW w:type="auto" w:w="0"/>
        <w:jc w:val="center"/>
        <w:tblLayout w:type="fixed"/>
        <w:tblLook w:firstColumn="1" w:firstRow="1" w:lastColumn="0" w:lastRow="0" w:noHBand="0" w:noVBand="1" w:val="04A0"/>
      </w:tblPr>
      <w:tblGrid>
        <w:gridCol w:w="4933"/>
        <w:gridCol w:w="4933"/>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before="0" w:after="0" w:line="40" w:lineRule="exact"/>
      </w:pPr>
    </w:p>
    <w:p>
      <w:pPr>
        <w:pStyle w:val="Heading2"/>
        <w:keepNext/>
        <w:spacing w:before="80" w:after="40"/>
      </w:pPr>
      <w:r>
        <w:t>3.2. Kiểm toán và chuẩn bị dữ liệu</w:t>
      </w:r>
    </w:p>
    <w:p>
      <w:pPr>
        <w:keepLines/>
        <w:spacing w:after="100"/>
        <w:ind w:firstLine="454"/>
      </w:pPr>
      <w:r>
        <w:rPr>
          <w:rFonts w:ascii="Times New Roman" w:hAnsi="Times New Roman" w:eastAsia="Times New Roman"/>
          <w:b w:val="0"/>
          <w:i w:val="0"/>
          <w:color w:val="23313F"/>
          <w:sz w:val="19"/>
        </w:rPr>
        <w:t>PhishVN v3.1.0 có 53.116 dòng; sau chuẩn hóa/gộp `www`-apex còn 36.261 URL (19.909 phishing, 16.352 benign), loại 16.855 alias, không có conflict. Split chính thức: train 25.185, validation 4.452, test 6.624; các split không giao domain (Thai Nguyen Vu, 2026).</w:t>
      </w:r>
    </w:p>
    <w:p>
      <w:pPr>
        <w:keepLines/>
        <w:spacing w:after="100"/>
        <w:ind w:firstLine="454"/>
      </w:pPr>
      <w:r>
        <w:rPr>
          <w:rFonts w:ascii="Times New Roman" w:hAnsi="Times New Roman" w:eastAsia="Times New Roman"/>
          <w:b w:val="0"/>
          <w:i w:val="0"/>
          <w:color w:val="23313F"/>
          <w:sz w:val="19"/>
        </w:rPr>
        <w:t>PhiUSIIL có 235.795 dòng; loại 86 URL conflict, 3.586 bản canonical trùng và 461 URL thuộc 4.260 domain test, còn 231.662 mẫu (97.003 phishing, 134.659 benign) để fit. Nhãn được đảo về `1=phishing`. Tổng train: 29.637 PhishVN + 231.662 PhiUSIIL = 261.299; test 6.624 giữ riêng (PhiUSIIL Phishing URL Dataset, n.d.).</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Đối chiếu 797.742 giá trị CompPhish trên 36.261 URL khớp bảng phát hành trong dung sai; timestamp chỉ là provenance, không dùng làm nhãn.</w:t>
      </w:r>
    </w:p>
    <w:p>
      <w:pPr>
        <w:pStyle w:val="Heading2"/>
        <w:keepNext/>
        <w:spacing w:before="80" w:after="40"/>
      </w:pPr>
      <w:r>
        <w:t>3.3. Lược đồ 55 đặc trưng</w:t>
      </w:r>
    </w:p>
    <w:p>
      <w:pPr>
        <w:keepLines/>
        <w:spacing w:after="100"/>
        <w:ind w:firstLine="454"/>
      </w:pPr>
      <w:r>
        <w:rPr>
          <w:rFonts w:ascii="Times New Roman" w:hAnsi="Times New Roman" w:eastAsia="Times New Roman"/>
          <w:b w:val="0"/>
          <w:i w:val="0"/>
          <w:color w:val="23313F"/>
          <w:sz w:val="19"/>
        </w:rPr>
        <w:t>Mô hình dùng vector có thứ tự cố định; feature cùng tên được giữ riêng theo định nghĩa nguồn. Hồ sơ host cung cấp một số giá trị TLD; nếu thiếu, dùng phép tính cục bộ và suffix list đóng gói.</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rPr>
          <w:tblHeader w:val="true"/>
        </w:trPr>
        <w:tc>
          <w:tcPr>
            <w:tcW w:type="dxa" w:w="7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before="0" w:after="0" w:line="40" w:lineRule="exact"/>
      </w:pPr>
    </w:p>
    <w:p>
      <w:pPr>
        <w:pStyle w:val="Heading2"/>
        <w:keepNext/>
        <w:spacing w:before="80" w:after="40"/>
      </w:pPr>
      <w:r>
        <w:t>3.4. Nhóm từ khóa và cách diễn giải</w:t>
      </w:r>
    </w:p>
    <w:p>
      <w:pPr>
        <w:keepLines/>
        <w:spacing w:after="100"/>
        <w:ind w:firstLine="454"/>
      </w:pPr>
      <w:r>
        <w:rPr>
          <w:rFonts w:ascii="Times New Roman" w:hAnsi="Times New Roman" w:eastAsia="Times New Roman"/>
          <w:b w:val="0"/>
          <w:i w:val="0"/>
          <w:color w:val="23313F"/>
          <w:sz w:val="19"/>
        </w:rPr>
        <w:t>Các nhóm dưới đây mô tả ngữ nghĩa; model chỉ dùng tám keyword ở bảng, và sự xuất hiện của từ không chứng minh phishing.</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before="0" w:after="0" w:line="40" w:lineRule="exact"/>
      </w:pPr>
    </w:p>
    <w:p>
      <w:pPr>
        <w:pStyle w:val="Heading2"/>
        <w:keepNext/>
        <w:spacing w:before="80" w:after="40"/>
      </w:pPr>
      <w:r>
        <w:t>3.5. Quy trình huấn luyện có thể tái lập</w:t>
      </w:r>
    </w:p>
    <w:p>
      <w:pPr>
        <w:pStyle w:val="ListNumber"/>
        <w:keepLines/>
        <w:spacing w:after="40"/>
        <w:ind w:left="397" w:hanging="198"/>
      </w:pPr>
      <w:r>
        <w:rPr>
          <w:rFonts w:ascii="Times New Roman" w:hAnsi="Times New Roman" w:eastAsia="Times New Roman"/>
          <w:b w:val="0"/>
          <w:i w:val="0"/>
          <w:color w:val="23313F"/>
          <w:sz w:val="19"/>
        </w:rPr>
        <w:t>Dùng train/validation chính thức; giữ nguyên test PhishVN domain-disjoint.</w:t>
      </w:r>
    </w:p>
    <w:p>
      <w:pPr>
        <w:pStyle w:val="ListNumber"/>
        <w:keepLines/>
        <w:spacing w:after="40"/>
        <w:ind w:left="397" w:hanging="198"/>
      </w:pPr>
      <w:r>
        <w:rPr>
          <w:rFonts w:ascii="Times New Roman" w:hAnsi="Times New Roman" w:eastAsia="Times New Roman"/>
          <w:b w:val="0"/>
          <w:i w:val="0"/>
          <w:color w:val="23313F"/>
          <w:sz w:val="19"/>
        </w:rPr>
        <w:t>Chuẩn hóa PhiUSIIL, đảo nhãn về 1=phishing; loại conflict, duplicate và domain giao test.</w:t>
      </w:r>
    </w:p>
    <w:p>
      <w:pPr>
        <w:pStyle w:val="ListNumber"/>
        <w:keepLines/>
        <w:spacing w:after="40"/>
        <w:ind w:left="397" w:hanging="198"/>
      </w:pPr>
      <w:r>
        <w:rPr>
          <w:rFonts w:ascii="Times New Roman" w:hAnsi="Times New Roman" w:eastAsia="Times New Roman"/>
          <w:b w:val="0"/>
          <w:i w:val="0"/>
          <w:color w:val="23313F"/>
          <w:sz w:val="19"/>
        </w:rPr>
        <w:t>Tạo schema 55 feature chung, gồm CompPhish và ba feature obfuscation.</w:t>
      </w:r>
    </w:p>
    <w:p>
      <w:pPr>
        <w:pStyle w:val="ListNumber"/>
        <w:keepLines/>
        <w:spacing w:after="40"/>
        <w:ind w:left="397" w:hanging="198"/>
      </w:pPr>
      <w:r>
        <w:rPr>
          <w:rFonts w:ascii="Times New Roman" w:hAnsi="Times New Roman" w:eastAsia="Times New Roman"/>
          <w:b w:val="0"/>
          <w:i w:val="0"/>
          <w:color w:val="23313F"/>
          <w:sz w:val="19"/>
        </w:rPr>
        <w:t>Cân bằng trọng số theo nguồn/lớp; fit bốn model với seed 42.</w:t>
      </w:r>
    </w:p>
    <w:p>
      <w:pPr>
        <w:pStyle w:val="ListNumber"/>
        <w:keepLines/>
        <w:spacing w:after="40"/>
        <w:ind w:left="397" w:hanging="198"/>
      </w:pPr>
      <w:r>
        <w:rPr>
          <w:rFonts w:ascii="Times New Roman" w:hAnsi="Times New Roman" w:eastAsia="Times New Roman"/>
          <w:b w:val="0"/>
          <w:i w:val="0"/>
          <w:color w:val="23313F"/>
          <w:sz w:val="19"/>
        </w:rPr>
        <w:t>Đánh giá cùng 6.624 URL test bằng accuracy, precision, recall, F1, ROC-AUC và confusion matrix.</w:t>
      </w:r>
    </w:p>
    <w:p>
      <w:pPr>
        <w:pStyle w:val="Heading2"/>
        <w:keepNext/>
        <w:spacing w:before="80" w:after="40"/>
      </w:pPr>
      <w:r>
        <w:t>3.6. Kiến trúc suy luận trình duyệt</w:t>
      </w:r>
    </w:p>
    <w:p>
      <w:pPr>
        <w:keepLines/>
        <w:spacing w:after="100"/>
        <w:ind w:firstLine="454"/>
      </w:pPr>
      <w:r>
        <w:rPr>
          <w:rFonts w:ascii="Times New Roman" w:hAnsi="Times New Roman" w:eastAsia="Times New Roman"/>
          <w:b w:val="0"/>
          <w:i w:val="0"/>
          <w:color w:val="23313F"/>
          <w:sz w:val="19"/>
        </w:rPr>
        <w:t>Exporter đóng gói cây và tham số scaler/linear/SVM calibration cùng feature order, suffix rules và cơ sở dữ liệu. `browser-model.js` thực thi suy luận JavaScript, không gọi backend. Local-only không gửi URL; live inspection gửi URL tới DNS/preview providers sau consent, nên không nhập token hay URL riêng tư.</w:t>
      </w:r>
    </w:p>
    <w:p>
      <w:pPr>
        <w:pStyle w:val="Heading2"/>
        <w:keepNext/>
        <w:spacing w:before="80" w:after="40"/>
      </w:pPr>
      <w:r>
        <w:t>3.7. Tra cứu cơ sở dữ liệu tham chiếu và thứ tự kết luận</w:t>
      </w:r>
    </w:p>
    <w:p>
      <w:pPr>
        <w:keepLines/>
        <w:spacing w:after="100"/>
        <w:ind w:firstLine="454"/>
      </w:pPr>
      <w:r>
        <w:rPr>
          <w:rFonts w:ascii="Times New Roman" w:hAnsi="Times New Roman" w:eastAsia="Times New Roman"/>
          <w:b w:val="0"/>
          <w:i w:val="0"/>
          <w:color w:val="23313F"/>
          <w:sz w:val="19"/>
        </w:rPr>
        <w:t>Tra cứu theo URL chuẩn hóa → hostname → chữ ký feature độc quyền. Chỉ mục nguồn đã trích dẫn có 19.909 URL keys, 19.859 host keys và 4.461 signatures. Match được tách khỏi metric ML; không có match chỉ nghĩa là không có bản ghi, không chứng minh URL an toàn.</w:t>
      </w:r>
    </w:p>
    <w:p>
      <w:pPr>
        <w:pStyle w:val="Heading2"/>
        <w:keepNext/>
        <w:spacing w:before="80" w:after="40"/>
      </w:pPr>
      <w:r>
        <w:t>3.8. Chuẩn hóa URL và các chức năng chính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70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cơ sở dữ liệu + đối chiếu đặc trưng</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chính xác → hostname đã biết → chữ ký đặc trưng độc quyền.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quả chỉ phản ánh bản ghi khớp; chữ ký đặc trưng có độ bao phủ và khả năng va chạm phụ thuộc thiết kế kho.</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đối chiếu</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tập dữ liệu tham chiếu, hiển thị dưới dạng văn bản.</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before="0" w:after="0" w:line="40" w:lineRule="exact"/>
      </w:pPr>
    </w:p>
    <w:p>
      <w:pPr>
        <w:pStyle w:val="Heading2"/>
        <w:keepNext/>
        <w:spacing w:before="80" w:after="40"/>
      </w:pPr>
      <w:r>
        <w:t>3.9. Phân tích tín hiệu, mức rủi ro và giao diện</w:t>
      </w:r>
    </w:p>
    <w:p>
      <w:pPr>
        <w:keepLines/>
        <w:spacing w:after="100"/>
        <w:ind w:firstLine="454"/>
      </w:pPr>
      <w:r>
        <w:rPr>
          <w:rFonts w:ascii="Times New Roman" w:hAnsi="Times New Roman" w:eastAsia="Times New Roman"/>
          <w:b w:val="0"/>
          <w:i w:val="0"/>
          <w:color w:val="23313F"/>
          <w:sz w:val="19"/>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19"/>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Kết quả khớp cơ sở dữ liệu và Easter egg có nhánh ghi đè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19"/>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80" w:after="4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9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before="0" w:after="0" w:line="40" w:lineRule="exact"/>
      </w:pPr>
    </w:p>
    <w:p>
      <w:pPr>
        <w:pStyle w:val="Heading2"/>
        <w:keepNext/>
        <w:spacing w:before="80" w:after="40"/>
      </w:pPr>
      <w:r>
        <w:t>3.11. Lưu đồ vận hành</w:t>
      </w:r>
    </w:p>
    <w:p>
      <w:pPr>
        <w:keepLines/>
        <w:spacing w:after="100"/>
        <w:ind w:firstLine="454"/>
      </w:pPr>
      <w:r>
        <w:rPr>
          <w:rFonts w:ascii="Times New Roman" w:hAnsi="Times New Roman" w:eastAsia="Times New Roman"/>
          <w:b w:val="0"/>
          <w:i w:val="0"/>
          <w:color w:val="23313F"/>
          <w:sz w:val="19"/>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1"/>
                    <a:stretch>
                      <a:fillRect/>
                    </a:stretch>
                  </pic:blipFill>
                  <pic:spPr>
                    <a:xfrm>
                      <a:off x="0" y="0"/>
                      <a:ext cx="5688000" cy="1220588"/>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3.1. Pipeline từ nhập URL đến hiển thị; kiểm tra mạng là nhánh tùy chọn sau khi đồng ý.</w:t>
      </w:r>
    </w:p>
    <w:p>
      <w:pPr>
        <w:pStyle w:val="Heading1"/>
        <w:keepNext/>
        <w:spacing w:before="120" w:after="40"/>
      </w:pPr>
      <w:r>
        <w:t>CHƯƠNG 4. KẾT QUẢ THỬ NGHIỆM VÀ THẢO LUẬN</w:t>
      </w:r>
    </w:p>
    <w:p>
      <w:pPr>
        <w:pStyle w:val="Heading2"/>
        <w:keepNext/>
        <w:spacing w:before="80" w:after="40"/>
      </w:pPr>
      <w:r>
        <w:t>4.1. Giao thức đánh giá và định nghĩa chỉ số</w:t>
      </w:r>
    </w:p>
    <w:p>
      <w:pPr>
        <w:keepLines/>
        <w:spacing w:after="100"/>
        <w:ind w:firstLine="454"/>
      </w:pPr>
      <w:r>
        <w:rPr>
          <w:rFonts w:ascii="Times New Roman" w:hAnsi="Times New Roman" w:eastAsia="Times New Roman"/>
          <w:b w:val="0"/>
          <w:i w:val="0"/>
          <w:color w:val="23313F"/>
          <w:sz w:val="19"/>
        </w:rPr>
        <w:t>Bốn model dùng cùng 261.299 mẫu, 55 feature và test giữ riêng 6.624 URL (3.825 benign, 2.799 phishing). Precision/recall/F1 tính cho lớp phishing; confusion order là TN/FP/FN/TP. ROC-AUC đo ranking qua nhiều ngưỡng, không thay thế metric tại threshold. Số liệu lấy từ artefact đánh giá SafeWeb (2026).</w:t>
      </w:r>
    </w:p>
    <w:p>
      <w:pPr>
        <w:pStyle w:val="Heading2"/>
        <w:keepNext/>
        <w:spacing w:before="80" w:after="40"/>
      </w:pPr>
      <w:r>
        <w:t>4.2. Kết quả định lượng bốn mô hình</w:t>
      </w:r>
    </w:p>
    <w:tbl>
      <w:tblPr>
        <w:tblStyle w:val="TableGrid"/>
        <w:tblW w:type="auto" w:w="0"/>
        <w:jc w:val="center"/>
        <w:tblLayout w:type="fixed"/>
        <w:tblLook w:firstColumn="1" w:firstRow="1" w:lastColumn="0" w:lastRow="0" w:noHBand="0" w:noVBand="1" w:val="04A0"/>
      </w:tblPr>
      <w:tblGrid>
        <w:gridCol w:w="1233"/>
        <w:gridCol w:w="1233"/>
        <w:gridCol w:w="1233"/>
        <w:gridCol w:w="1233"/>
        <w:gridCol w:w="1233"/>
        <w:gridCol w:w="1233"/>
        <w:gridCol w:w="1233"/>
        <w:gridCol w:w="1233"/>
      </w:tblGrid>
      <w:tr>
        <w:trPr>
          <w:tblHeader w:val="true"/>
        </w:trPr>
        <w:tc>
          <w:tcPr>
            <w:tcW w:type="dxa" w:w="164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Gradient Boosting đạt accuracy 0,8789, F1 0,8697, recall 0,9561 (2.676/2.799 TP) và 679 FP. Random Forest: recall 0,9232, F1 0,8615; Logistic Regression: F1 0,8371. SVM chỉ phát hiện 20 phishing, bỏ sót 2.779, dù ROC-AUC 0,9308; cần hiệu chỉnh threshold trên validation.</w:t>
      </w:r>
    </w:p>
    <w:p>
      <w:pPr>
        <w:pStyle w:val="Heading2"/>
        <w:keepNext/>
        <w:spacing w:before="80" w:after="40"/>
      </w:pPr>
      <w:r>
        <w:t>4.3. Phân tích sai số và độ tin cậy</w:t>
      </w:r>
    </w:p>
    <w:p>
      <w:pPr>
        <w:keepLines/>
        <w:spacing w:after="100"/>
        <w:ind w:firstLine="454"/>
      </w:pPr>
      <w:r>
        <w:rPr>
          <w:rFonts w:ascii="Times New Roman" w:hAnsi="Times New Roman" w:eastAsia="Times New Roman"/>
          <w:b w:val="0"/>
          <w:i w:val="0"/>
          <w:color w:val="23313F"/>
          <w:sz w:val="19"/>
        </w:rPr>
        <w:t>False negative bỏ sót phishing; false positive cảnh báo URL hợp lệ. Gradient Boosting có 123 FN/679 FP; Logistic Regression 341/616. SVM precision 1,0 chỉ trên 20 phát hiện, không đại diện cho recall.</w:t>
      </w:r>
    </w:p>
    <w:p>
      <w:pPr>
        <w:keepLines/>
        <w:spacing w:after="100"/>
        <w:ind w:firstLine="454"/>
      </w:pPr>
      <w:r>
        <w:rPr>
          <w:rFonts w:ascii="Times New Roman" w:hAnsi="Times New Roman" w:eastAsia="Times New Roman"/>
          <w:b w:val="0"/>
          <w:i w:val="0"/>
          <w:color w:val="23313F"/>
          <w:sz w:val="19"/>
        </w:rPr>
        <w:t>Metric chỉ mô tả corpus/split này; không đo calibration, deployment drift, chống né tránh hay quan hệ nhân quả. Tách domain giảm leakage nhưng không loại hết trùng chiến dịch/nguồn.</w:t>
      </w:r>
    </w:p>
    <w:p>
      <w:pPr>
        <w:pStyle w:val="Heading2"/>
        <w:keepNext/>
        <w:spacing w:before="80" w:after="40"/>
      </w:pPr>
      <w:r>
        <w:t>4.4. Đối chiếu Python–JavaScript</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268"/>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Parity xác nhận hai runtime nhất quán trên ca đã chọn, không chứng minh hiệu quả bảo mật. Cần bổ sung IDN, IPv6, user-info, query lồng và URL adversarial.</w:t>
      </w:r>
    </w:p>
    <w:p>
      <w:pPr>
        <w:pStyle w:val="Heading2"/>
        <w:keepNext/>
        <w:spacing w:before="80" w:after="40"/>
      </w:pPr>
      <w:r>
        <w:t>4.5. Kiểm thử phần mềm và build</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04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before="0" w:after="0" w:line="40" w:lineRule="exact"/>
      </w:pPr>
    </w:p>
    <w:p>
      <w:pPr>
        <w:keepLines/>
        <w:spacing w:after="100"/>
        <w:ind w:firstLine="454"/>
      </w:pPr>
      <w:r>
        <w:rPr>
          <w:rFonts w:ascii="Times New Roman" w:hAnsi="Times New Roman" w:eastAsia="Times New Roman"/>
          <w:b w:val="0"/>
          <w:i w:val="0"/>
          <w:color w:val="23313F"/>
          <w:sz w:val="19"/>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keepLines/>
        <w:jc w:val="center"/>
      </w:pPr>
      <w:r>
        <w:drawing>
          <wp:inline xmlns:a="http://schemas.openxmlformats.org/drawingml/2006/main" xmlns:pic="http://schemas.openxmlformats.org/drawingml/2006/picture">
            <wp:extent cx="5400000" cy="2171591"/>
            <wp:docPr id="2" name="Picture 2"/>
            <wp:cNvGraphicFramePr>
              <a:graphicFrameLocks noChangeAspect="1"/>
            </wp:cNvGraphicFramePr>
            <a:graphic>
              <a:graphicData uri="http://schemas.openxmlformats.org/drawingml/2006/picture">
                <pic:pic>
                  <pic:nvPicPr>
                    <pic:cNvPr id="0" name="test-evidence.png"/>
                    <pic:cNvPicPr/>
                  </pic:nvPicPr>
                  <pic:blipFill>
                    <a:blip r:embed="rId12"/>
                    <a:stretch>
                      <a:fillRect/>
                    </a:stretch>
                  </pic:blipFill>
                  <pic:spPr>
                    <a:xfrm>
                      <a:off x="0" y="0"/>
                      <a:ext cx="5400000" cy="2171591"/>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4.3. Tổng hợp bằng chứng kiểm thử thực thi cục bộ; không phải ảnh chụp terminal.</w:t>
      </w:r>
    </w:p>
    <w:p>
      <w:pPr>
        <w:pStyle w:val="Heading2"/>
        <w:keepNext/>
        <w:spacing w:before="80" w:after="40"/>
      </w:pPr>
      <w:r>
        <w:t>4.6. Hướng dẫn thao tác và giao diện thực tế</w:t>
      </w:r>
    </w:p>
    <w:p>
      <w:pPr>
        <w:keepLines/>
        <w:spacing w:after="100"/>
      </w:pPr>
      <w:r>
        <w:rPr>
          <w:rFonts w:ascii="Times New Roman" w:hAnsi="Times New Roman" w:eastAsia="Times New Roman"/>
          <w:b w:val="0"/>
          <w:i w:val="0"/>
          <w:color w:val="23313F"/>
          <w:sz w:val="19"/>
        </w:rPr>
        <w:t>Các bước dưới đây mô tả luồng thao tác an toàn trên backend Flask tại `http://127.0.0.1:5000/`. Ảnh trang chủ được chụp từ ứng dụng đang chạy; URL ví dụ không chứa thông tin đăng nhập.</w:t>
      </w:r>
    </w:p>
    <w:p>
      <w:pPr>
        <w:pStyle w:val="ListNumber"/>
        <w:keepLines/>
        <w:spacing w:after="40"/>
        <w:ind w:left="397" w:hanging="198"/>
      </w:pPr>
      <w:r>
        <w:rPr>
          <w:rFonts w:ascii="Times New Roman" w:hAnsi="Times New Roman" w:eastAsia="Times New Roman"/>
          <w:b w:val="0"/>
          <w:i w:val="0"/>
          <w:color w:val="23313F"/>
          <w:sz w:val="19"/>
        </w:rPr>
        <w:t>Nhập URL cần kiểm tra; xem dòng URL đã chuẩn hóa trước khi phân tích. Không dán URL riêng tư, token hoặc mật khẩu.</w:t>
      </w:r>
    </w:p>
    <w:p>
      <w:pPr>
        <w:pStyle w:val="ListNumber"/>
        <w:keepLines/>
        <w:spacing w:after="40"/>
        <w:ind w:left="397" w:hanging="198"/>
      </w:pPr>
      <w:r>
        <w:rPr>
          <w:rFonts w:ascii="Times New Roman" w:hAnsi="Times New Roman" w:eastAsia="Times New Roman"/>
          <w:b w:val="0"/>
          <w:i w:val="0"/>
          <w:color w:val="23313F"/>
          <w:sz w:val="19"/>
        </w:rPr>
        <w:t>Mặc định SafeWeb chỉ phân tích cục bộ. Chỉ bật kiểm tra trực tuyến nếu chấp nhận gửi URL tới các dịch vụ DNS/preview được nêu trong giao diện.</w:t>
      </w:r>
    </w:p>
    <w:p>
      <w:pPr>
        <w:pStyle w:val="ListNumber"/>
        <w:keepLines/>
        <w:spacing w:after="40"/>
        <w:ind w:left="397" w:hanging="198"/>
      </w:pPr>
      <w:r>
        <w:rPr>
          <w:rFonts w:ascii="Times New Roman" w:hAnsi="Times New Roman" w:eastAsia="Times New Roman"/>
          <w:b w:val="0"/>
          <w:i w:val="0"/>
          <w:color w:val="23313F"/>
          <w:sz w:val="19"/>
        </w:rPr>
        <w:t>Chọn Phân tích URL; đọc riêng kết quả tra cứu cơ sở dữ liệu, xác suất từng mô hình, mức rủi ro, tín hiệu và khuyến nghị. Mức rủi ro thấp không chứng nhận trang an toàn.</w:t>
      </w:r>
    </w:p>
    <w:p>
      <w:pPr>
        <w:pStyle w:val="ListNumber"/>
        <w:keepLines/>
        <w:spacing w:after="40"/>
        <w:ind w:left="397" w:hanging="198"/>
      </w:pPr>
      <w:r>
        <w:rPr>
          <w:rFonts w:ascii="Times New Roman" w:hAnsi="Times New Roman" w:eastAsia="Times New Roman"/>
          <w:b w:val="0"/>
          <w:i w:val="0"/>
          <w:color w:val="23313F"/>
          <w:sz w:val="19"/>
        </w:rPr>
        <w:t>Mở Cơ sở dữ liệu URL để tìm/lọc bản ghi; URL trong kho được hiển thị để tham khảo, không cần mở trang đích.</w:t>
      </w:r>
    </w:p>
    <w:p>
      <w:pPr>
        <w:keepLines/>
        <w:jc w:val="center"/>
      </w:pPr>
      <w:r>
        <w:drawing>
          <wp:inline xmlns:a="http://schemas.openxmlformats.org/drawingml/2006/main" xmlns:pic="http://schemas.openxmlformats.org/drawingml/2006/picture">
            <wp:extent cx="5400000" cy="5912195"/>
            <wp:docPr id="3" name="Picture 3"/>
            <wp:cNvGraphicFramePr>
              <a:graphicFrameLocks noChangeAspect="1"/>
            </wp:cNvGraphicFramePr>
            <a:graphic>
              <a:graphicData uri="http://schemas.openxmlformats.org/drawingml/2006/picture">
                <pic:pic>
                  <pic:nvPicPr>
                    <pic:cNvPr id="0" name="homepage.png"/>
                    <pic:cNvPicPr/>
                  </pic:nvPicPr>
                  <pic:blipFill>
                    <a:blip r:embed="rId13"/>
                    <a:stretch>
                      <a:fillRect/>
                    </a:stretch>
                  </pic:blipFill>
                  <pic:spPr>
                    <a:xfrm>
                      <a:off x="0" y="0"/>
                      <a:ext cx="5400000" cy="5912195"/>
                    </a:xfrm>
                    <a:prstGeom prst="rect"/>
                  </pic:spPr>
                </pic:pic>
              </a:graphicData>
            </a:graphic>
          </wp:inline>
        </w:drawing>
      </w:r>
    </w:p>
    <w:p>
      <w:pPr>
        <w:keepNext w:val="0"/>
        <w:spacing w:before="40" w:after="100"/>
        <w:jc w:val="center"/>
      </w:pPr>
      <w:r>
        <w:rPr>
          <w:rFonts w:ascii="Times New Roman" w:hAnsi="Times New Roman" w:eastAsia="Times New Roman"/>
          <w:b w:val="0"/>
          <w:i/>
          <w:color w:val="5C6B78"/>
          <w:sz w:val="17"/>
        </w:rPr>
        <w:t>Hình 4.4. Giao diện trang chủ SafeWeb trên backend Flask.</w:t>
      </w:r>
    </w:p>
    <w:p>
      <w:pPr>
        <w:pStyle w:val="Heading2"/>
        <w:keepNext/>
        <w:spacing w:before="80" w:after="40"/>
      </w:pPr>
      <w:r>
        <w:t>4.7. Tính năng bổ sung và ranh giới tin cậy</w:t>
      </w:r>
    </w:p>
    <w:p>
      <w:pPr>
        <w:keepLines/>
        <w:spacing w:after="100"/>
        <w:ind w:firstLine="454"/>
      </w:pPr>
      <w:r>
        <w:rPr>
          <w:rFonts w:ascii="Times New Roman" w:hAnsi="Times New Roman" w:eastAsia="Times New Roman"/>
          <w:b w:val="0"/>
          <w:i w:val="0"/>
          <w:color w:val="23313F"/>
          <w:sz w:val="19"/>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120" w:after="40"/>
      </w:pPr>
      <w:r>
        <w:t>CHƯƠNG 5. ĐÁNH GIÁ SẢN PHẨM, KẾT LUẬN VÀ KIẾN NGHỊ</w:t>
      </w:r>
    </w:p>
    <w:p>
      <w:pPr>
        <w:pStyle w:val="Heading2"/>
        <w:keepNext/>
        <w:spacing w:before="80" w:after="40"/>
      </w:pPr>
      <w:r>
        <w:t>5.1. Mức độ đạt mục tiêu kỹ thuật</w:t>
      </w:r>
    </w:p>
    <w:p>
      <w:pPr>
        <w:keepLines/>
        <w:spacing w:after="100"/>
        <w:ind w:firstLine="454"/>
      </w:pPr>
      <w:r>
        <w:rPr>
          <w:rFonts w:ascii="Times New Roman" w:hAnsi="Times New Roman" w:eastAsia="Times New Roman"/>
          <w:b w:val="0"/>
          <w:i w:val="0"/>
          <w:color w:val="23313F"/>
          <w:sz w:val="19"/>
        </w:rPr>
        <w:t>Nguyên mẫu hoàn thành phân tích URL cục bộ, tra cứu tham chiếu, 55 feature, bốn model trên trình duyệt, explorer và live checks có consent. Parity/build xác nhận triển khai nhất quán trong phạm vi test. SVM có recall rất thấp; cần hiệu chỉnh trên validation trước khi tin cậy ensemble.</w:t>
      </w:r>
    </w:p>
    <w:p>
      <w:pPr>
        <w:pStyle w:val="Heading2"/>
        <w:keepNext/>
        <w:spacing w:before="80" w:after="40"/>
      </w:pPr>
      <w:r>
        <w:t>5.2. Kết luận</w:t>
      </w:r>
    </w:p>
    <w:p>
      <w:pPr>
        <w:keepLines/>
        <w:spacing w:after="100"/>
        <w:ind w:firstLine="454"/>
      </w:pPr>
      <w:r>
        <w:rPr>
          <w:rFonts w:ascii="Times New Roman" w:hAnsi="Times New Roman" w:eastAsia="Times New Roman"/>
          <w:b w:val="0"/>
          <w:i w:val="0"/>
          <w:color w:val="23313F"/>
          <w:sz w:val="19"/>
        </w:rPr>
        <w:t>SafeWeb khả thi như nguyên mẫu cảnh báo sớm URL, chạy cục bộ mặc định. Trên test giữ riêng, Gradient Boosting đạt F1 0,8697/recall 0,9561; SVM gần như bỏ sót phishing ở threshold hiện tại. Đây là công cụ giáo dục/sàng lọc, không phải bộ bảo vệ hay chứng nhận an toàn.</w:t>
      </w:r>
    </w:p>
    <w:p>
      <w:pPr>
        <w:pStyle w:val="Heading2"/>
        <w:keepNext/>
        <w:spacing w:before="80" w:after="40"/>
      </w:pPr>
      <w:r>
        <w:t>5.3. Hạn chế</w:t>
      </w:r>
    </w:p>
    <w:p>
      <w:pPr>
        <w:pStyle w:val="ListBullet"/>
        <w:keepLines/>
        <w:spacing w:after="40"/>
        <w:ind w:left="397" w:hanging="198"/>
      </w:pPr>
      <w:r>
        <w:rPr>
          <w:rFonts w:ascii="Times New Roman" w:hAnsi="Times New Roman" w:eastAsia="Times New Roman"/>
          <w:b w:val="0"/>
          <w:i w:val="0"/>
          <w:color w:val="23313F"/>
          <w:sz w:val="19"/>
        </w:rPr>
        <w:t>SVM cần hiệu chỉnh threshold trên validation; không chọn threshold bằng test.</w:t>
      </w:r>
    </w:p>
    <w:p>
      <w:pPr>
        <w:pStyle w:val="ListBullet"/>
        <w:keepLines/>
        <w:spacing w:after="40"/>
        <w:ind w:left="397" w:hanging="198"/>
      </w:pPr>
      <w:r>
        <w:rPr>
          <w:rFonts w:ascii="Times New Roman" w:hAnsi="Times New Roman" w:eastAsia="Times New Roman"/>
          <w:b w:val="0"/>
          <w:i w:val="0"/>
          <w:color w:val="23313F"/>
          <w:sz w:val="19"/>
        </w:rPr>
        <w:t>Không match database không đồng nghĩa an toàn; coverage/nhãn thay đổi theo nguồn và thời gian.</w:t>
      </w:r>
    </w:p>
    <w:p>
      <w:pPr>
        <w:pStyle w:val="ListBullet"/>
        <w:keepLines/>
        <w:spacing w:after="40"/>
        <w:ind w:left="397" w:hanging="198"/>
      </w:pPr>
      <w:r>
        <w:rPr>
          <w:rFonts w:ascii="Times New Roman" w:hAnsi="Times New Roman" w:eastAsia="Times New Roman"/>
          <w:b w:val="0"/>
          <w:i w:val="0"/>
          <w:color w:val="23313F"/>
          <w:sz w:val="19"/>
        </w:rPr>
        <w:t>Model chỉ phân tích URL, không đọc HTML, TLS, tuổi domain, reputation hay script; keyword có thể gây bias/false positive.</w:t>
      </w:r>
    </w:p>
    <w:p>
      <w:pPr>
        <w:pStyle w:val="ListBullet"/>
        <w:keepLines/>
        <w:spacing w:after="40"/>
        <w:ind w:left="397" w:hanging="198"/>
      </w:pPr>
      <w:r>
        <w:rPr>
          <w:rFonts w:ascii="Times New Roman" w:hAnsi="Times New Roman" w:eastAsia="Times New Roman"/>
          <w:b w:val="0"/>
          <w:i w:val="0"/>
          <w:color w:val="23313F"/>
          <w:sz w:val="19"/>
        </w:rPr>
        <w:t>Domain-disjoint không loại hết campaign leakage hoặc dataset drift; benchmark không đại diện mọi môi trường.</w:t>
      </w:r>
    </w:p>
    <w:p>
      <w:pPr>
        <w:pStyle w:val="ListBullet"/>
        <w:keepLines/>
        <w:spacing w:after="40"/>
        <w:ind w:left="397" w:hanging="198"/>
      </w:pPr>
      <w:r>
        <w:rPr>
          <w:rFonts w:ascii="Times New Roman" w:hAnsi="Times New Roman" w:eastAsia="Times New Roman"/>
          <w:b w:val="0"/>
          <w:i w:val="0"/>
          <w:color w:val="23313F"/>
          <w:sz w:val="19"/>
        </w:rPr>
        <w:t>Live checks phụ thuộc dịch vụ/CORS và chia sẻ URL sau consent; chưa có usability/accessibility study.</w:t>
      </w:r>
    </w:p>
    <w:p>
      <w:pPr>
        <w:pStyle w:val="Heading2"/>
        <w:keepNext/>
        <w:spacing w:before="80" w:after="4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19"/>
        </w:rPr>
        <w:t>Hướng phát triển là extension quét anchor trong viewport, chuẩn hóa/khử trùng URL, suy luận cục bộ và cảnh báo không chặn. Bắt buộc opt-in, permission tối thiểu, không đọc form/credential, không gửi URL mặc định; đánh giá latency, FP và tương thích SPA trước phát hành.</w:t>
      </w:r>
    </w:p>
    <w:p>
      <w:pPr>
        <w:pStyle w:val="Heading2"/>
        <w:keepNext/>
        <w:spacing w:before="80" w:after="40"/>
      </w:pPr>
      <w:r>
        <w:t>5.5. Kế hoạch cải tiến theo giai đoạn</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1247"/>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Giai đoạn</w:t>
            </w:r>
          </w:p>
        </w:tc>
        <w:tc>
          <w:tcPr>
            <w:tcW w:type="dxa" w:w="4082"/>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Công việc</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Tiêu chí nghiệm thu</w:t>
            </w:r>
          </w:p>
        </w:tc>
      </w:tr>
      <w:tr>
        <w:trPr>
          <w:cantSplit/>
        </w:trPr>
        <w:tc>
          <w:tcPr>
            <w:tcW w:type="dxa" w:w="124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V2.4</w:t>
            </w:r>
          </w:p>
        </w:tc>
        <w:tc>
          <w:tcPr>
            <w:tcW w:type="dxa" w:w="408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Hiệu chỉnh SVM trên validation; so sánh ensemble.</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Khóa threshold trước test; báo recall, precision, calibration.</w:t>
            </w:r>
          </w:p>
        </w:tc>
      </w:tr>
      <w:tr>
        <w:trPr>
          <w:cantSplit/>
        </w:trPr>
        <w:tc>
          <w:tcPr>
            <w:tcW w:type="dxa" w:w="1247"/>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V2.5</w:t>
            </w:r>
          </w:p>
        </w:tc>
        <w:tc>
          <w:tcPr>
            <w:tcW w:type="dxa" w:w="4082"/>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Giải thích feature; thêm ca IDN/adversarial.</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Lý do truy về feature; test Unicode.</w:t>
            </w:r>
          </w:p>
        </w:tc>
      </w:tr>
      <w:tr>
        <w:trPr>
          <w:cantSplit/>
        </w:trPr>
        <w:tc>
          <w:tcPr>
            <w:tcW w:type="dxa" w:w="1247"/>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V3</w:t>
            </w:r>
          </w:p>
        </w:tc>
        <w:tc>
          <w:tcPr>
            <w:tcW w:type="dxa" w:w="4082"/>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Extension quét viewport opt-in.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Không gửi URL mặc định; audit permission/usability/performance.</w:t>
            </w:r>
          </w:p>
        </w:tc>
      </w:tr>
    </w:tbl>
    <w:p>
      <w:pPr>
        <w:spacing w:before="0" w:after="0" w:line="40" w:lineRule="exact"/>
      </w:pPr>
    </w:p>
    <w:p>
      <w:pPr>
        <w:pStyle w:val="Heading1"/>
        <w:keepNext/>
        <w:spacing w:before="120" w:after="40"/>
      </w:pPr>
      <w:r>
        <w:t>TÀI LIỆU THAM KHẢO</w:t>
      </w:r>
    </w:p>
    <w:p>
      <w:pPr>
        <w:keepLines/>
        <w:spacing w:after="40"/>
        <w:ind w:left="454" w:hanging="454"/>
      </w:pPr>
      <w:r>
        <w:rPr>
          <w:rFonts w:ascii="Times New Roman" w:hAnsi="Times New Roman" w:eastAsia="Times New Roman"/>
          <w:b w:val="0"/>
          <w:i w:val="0"/>
          <w:color w:val="23313F"/>
          <w:sz w:val="17"/>
        </w:rPr>
        <w:t>Berners-Lee, T., Fielding, R., &amp; Masinter, L. (2005). Uniform Resource Identifier (URI): Generic syntax (RFC 3986). Internet Engineering Task Force. https://doi.org/10.17487/RFC3986</w:t>
      </w:r>
    </w:p>
    <w:p>
      <w:pPr>
        <w:keepLines/>
        <w:spacing w:after="40"/>
        <w:ind w:left="454" w:hanging="454"/>
      </w:pPr>
      <w:r>
        <w:rPr>
          <w:rFonts w:ascii="Times New Roman" w:hAnsi="Times New Roman" w:eastAsia="Times New Roman"/>
          <w:b w:val="0"/>
          <w:i w:val="0"/>
          <w:color w:val="23313F"/>
          <w:sz w:val="17"/>
        </w:rPr>
        <w:t>Breiman, L. (2001). Random forests. Machine Learning, 45, 5–32. https://doi.org/10.1023/A:1010933404324</w:t>
      </w:r>
    </w:p>
    <w:p>
      <w:pPr>
        <w:keepLines/>
        <w:spacing w:after="40"/>
        <w:ind w:left="454" w:hanging="454"/>
      </w:pPr>
      <w:r>
        <w:rPr>
          <w:rFonts w:ascii="Times New Roman" w:hAnsi="Times New Roman" w:eastAsia="Times New Roman"/>
          <w:b w:val="0"/>
          <w:i w:val="0"/>
          <w:color w:val="23313F"/>
          <w:sz w:val="17"/>
        </w:rPr>
        <w:t>Cortes, C., &amp; Vapnik, V. (1995). Support-vector networks. Machine Learning, 20, 273–297. https://doi.org/10.1007/BF00994018</w:t>
      </w:r>
    </w:p>
    <w:p>
      <w:pPr>
        <w:keepLines/>
        <w:spacing w:after="40"/>
        <w:ind w:left="454" w:hanging="454"/>
      </w:pPr>
      <w:r>
        <w:rPr>
          <w:rFonts w:ascii="Times New Roman" w:hAnsi="Times New Roman" w:eastAsia="Times New Roman"/>
          <w:b w:val="0"/>
          <w:i w:val="0"/>
          <w:color w:val="23313F"/>
          <w:sz w:val="17"/>
        </w:rPr>
        <w:t>Fielding, R., Nottingham, M., &amp; Reschke, J. (Eds.). (2022). HTTP semantics (RFC 9110). Internet Engineering Task Force. https://doi.org/10.17487/RFC9110</w:t>
      </w:r>
    </w:p>
    <w:p>
      <w:pPr>
        <w:keepLines/>
        <w:spacing w:after="40"/>
        <w:ind w:left="454" w:hanging="454"/>
      </w:pPr>
      <w:r>
        <w:rPr>
          <w:rFonts w:ascii="Times New Roman" w:hAnsi="Times New Roman" w:eastAsia="Times New Roman"/>
          <w:b w:val="0"/>
          <w:i w:val="0"/>
          <w:color w:val="23313F"/>
          <w:sz w:val="17"/>
        </w:rPr>
        <w:t>Friedman, J. H. (2001). Greedy function approximation: A gradient boosting machine. The Annals of Statistics, 29(5), 1189–1232. https://doi.org/10.1214/aos/1013203451</w:t>
      </w:r>
    </w:p>
    <w:p>
      <w:pPr>
        <w:keepLines/>
        <w:spacing w:after="40"/>
        <w:ind w:left="454" w:hanging="454"/>
      </w:pPr>
      <w:r>
        <w:rPr>
          <w:rFonts w:ascii="Times New Roman" w:hAnsi="Times New Roman" w:eastAsia="Times New Roman"/>
          <w:b w:val="0"/>
          <w:i w:val="0"/>
          <w:color w:val="23313F"/>
          <w:sz w:val="17"/>
        </w:rPr>
        <w:t>Mockapetris, P. (1987). Domain names—Implementation and specification (RFC 1035). Internet Engineering Task Force. https://doi.org/10.17487/RFC1035</w:t>
      </w:r>
    </w:p>
    <w:p>
      <w:pPr>
        <w:keepLines/>
        <w:spacing w:after="40"/>
        <w:ind w:left="454" w:hanging="454"/>
      </w:pPr>
      <w:r>
        <w:rPr>
          <w:rFonts w:ascii="Times New Roman" w:hAnsi="Times New Roman" w:eastAsia="Times New Roman"/>
          <w:b w:val="0"/>
          <w:i w:val="0"/>
          <w:color w:val="23313F"/>
          <w:sz w:val="17"/>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40"/>
        <w:ind w:left="454" w:hanging="454"/>
      </w:pPr>
      <w:r>
        <w:rPr>
          <w:rFonts w:ascii="Times New Roman" w:hAnsi="Times New Roman" w:eastAsia="Times New Roman"/>
          <w:b w:val="0"/>
          <w:i w:val="0"/>
          <w:color w:val="23313F"/>
          <w:sz w:val="17"/>
        </w:rPr>
        <w:t>PhiUSIIL Phishing URL Dataset. (n.d.). URL and label archive used for source-balanced model fitting. Dataset attribution and audit recorded in SafeWeb ML Experiment Report.</w:t>
      </w:r>
    </w:p>
    <w:p>
      <w:pPr>
        <w:keepLines/>
        <w:spacing w:after="40"/>
        <w:ind w:left="454" w:hanging="454"/>
      </w:pPr>
      <w:r>
        <w:rPr>
          <w:rFonts w:ascii="Times New Roman" w:hAnsi="Times New Roman" w:eastAsia="Times New Roman"/>
          <w:b w:val="0"/>
          <w:i w:val="0"/>
          <w:color w:val="23313F"/>
          <w:sz w:val="17"/>
        </w:rPr>
        <w:t>SafeWeb. (2026). Tài liệu kỹ thuật, báo cáo thí nghiệm học máy, metrics.json, phishvn_domain_eval.json và mã nguồn [Tài liệu dự án và phần mềm].</w:t>
      </w:r>
    </w:p>
    <w:p>
      <w:pPr>
        <w:keepLines/>
        <w:spacing w:after="40"/>
        <w:ind w:left="454" w:hanging="454"/>
      </w:pPr>
      <w:r>
        <w:rPr>
          <w:rFonts w:ascii="Times New Roman" w:hAnsi="Times New Roman" w:eastAsia="Times New Roman"/>
          <w:b w:val="0"/>
          <w:i w:val="0"/>
          <w:color w:val="23313F"/>
          <w:sz w:val="17"/>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120" w:after="4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289"/>
        <w:gridCol w:w="3289"/>
        <w:gridCol w:w="3289"/>
      </w:tblGrid>
      <w:tr>
        <w:trPr>
          <w:tblHeader w:val="true"/>
        </w:trPr>
        <w:tc>
          <w:tcPr>
            <w:tcW w:type="dxa" w:w="2494"/>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English term</w:t>
            </w:r>
          </w:p>
        </w:tc>
        <w:tc>
          <w:tcPr>
            <w:tcW w:type="dxa" w:w="2551"/>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Thuật ngữ tiếng Việt</w:t>
            </w:r>
          </w:p>
        </w:tc>
        <w:tc>
          <w:tcPr>
            <w:tcW w:type="dxa" w:w="3855"/>
            <w:shd w:fill="17324D"/>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i w:val="0"/>
                <w:color w:val="FFFFFF"/>
                <w:sz w:val="15"/>
              </w:rPr>
              <w:t>Ý nghĩa trong báo cáo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Phishing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Lừa đảo trực tuyến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Trang/URL giả mạo nhằm chiếm đoạt thông tin hoặc dẫn dụ hành động.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URL (Uniform Resource Locator)</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định vị tài nguyên thống nhất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định vị tài nguyên web.</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Machine Learning (ML)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máy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Phương pháp học quy luật từ dữ liệu.</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Binary classification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nhị phân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lớp benign và phishing.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 feature vector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Đặc trưng / véc-tơ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Các giá trị số mô tả một URL theo thứ tự schema.</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extraction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Trích xuất đặc trưng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Tính các biến từ chuỗi URL và hồ sơ dữ liệu.</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Domain-disjoint split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biệt theo tên miền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Tách để domain đăng ký không xuất hiện ở cả train và test.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Browser inference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Suy luận trong trình duyệt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Thực thi mô hình JavaScript trên máy người dùng.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Ensemble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mô hình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Kết hợp nhiều bộ phân loại; ở SafeWeb là trung bình xác suất.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Rừng ngẫu nhiên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Tổ hợp cây quyết định lấy mẫu ngẫu nhiên.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Tăng cường gradient</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Học tuần tự các bộ học yếu theo gradient mất mát.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Support Vector Machine (SVM)</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Máy véc-tơ hỗ trợ</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Phân loại dựa trên biên phân tách; SafeWeb dùng LinearSVC.</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Hồi quy logistic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Mô hình tuyến tính xác suất dùng sigmoid.</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Calibration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Hiệu chuẩn xác suất</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Ánh xạ score sang xác suất; không đảm bảo calibration hoàn hảo.</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Threshold</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Ngưỡng quyết định</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Ranh giới biến xác suất thành nhãn hoặc tier.</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Precision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chính xác dương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FP) cho lớp đang xét.</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Recall</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bao phủ / độ nhạy</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TP / (TP + FN) cho lớp đang xét.</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F1-score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Điểm F1</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Trung bình điều hòa của precision và recall.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ROC-AUC</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Diện tích dưới đường ROC</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Đánh giá xếp hạng trên nhiều ngưỡng.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Confusion matrix</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Ma trận nhầm lẫn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Bảng đếm dự đoán đúng/sai theo lớp.</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False positive / false negative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Dương tính giả / âm tính giả</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Cảnh báo nhầm / bỏ sót URL phishing.</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Canonicalization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Chuẩn hóa dạng chuẩn</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Biến thể URL được quy về biểu diễn nhất quán.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Registrable domain</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Tên miền có thể đăng ký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Phần domain cấp đăng ký theo public suffix rules.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Public Suffix List</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Danh sách hậu tố công cộng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Quy tắc xác định ranh giới suffix và registrable domain.</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Entropy / độ hỗn loạn ký tự</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Độ phân bố thông tin ký tự theo Shannon; không phải mức độc hại.</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Percent-encoding</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Mã hóa phần trăm</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Biểu diễn byte bằng chuỗi `%xx` trong URL.</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Feature signature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Chữ ký đặc trưng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đặc trưng chuẩn hóa dùng đối chiếu chỉ mục.</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provenance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gốc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Nguồn, nhãn, thời điểm và lịch sử biến đổi của bản ghi.</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Held-out test set</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Tập kiểm thử giữ riêng</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Dữ liệu không dùng trong fit/tuning chính.</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Data leakage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Rò rỉ dữ liệu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Thông tin test vô tình ảnh hưởng huấn luyện hoặc chọn mô hình.</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over HTTPS (DoH)</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DNS qua HTTPS</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Tra cứu DNS qua giao thức HTTPS.</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Redirect chain</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Chuỗi chuyển hướng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Dãy đích URL qua các bước HTTP hoặc tham số nhúng.</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Cross-Origin Resource Sharing (CORS)</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Chia sẻ tài nguyên khác nguồn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Chính sách trình duyệt có thể chặn đọc phản hồi cross-origin.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Metadata</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Siêu dữ liệu trang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Tiêu đề/mô tả/thuộc tính được dịch vụ preview trả về.</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Consent gate</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Cổng đồng ý</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Bước yêu cầu người dùng cho phép trước khi chia sẻ URL.</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Parity check</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Kiểm tra tương đương</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Đối chiếu đầu ra của hai hiện thực trên cùng bộ ca.</w:t>
            </w:r>
          </w:p>
        </w:tc>
      </w:tr>
      <w:tr>
        <w:trPr>
          <w:cantSplit/>
        </w:trPr>
        <w:tc>
          <w:tcPr>
            <w:tcW w:type="dxa" w:w="2494"/>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Viewport scanner</w:t>
            </w:r>
          </w:p>
        </w:tc>
        <w:tc>
          <w:tcPr>
            <w:tcW w:type="dxa" w:w="2551"/>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Bộ quét vùng nhìn</w:t>
            </w:r>
          </w:p>
        </w:tc>
        <w:tc>
          <w:tcPr>
            <w:tcW w:type="dxa" w:w="3855"/>
            <w:vAlign w:val="center"/>
            <w:shd w:fill="F4F7F8"/>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Tiện ích phát hiện liên kết đang hiển thị trên khung nhìn.</w:t>
            </w:r>
          </w:p>
        </w:tc>
      </w:tr>
      <w:tr>
        <w:trPr>
          <w:cantSplit/>
        </w:trPr>
        <w:tc>
          <w:tcPr>
            <w:tcW w:type="dxa" w:w="2494"/>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Prototype</w:t>
            </w:r>
          </w:p>
        </w:tc>
        <w:tc>
          <w:tcPr>
            <w:tcW w:type="dxa" w:w="2551"/>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Nguyên mẫu</w:t>
            </w:r>
          </w:p>
        </w:tc>
        <w:tc>
          <w:tcPr>
            <w:tcW w:type="dxa" w:w="3855"/>
            <w:vAlign w:val="center"/>
            <w:tcMar>
              <w:top w:w="30" w:type="dxa"/>
              <w:start w:w="65" w:type="dxa"/>
              <w:bottom w:w="30" w:type="dxa"/>
              <w:end w:w="65" w:type="dxa"/>
            </w:tcMar>
          </w:tcPr>
          <w:p>
            <w:pPr>
              <w:spacing w:after="0" w:before="0" w:line="240" w:lineRule="auto"/>
              <w:jc w:val="left"/>
            </w:pPr>
            <w:r>
              <w:rPr>
                <w:rFonts w:ascii="Times New Roman" w:hAnsi="Times New Roman" w:eastAsia="Times New Roman"/>
                <w:b w:val="0"/>
                <w:i w:val="0"/>
                <w:color w:val="23313F"/>
                <w:sz w:val="15"/>
              </w:rPr>
              <w:t>Phiên bản chứng minh tính khả thi, chưa phải sản phẩm chứng nhận.</w:t>
            </w:r>
          </w:p>
        </w:tc>
      </w:tr>
    </w:tbl>
    <w:p>
      <w:pPr>
        <w:spacing w:before="0" w:after="0" w:line="40" w:lineRule="exact"/>
      </w:pPr>
    </w:p>
    <w:p>
      <w:pPr>
        <w:pStyle w:val="Heading1"/>
        <w:keepNext/>
        <w:spacing w:before="120" w:after="40"/>
      </w:pPr>
      <w:r>
        <w:t>PHỤ LỤC B. QUY TRÌNH TÁI LẬP</w:t>
      </w:r>
    </w:p>
    <w:p>
      <w:pPr>
        <w:keepLines/>
        <w:spacing w:after="100"/>
      </w:pPr>
      <w:r>
        <w:rPr>
          <w:rFonts w:ascii="Times New Roman" w:hAnsi="Times New Roman" w:eastAsia="Times New Roman"/>
          <w:b w:val="0"/>
          <w:i w:val="0"/>
          <w:color w:val="23313F"/>
          <w:sz w:val="19"/>
        </w:rPr>
        <w:t>Tái lập theo thứ tự: `python scripts/prepare_phishvn_dataset.py` → `python scripts/train_phishvn_model.py` → `python scripts/export_browser_model.py` → `python scripts/compare_browser_model.py` → `python -m pytest -q` → `npm run test:browser` → `npm run build`. Cần có archive PhishVN/PhiUSIIL và các dependency tương ứng.</w:t>
      </w:r>
    </w:p>
    <w:p>
      <w:r>
        <w:br w:type="page"/>
      </w:r>
    </w:p>
    <w:p>
      <w:pPr>
        <w:spacing w:before="3400"/>
        <w:jc w:val="center"/>
      </w:pPr>
      <w:r>
        <w:rPr>
          <w:rFonts w:ascii="Times New Roman" w:hAnsi="Times New Roman" w:eastAsia="Times New Roman"/>
          <w:b/>
          <w:i w:val="0"/>
          <w:color w:val="17324D"/>
          <w:sz w:val="50"/>
        </w:rPr>
        <w:t>SAFEWEB</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2000" w:after="160"/>
        <w:jc w:val="center"/>
      </w:pPr>
      <w:r>
        <w:rPr>
          <w:rFonts w:ascii="Times New Roman" w:hAnsi="Times New Roman" w:eastAsia="Times New Roman"/>
          <w:b/>
          <w:i w:val="0"/>
          <w:color w:val="17324D"/>
          <w:sz w:val="20"/>
        </w:rPr>
        <w:t>NHÓM THỰC HIỆN VÀ NGƯỜI HƯỚNG DẪN</w:t>
      </w:r>
    </w:p>
    <w:tbl>
      <w:tblPr>
        <w:tblW w:type="auto" w:w="0"/>
        <w:jc w:val="center"/>
        <w:tblLayout w:type="fixed"/>
        <w:tblLook w:firstColumn="1" w:firstRow="1" w:lastColumn="0" w:lastRow="0" w:noHBand="0" w:noVBand="1" w:val="04A0"/>
      </w:tblPr>
      <w:tblGrid>
        <w:gridCol w:w="4933"/>
        <w:gridCol w:w="4933"/>
      </w:tblGrid>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1</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Lê Văn Tuấn Anh</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thực hiện 2</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Nguyễn Hoàng Bảo</w:t>
            </w:r>
          </w:p>
        </w:tc>
      </w:tr>
      <w:tr>
        <w:tc>
          <w:tcPr>
            <w:tcW w:type="dxa" w:w="2381"/>
            <w:tcMar>
              <w:top w:w="95" w:type="dxa"/>
              <w:start w:w="90" w:type="dxa"/>
              <w:bottom w:w="95" w:type="dxa"/>
              <w:end w:w="90" w:type="dxa"/>
            </w:tcMar>
            <w:shd w:fill="EAF0F5"/>
          </w:tcPr>
          <w:p>
            <w:r>
              <w:rPr>
                <w:rFonts w:ascii="Times New Roman" w:hAnsi="Times New Roman" w:eastAsia="Times New Roman"/>
                <w:b/>
                <w:i w:val="0"/>
                <w:color w:val="17324D"/>
                <w:sz w:val="20"/>
              </w:rPr>
              <w:t>Người hướng dẫn</w:t>
            </w:r>
          </w:p>
        </w:tc>
        <w:tc>
          <w:tcPr>
            <w:tcW w:type="dxa" w:w="3402"/>
            <w:tcMar>
              <w:top w:w="95" w:type="dxa"/>
              <w:start w:w="90" w:type="dxa"/>
              <w:bottom w:w="95" w:type="dxa"/>
              <w:end w:w="90" w:type="dxa"/>
            </w:tcMar>
            <w:shd w:fill="F7F9FA"/>
          </w:tcPr>
          <w:p>
            <w:r>
              <w:rPr>
                <w:rFonts w:ascii="Times New Roman" w:hAnsi="Times New Roman" w:eastAsia="Times New Roman"/>
                <w:b w:val="0"/>
                <w:i w:val="0"/>
                <w:color w:val="23313F"/>
                <w:sz w:val="20"/>
              </w:rPr>
              <w:t>Trần Văn Toàn</w:t>
            </w:r>
          </w:p>
        </w:tc>
      </w:tr>
    </w:tbl>
    <w:sectPr w:rsidR="00FC693F" w:rsidRPr="0006063C" w:rsidSect="00034616">
      <w:footerReference w:type="default" r:id="rId10"/>
      <w:pgSz w:w="11906" w:h="16838"/>
      <w:pgMar w:top="1020" w:right="1020" w:bottom="1020" w:left="1020" w:header="720" w:footer="425"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20"/>
      <w:jc w:val="both"/>
    </w:pPr>
    <w:rPr>
      <w:rFonts w:ascii="Times New Roman" w:hAnsi="Times New Roman" w:eastAsia="Times New Roman"/>
      <w:color w:val="233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1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Ứng dụng trí tuệ nhân tạo kết hợp phân tích URL</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