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C6B4E" w14:textId="39330496" w:rsidR="008F1E94" w:rsidRDefault="001340FA" w:rsidP="001340FA">
      <w:pPr>
        <w:spacing w:before="120" w:after="12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36051D">
        <w:rPr>
          <w:rFonts w:ascii="Arial" w:hAnsi="Arial" w:cs="Arial"/>
          <w:b/>
          <w:bCs/>
          <w:sz w:val="22"/>
          <w:szCs w:val="22"/>
        </w:rPr>
        <w:t>BFE Note</w:t>
      </w:r>
    </w:p>
    <w:p w14:paraId="7543B7B2" w14:textId="4C83B812" w:rsidR="00092453" w:rsidRPr="00092453" w:rsidRDefault="00092453" w:rsidP="00092453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Introduction </w:t>
      </w:r>
    </w:p>
    <w:p w14:paraId="46C9724E" w14:textId="5475B186" w:rsidR="00092453" w:rsidRDefault="0036051D" w:rsidP="0036051D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 w:rsidRPr="0036051D">
        <w:rPr>
          <w:rFonts w:ascii="Arial" w:hAnsi="Arial" w:cs="Arial"/>
          <w:sz w:val="22"/>
          <w:szCs w:val="22"/>
        </w:rPr>
        <w:t xml:space="preserve">The CCD </w:t>
      </w:r>
      <w:r>
        <w:rPr>
          <w:rFonts w:ascii="Arial" w:hAnsi="Arial" w:cs="Arial"/>
          <w:sz w:val="22"/>
          <w:szCs w:val="22"/>
        </w:rPr>
        <w:t>pixel are sensitive to their environment: the variance of flatfields does not rise linearly with illumination, but the rise flattens out, departing from exact Poisson distribution. Th</w:t>
      </w:r>
      <w:r w:rsidR="00E02AE2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paper shows that a variety of CCD sensors deliver stellar images that broaden with increasing flux to some level. This “brighter-fatter” effect complicates the direct use of stars as PSF models. </w:t>
      </w:r>
    </w:p>
    <w:p w14:paraId="24BEE214" w14:textId="4E705714" w:rsidR="00363025" w:rsidRDefault="00363025" w:rsidP="0036051D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paper shows the correlations between neighbour pixels and the brighter-fatter effect can be explained by alterations to the drift field caused by charges already collected in the potential </w:t>
      </w:r>
      <w:r w:rsidR="00FF4961">
        <w:rPr>
          <w:rFonts w:ascii="Arial" w:hAnsi="Arial" w:cs="Arial"/>
          <w:sz w:val="22"/>
          <w:szCs w:val="22"/>
        </w:rPr>
        <w:t xml:space="preserve">wells of the CCD. The size </w:t>
      </w:r>
      <w:r w:rsidR="00AC2200">
        <w:rPr>
          <w:rFonts w:ascii="Arial" w:hAnsi="Arial" w:cs="Arial"/>
          <w:sz w:val="22"/>
          <w:szCs w:val="22"/>
        </w:rPr>
        <w:t xml:space="preserve">of the induced distortions and how they decay with distance from the source both depend on manufacturing details </w:t>
      </w:r>
      <w:r w:rsidR="00DB7824">
        <w:rPr>
          <w:rFonts w:ascii="Arial" w:hAnsi="Arial" w:cs="Arial"/>
          <w:sz w:val="22"/>
          <w:szCs w:val="22"/>
        </w:rPr>
        <w:t xml:space="preserve">of the CCD. </w:t>
      </w:r>
    </w:p>
    <w:p w14:paraId="2FF09246" w14:textId="3AD40C87" w:rsidR="00092453" w:rsidRDefault="00092453" w:rsidP="0036051D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paper uses three instruments to establish the hypothesis</w:t>
      </w:r>
      <w:r w:rsidR="005007A1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5007A1" w:rsidRPr="005007A1">
        <w:rPr>
          <w:rFonts w:ascii="Arial" w:hAnsi="Arial" w:cs="Arial"/>
          <w:sz w:val="22"/>
          <w:szCs w:val="22"/>
        </w:rPr>
        <w:t>MegaCam</w:t>
      </w:r>
      <w:proofErr w:type="spellEnd"/>
      <w:r w:rsidR="005007A1">
        <w:rPr>
          <w:rFonts w:ascii="Arial" w:hAnsi="Arial" w:cs="Arial"/>
          <w:sz w:val="22"/>
          <w:szCs w:val="22"/>
        </w:rPr>
        <w:t xml:space="preserve">, </w:t>
      </w:r>
      <w:r w:rsidR="005007A1" w:rsidRPr="005007A1">
        <w:rPr>
          <w:rFonts w:ascii="Arial" w:hAnsi="Arial" w:cs="Arial"/>
          <w:sz w:val="22"/>
          <w:szCs w:val="22"/>
        </w:rPr>
        <w:t>DECam</w:t>
      </w:r>
      <w:r w:rsidR="005007A1" w:rsidRPr="005007A1">
        <w:rPr>
          <w:rFonts w:ascii="Arial" w:hAnsi="Arial" w:cs="Arial"/>
          <w:sz w:val="22"/>
          <w:szCs w:val="22"/>
        </w:rPr>
        <w:t xml:space="preserve"> an</w:t>
      </w:r>
      <w:r w:rsidR="005007A1">
        <w:rPr>
          <w:rFonts w:ascii="Arial" w:hAnsi="Arial" w:cs="Arial"/>
          <w:sz w:val="22"/>
          <w:szCs w:val="22"/>
        </w:rPr>
        <w:t xml:space="preserve">d the </w:t>
      </w:r>
      <w:r w:rsidR="005007A1" w:rsidRPr="005007A1">
        <w:rPr>
          <w:rFonts w:ascii="Arial" w:hAnsi="Arial" w:cs="Arial"/>
          <w:sz w:val="22"/>
          <w:szCs w:val="22"/>
        </w:rPr>
        <w:t>LSST CCD E2V-250</w:t>
      </w:r>
      <w:r w:rsidR="005007A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For each instrument, the data set is constituted by both point source illumination exposures and by uniform illuminations. </w:t>
      </w:r>
    </w:p>
    <w:p w14:paraId="06878417" w14:textId="3EF96E46" w:rsidR="005F4575" w:rsidRDefault="005F4575" w:rsidP="005F4575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Flat Field </w:t>
      </w:r>
    </w:p>
    <w:p w14:paraId="10C7C51E" w14:textId="7307274D" w:rsidR="008F10CE" w:rsidRDefault="008F10CE" w:rsidP="008F10CE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broadening of spot with increasing flux presented in the previous section can be depicted as a reduction of image contrast. In this section, a similar contrast reduction also appears in flatfield images, manifesting itself as a non-linearity of the PTC. Considering only Poisson noise, the relation between two observables is expected to be linear. </w:t>
      </w:r>
      <w:r w:rsidRPr="008F10CE">
        <w:rPr>
          <w:rFonts w:ascii="Arial" w:hAnsi="Arial" w:cs="Arial"/>
          <w:sz w:val="22"/>
          <w:szCs w:val="22"/>
        </w:rPr>
        <w:t>However, we see that a significative departure</w:t>
      </w:r>
      <w:r>
        <w:rPr>
          <w:rFonts w:ascii="Arial" w:hAnsi="Arial" w:cs="Arial"/>
          <w:sz w:val="22"/>
          <w:szCs w:val="22"/>
        </w:rPr>
        <w:t xml:space="preserve"> </w:t>
      </w:r>
      <w:r w:rsidRPr="008F10CE">
        <w:rPr>
          <w:rFonts w:ascii="Arial" w:hAnsi="Arial" w:cs="Arial"/>
          <w:sz w:val="22"/>
          <w:szCs w:val="22"/>
        </w:rPr>
        <w:t>from linearity is actually observed and that it is associated</w:t>
      </w:r>
      <w:r>
        <w:rPr>
          <w:rFonts w:ascii="Arial" w:hAnsi="Arial" w:cs="Arial"/>
          <w:sz w:val="22"/>
          <w:szCs w:val="22"/>
        </w:rPr>
        <w:t xml:space="preserve"> </w:t>
      </w:r>
      <w:r w:rsidRPr="008F10CE">
        <w:rPr>
          <w:rFonts w:ascii="Arial" w:hAnsi="Arial" w:cs="Arial"/>
          <w:sz w:val="22"/>
          <w:szCs w:val="22"/>
        </w:rPr>
        <w:t>with linearly increasing pixel correlations.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C086E8E" w14:textId="366DE825" w:rsidR="00123B27" w:rsidRDefault="00123B27" w:rsidP="00123B27">
      <w:pPr>
        <w:pStyle w:val="ListParagraph"/>
        <w:numPr>
          <w:ilvl w:val="0"/>
          <w:numId w:val="2"/>
        </w:numPr>
        <w:spacing w:before="120" w:after="120" w:line="360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123B27">
        <w:rPr>
          <w:rFonts w:ascii="Arial" w:hAnsi="Arial" w:cs="Arial"/>
          <w:b/>
          <w:bCs/>
          <w:sz w:val="22"/>
          <w:szCs w:val="22"/>
        </w:rPr>
        <w:t xml:space="preserve">PTC non-linearity </w:t>
      </w:r>
    </w:p>
    <w:p w14:paraId="56DA9F02" w14:textId="61373044" w:rsidR="00363025" w:rsidRDefault="0025588E" w:rsidP="00A17B27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non-linearity of the photon transfer curve is illustrated in the figure below using eight different segments of the CCD E2V-250.</w:t>
      </w:r>
      <w:r w:rsidR="00C43876">
        <w:rPr>
          <w:rFonts w:ascii="Arial" w:hAnsi="Arial" w:cs="Arial"/>
          <w:sz w:val="22"/>
          <w:szCs w:val="22"/>
        </w:rPr>
        <w:t xml:space="preserve"> The variance measured at high-flux is significantly lower than expected from extrapolating the variance of low-flux flatfields according to Poisson law: the discrepancy is as high as </w:t>
      </w:r>
      <m:oMath>
        <m:r>
          <w:rPr>
            <w:rFonts w:ascii="Cambria Math" w:hAnsi="Cambria Math" w:cs="Arial"/>
            <w:sz w:val="22"/>
            <w:szCs w:val="22"/>
          </w:rPr>
          <m:t>20%</m:t>
        </m:r>
      </m:oMath>
      <w:r w:rsidR="00C43876">
        <w:rPr>
          <w:rFonts w:ascii="Arial" w:hAnsi="Arial" w:cs="Arial"/>
          <w:sz w:val="22"/>
          <w:szCs w:val="22"/>
        </w:rPr>
        <w:t xml:space="preserve"> in the case of the </w:t>
      </w:r>
      <w:r w:rsidR="00C43876">
        <w:rPr>
          <w:rFonts w:ascii="Arial" w:hAnsi="Arial" w:cs="Arial"/>
          <w:sz w:val="22"/>
          <w:szCs w:val="22"/>
        </w:rPr>
        <w:t>CCD E2V-250</w:t>
      </w:r>
      <w:r w:rsidR="00C43876">
        <w:rPr>
          <w:rFonts w:ascii="Arial" w:hAnsi="Arial" w:cs="Arial"/>
          <w:sz w:val="22"/>
          <w:szCs w:val="22"/>
        </w:rPr>
        <w:t xml:space="preserve">. </w:t>
      </w:r>
    </w:p>
    <w:p w14:paraId="1D4388EE" w14:textId="423ACE07" w:rsidR="0057583D" w:rsidRDefault="0057583D" w:rsidP="0057583D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FEA9B9" wp14:editId="27E095D8">
            <wp:extent cx="3600000" cy="1758093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3-16 at 19.20.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5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D101" w14:textId="1C0E5309" w:rsidR="00A17B27" w:rsidRDefault="00A17B27" w:rsidP="00A17B27">
      <w:pPr>
        <w:pStyle w:val="ListParagraph"/>
        <w:numPr>
          <w:ilvl w:val="0"/>
          <w:numId w:val="2"/>
        </w:numPr>
        <w:spacing w:before="120" w:after="120" w:line="360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P</w:t>
      </w:r>
      <w:r w:rsidRPr="00A17B27">
        <w:rPr>
          <w:rFonts w:ascii="Arial" w:hAnsi="Arial" w:cs="Arial"/>
          <w:b/>
          <w:bCs/>
          <w:sz w:val="22"/>
          <w:szCs w:val="22"/>
        </w:rPr>
        <w:t xml:space="preserve">ixel </w:t>
      </w:r>
      <w:r w:rsidR="0018583A">
        <w:rPr>
          <w:rFonts w:ascii="Arial" w:hAnsi="Arial" w:cs="Arial"/>
          <w:b/>
          <w:bCs/>
          <w:sz w:val="22"/>
          <w:szCs w:val="22"/>
        </w:rPr>
        <w:t>S</w:t>
      </w:r>
      <w:r w:rsidRPr="00A17B27">
        <w:rPr>
          <w:rFonts w:ascii="Arial" w:hAnsi="Arial" w:cs="Arial"/>
          <w:b/>
          <w:bCs/>
          <w:sz w:val="22"/>
          <w:szCs w:val="22"/>
        </w:rPr>
        <w:t xml:space="preserve">patial </w:t>
      </w:r>
      <w:r w:rsidR="0018583A">
        <w:rPr>
          <w:rFonts w:ascii="Arial" w:hAnsi="Arial" w:cs="Arial"/>
          <w:b/>
          <w:bCs/>
          <w:sz w:val="22"/>
          <w:szCs w:val="22"/>
        </w:rPr>
        <w:t>C</w:t>
      </w:r>
      <w:r w:rsidRPr="00A17B27">
        <w:rPr>
          <w:rFonts w:ascii="Arial" w:hAnsi="Arial" w:cs="Arial"/>
          <w:b/>
          <w:bCs/>
          <w:sz w:val="22"/>
          <w:szCs w:val="22"/>
        </w:rPr>
        <w:t>orrelations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30E9242" w14:textId="7D32159D" w:rsidR="00A637DB" w:rsidRPr="007D49C6" w:rsidRDefault="007D49C6" w:rsidP="00C71918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Masking: </w:t>
      </w:r>
      <w:r w:rsidR="00076F87">
        <w:rPr>
          <w:rFonts w:ascii="Arial" w:hAnsi="Arial" w:cs="Arial"/>
          <w:sz w:val="22"/>
          <w:szCs w:val="22"/>
        </w:rPr>
        <w:t xml:space="preserve">The hot, dark columns and </w:t>
      </w:r>
      <w:r w:rsidR="00311B86">
        <w:rPr>
          <w:rFonts w:ascii="Arial" w:hAnsi="Arial" w:cs="Arial"/>
          <w:sz w:val="22"/>
          <w:szCs w:val="22"/>
        </w:rPr>
        <w:t xml:space="preserve">CCD defects </w:t>
      </w:r>
      <w:r w:rsidR="00076F87">
        <w:rPr>
          <w:rFonts w:ascii="Arial" w:hAnsi="Arial" w:cs="Arial"/>
          <w:sz w:val="22"/>
          <w:szCs w:val="22"/>
        </w:rPr>
        <w:t xml:space="preserve">are masked when being detected. </w:t>
      </w:r>
      <w:r w:rsidR="00A637DB">
        <w:rPr>
          <w:rFonts w:ascii="Arial" w:hAnsi="Arial" w:cs="Arial"/>
          <w:sz w:val="22"/>
          <w:szCs w:val="22"/>
        </w:rPr>
        <w:t xml:space="preserve">Correlations that cannot be attributed to any specific feature in the image can be otherwise detected from a non-zero intercept when fitting a given correlation coefficient vs. flux. </w:t>
      </w:r>
    </w:p>
    <w:p w14:paraId="6E1ECEB2" w14:textId="14EC7A1E" w:rsidR="00C71918" w:rsidRDefault="007D49C6" w:rsidP="00C71918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 w:rsidRPr="007D49C6">
        <w:rPr>
          <w:rFonts w:ascii="Arial" w:hAnsi="Arial" w:cs="Arial"/>
          <w:b/>
          <w:bCs/>
          <w:sz w:val="22"/>
          <w:szCs w:val="22"/>
        </w:rPr>
        <w:t>Differencing:</w:t>
      </w:r>
      <w:r>
        <w:rPr>
          <w:rFonts w:ascii="Arial" w:hAnsi="Arial" w:cs="Arial"/>
          <w:sz w:val="22"/>
          <w:szCs w:val="22"/>
        </w:rPr>
        <w:t xml:space="preserve"> </w:t>
      </w:r>
      <w:r w:rsidR="00D422F4">
        <w:rPr>
          <w:rFonts w:ascii="Arial" w:hAnsi="Arial" w:cs="Arial"/>
          <w:sz w:val="22"/>
          <w:szCs w:val="22"/>
        </w:rPr>
        <w:t xml:space="preserve">The correlation coefficients are computed from the difference of two flatfield images that have received the same overall illumination. </w:t>
      </w:r>
      <w:r w:rsidR="0018583A">
        <w:rPr>
          <w:rFonts w:ascii="Arial" w:hAnsi="Arial" w:cs="Arial"/>
          <w:sz w:val="22"/>
          <w:szCs w:val="22"/>
        </w:rPr>
        <w:t xml:space="preserve">This is done to remove apparent correlations due to non-uniformity of the flatfield image typically due to pixel size variations, QE variations or spatial variations of the illumination. </w:t>
      </w:r>
    </w:p>
    <w:p w14:paraId="25FEF045" w14:textId="22772B91" w:rsidR="008C2642" w:rsidRDefault="0060602E" w:rsidP="00C71918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Spatial Correlation: </w:t>
      </w:r>
      <w:r w:rsidR="004068CA">
        <w:rPr>
          <w:rFonts w:ascii="Arial" w:hAnsi="Arial" w:cs="Arial"/>
          <w:sz w:val="22"/>
          <w:szCs w:val="22"/>
        </w:rPr>
        <w:t xml:space="preserve">The spatial correlation between pixels are evaluated using covariances normalized by variance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k, l</m:t>
            </m:r>
          </m:sub>
        </m:sSub>
      </m:oMath>
      <w:r w:rsidR="004068CA">
        <w:rPr>
          <w:rFonts w:ascii="Arial" w:hAnsi="Arial" w:cs="Arial"/>
          <w:sz w:val="22"/>
          <w:szCs w:val="22"/>
        </w:rPr>
        <w:t xml:space="preserve"> refers to the correlation coefficient between pixels separated by </w:t>
      </w:r>
      <m:oMath>
        <m:r>
          <w:rPr>
            <w:rFonts w:ascii="Cambria Math" w:hAnsi="Cambria Math" w:cs="Arial"/>
            <w:sz w:val="22"/>
            <w:szCs w:val="22"/>
          </w:rPr>
          <m:t>k</m:t>
        </m:r>
      </m:oMath>
      <w:r w:rsidR="000C4FE9">
        <w:rPr>
          <w:rFonts w:ascii="Arial" w:hAnsi="Arial" w:cs="Arial"/>
          <w:sz w:val="22"/>
          <w:szCs w:val="22"/>
        </w:rPr>
        <w:t xml:space="preserve"> </w:t>
      </w:r>
      <w:r w:rsidR="004068CA">
        <w:rPr>
          <w:rFonts w:ascii="Arial" w:hAnsi="Arial" w:cs="Arial"/>
          <w:sz w:val="22"/>
          <w:szCs w:val="22"/>
        </w:rPr>
        <w:t xml:space="preserve">columns and </w:t>
      </w:r>
      <m:oMath>
        <m:r>
          <w:rPr>
            <w:rFonts w:ascii="Cambria Math" w:hAnsi="Cambria Math" w:cs="Arial"/>
            <w:sz w:val="22"/>
            <w:szCs w:val="22"/>
          </w:rPr>
          <m:t>l</m:t>
        </m:r>
      </m:oMath>
      <w:r w:rsidR="004068CA">
        <w:rPr>
          <w:rFonts w:ascii="Arial" w:hAnsi="Arial" w:cs="Arial"/>
          <w:sz w:val="22"/>
          <w:szCs w:val="22"/>
        </w:rPr>
        <w:t xml:space="preserve"> rows. The statistical precision on any correlation coefficient is </w:t>
      </w:r>
      <m:oMath>
        <m:r>
          <w:rPr>
            <w:rFonts w:ascii="Cambria Math" w:hAnsi="Cambria Math" w:cs="Arial"/>
            <w:sz w:val="22"/>
            <w:szCs w:val="22"/>
          </w:rPr>
          <m:t>1/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rad>
      </m:oMath>
      <w:r w:rsidR="004068CA">
        <w:rPr>
          <w:rFonts w:ascii="Arial" w:hAnsi="Arial" w:cs="Arial"/>
          <w:sz w:val="22"/>
          <w:szCs w:val="22"/>
        </w:rPr>
        <w:t xml:space="preserve"> where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 w:rsidR="004068CA">
        <w:rPr>
          <w:rFonts w:ascii="Arial" w:hAnsi="Arial" w:cs="Arial"/>
          <w:sz w:val="22"/>
          <w:szCs w:val="22"/>
        </w:rPr>
        <w:t xml:space="preserve"> is the number of pixels. </w:t>
      </w:r>
      <w:r w:rsidR="008C2642">
        <w:rPr>
          <w:rFonts w:ascii="Arial" w:hAnsi="Arial" w:cs="Arial"/>
          <w:sz w:val="22"/>
          <w:szCs w:val="22"/>
        </w:rPr>
        <w:t xml:space="preserve">The statistics is doubled for the off-axis correlations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k, l≠0</m:t>
            </m:r>
          </m:e>
        </m:d>
      </m:oMath>
      <w:r w:rsidR="008C2642">
        <w:rPr>
          <w:rFonts w:ascii="Arial" w:hAnsi="Arial" w:cs="Arial"/>
          <w:sz w:val="22"/>
          <w:szCs w:val="22"/>
        </w:rPr>
        <w:t xml:space="preserve"> by combining the measurements of two quadrants 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k, l</m:t>
            </m:r>
          </m:sub>
        </m:sSub>
      </m:oMath>
      <w:r w:rsidR="008C2642">
        <w:rPr>
          <w:rFonts w:ascii="Arial" w:hAnsi="Arial" w:cs="Arial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k, </m:t>
            </m:r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r>
              <w:rPr>
                <w:rFonts w:ascii="Cambria Math" w:hAnsi="Cambria Math" w:cs="Arial"/>
                <w:sz w:val="22"/>
                <w:szCs w:val="22"/>
              </w:rPr>
              <m:t>l</m:t>
            </m:r>
          </m:sub>
        </m:sSub>
      </m:oMath>
      <w:r w:rsidR="008C2642">
        <w:rPr>
          <w:rFonts w:ascii="Arial" w:hAnsi="Arial" w:cs="Arial"/>
          <w:sz w:val="22"/>
          <w:szCs w:val="22"/>
        </w:rPr>
        <w:t xml:space="preserve"> for instance). The statistical precision is further increased by using many pairs of flatfield, the PTC from the CCD E2V-250 contains </w:t>
      </w:r>
      <m:oMath>
        <m:r>
          <w:rPr>
            <w:rFonts w:ascii="Cambria Math" w:hAnsi="Cambria Math" w:cs="Arial"/>
            <w:sz w:val="22"/>
            <w:szCs w:val="22"/>
          </w:rPr>
          <m:t>≈100</m:t>
        </m:r>
      </m:oMath>
      <w:r w:rsidR="008C2642">
        <w:rPr>
          <w:rFonts w:ascii="Arial" w:hAnsi="Arial" w:cs="Arial"/>
          <w:sz w:val="22"/>
          <w:szCs w:val="22"/>
        </w:rPr>
        <w:t xml:space="preserve"> points, which allows us to improve the improve precision on correlation measurement down to </w:t>
      </w:r>
      <m:oMath>
        <m:r>
          <w:rPr>
            <w:rFonts w:ascii="Cambria Math" w:hAnsi="Cambria Math" w:cs="Arial"/>
            <w:sz w:val="22"/>
            <w:szCs w:val="22"/>
          </w:rPr>
          <m:t>1×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-4</m:t>
            </m:r>
          </m:sup>
        </m:sSup>
      </m:oMath>
      <w:r w:rsidR="008C2642">
        <w:rPr>
          <w:rFonts w:ascii="Arial" w:hAnsi="Arial" w:cs="Arial"/>
          <w:sz w:val="22"/>
          <w:szCs w:val="22"/>
        </w:rPr>
        <w:t xml:space="preserve">. </w:t>
      </w:r>
    </w:p>
    <w:p w14:paraId="1E5D1BF3" w14:textId="4376D432" w:rsidR="0060602E" w:rsidRDefault="00F33DC2" w:rsidP="00C71918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High Flux Level</w:t>
      </w:r>
      <w:r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74D9E">
        <w:rPr>
          <w:rFonts w:ascii="Arial" w:hAnsi="Arial" w:cs="Arial"/>
          <w:sz w:val="22"/>
          <w:szCs w:val="22"/>
        </w:rPr>
        <w:t xml:space="preserve">Correlation features appear when the pixel contents are approaching full well. These are seen as blooming effects that increase up to saturation. </w:t>
      </w:r>
      <w:r w:rsidR="00297182">
        <w:rPr>
          <w:rFonts w:ascii="Arial" w:hAnsi="Arial" w:cs="Arial"/>
          <w:sz w:val="22"/>
          <w:szCs w:val="22"/>
        </w:rPr>
        <w:t xml:space="preserve">The correlation shows a quite linear behaviour up to full well. In the next section, we focus our analysis of pixel spatial correlations on the dynamic range below this flux level. </w:t>
      </w:r>
    </w:p>
    <w:p w14:paraId="37297F6B" w14:textId="3C646FBC" w:rsidR="007F0B39" w:rsidRDefault="007F0B39" w:rsidP="007F0B39">
      <w:pPr>
        <w:pStyle w:val="ListParagraph"/>
        <w:numPr>
          <w:ilvl w:val="0"/>
          <w:numId w:val="2"/>
        </w:numPr>
        <w:spacing w:before="120" w:after="120" w:line="360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Spatial Correlations </w:t>
      </w:r>
      <w:r w:rsidR="007B2612">
        <w:rPr>
          <w:rFonts w:ascii="Arial" w:hAnsi="Arial" w:cs="Arial"/>
          <w:b/>
          <w:bCs/>
          <w:sz w:val="22"/>
          <w:szCs w:val="22"/>
        </w:rPr>
        <w:t xml:space="preserve">vs. BSS </w:t>
      </w:r>
    </w:p>
    <w:p w14:paraId="79B6972A" w14:textId="4CA450E0" w:rsidR="00AE358D" w:rsidRDefault="00530937" w:rsidP="00C71918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Pixel spatial correlations are detected on three instruments up to a distance of </w:t>
      </w:r>
      <m:oMath>
        <m:r>
          <w:rPr>
            <w:rFonts w:ascii="Cambria Math" w:hAnsi="Cambria Math" w:cs="Arial"/>
            <w:sz w:val="22"/>
            <w:szCs w:val="22"/>
          </w:rPr>
          <m:t>4</m:t>
        </m:r>
      </m:oMath>
      <w:r>
        <w:rPr>
          <w:rFonts w:ascii="Arial" w:hAnsi="Arial" w:cs="Arial"/>
          <w:sz w:val="22"/>
          <w:szCs w:val="22"/>
        </w:rPr>
        <w:t xml:space="preserve"> pixels. </w:t>
      </w:r>
      <w:r w:rsidR="00AE358D">
        <w:rPr>
          <w:rFonts w:ascii="Arial" w:hAnsi="Arial" w:cs="Arial"/>
          <w:sz w:val="22"/>
          <w:szCs w:val="22"/>
        </w:rPr>
        <w:t xml:space="preserve">For the LSST and DECam, the correlation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0, 1</m:t>
            </m:r>
          </m:sub>
        </m:sSub>
      </m:oMath>
      <w:r w:rsidR="00AE358D">
        <w:rPr>
          <w:rFonts w:ascii="Arial" w:hAnsi="Arial" w:cs="Arial"/>
          <w:sz w:val="22"/>
          <w:szCs w:val="22"/>
        </w:rPr>
        <w:t xml:space="preserve"> is about three times larger than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1, 0</m:t>
            </m:r>
          </m:sub>
        </m:sSub>
      </m:oMath>
      <w:r w:rsidR="00AE358D">
        <w:rPr>
          <w:rFonts w:ascii="Arial" w:hAnsi="Arial" w:cs="Arial"/>
          <w:sz w:val="22"/>
          <w:szCs w:val="22"/>
        </w:rPr>
        <w:t xml:space="preserve">. This anisotropy vanishes at larger distances. At a separation of </w:t>
      </w:r>
      <m:oMath>
        <m:r>
          <w:rPr>
            <w:rFonts w:ascii="Cambria Math" w:hAnsi="Cambria Math" w:cs="Arial"/>
            <w:sz w:val="22"/>
            <w:szCs w:val="22"/>
          </w:rPr>
          <m:t>4</m:t>
        </m:r>
      </m:oMath>
      <w:r w:rsidR="00AE358D">
        <w:rPr>
          <w:rFonts w:ascii="Arial" w:hAnsi="Arial" w:cs="Arial"/>
          <w:sz w:val="22"/>
          <w:szCs w:val="22"/>
        </w:rPr>
        <w:t xml:space="preserve"> pixels, all correlations of all CCDs are as low as few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-4</m:t>
            </m:r>
          </m:sup>
        </m:sSup>
      </m:oMath>
      <w:r w:rsidR="00AE358D">
        <w:rPr>
          <w:rFonts w:ascii="Arial" w:hAnsi="Arial" w:cs="Arial"/>
          <w:sz w:val="22"/>
          <w:szCs w:val="22"/>
        </w:rPr>
        <w:t xml:space="preserve"> which approaches the limit of sensitivity of the instruments.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E243F" w14:paraId="0CA3A4D2" w14:textId="77777777" w:rsidTr="00EE243F">
        <w:tc>
          <w:tcPr>
            <w:tcW w:w="4505" w:type="dxa"/>
          </w:tcPr>
          <w:p w14:paraId="26B47193" w14:textId="30F1D594" w:rsidR="00EE243F" w:rsidRDefault="00EE243F" w:rsidP="00EE243F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489B5426" wp14:editId="09F8174A">
                  <wp:extent cx="2160000" cy="2465082"/>
                  <wp:effectExtent l="0" t="0" r="0" b="0"/>
                  <wp:docPr id="14" name="Picture 14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 2020-03-16 at 19.46.4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46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375E373" w14:textId="68242100" w:rsidR="00EE243F" w:rsidRDefault="00B47707" w:rsidP="00EE243F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D12E3A7" wp14:editId="510D638B">
                  <wp:extent cx="2160000" cy="2484718"/>
                  <wp:effectExtent l="0" t="0" r="0" b="5080"/>
                  <wp:docPr id="20" name="Picture 20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shot 2020-03-16 at 20.40.0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48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996CA" w14:textId="55AF2076" w:rsidR="007B2612" w:rsidRPr="0014222D" w:rsidRDefault="00205007" w:rsidP="003D080D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pixel correlation maps are found to scale with fluxes for all detectors</w:t>
      </w:r>
      <w:r w:rsidR="0014222D">
        <w:rPr>
          <w:rFonts w:ascii="Arial" w:hAnsi="Arial" w:cs="Arial"/>
          <w:sz w:val="22"/>
          <w:szCs w:val="22"/>
        </w:rPr>
        <w:t xml:space="preserve">. There is no evidence for </w:t>
      </w:r>
      <w:r w:rsidR="0014222D" w:rsidRPr="0014222D">
        <w:rPr>
          <w:rFonts w:ascii="Arial" w:hAnsi="Arial" w:cs="Arial"/>
          <w:sz w:val="22"/>
          <w:szCs w:val="22"/>
        </w:rPr>
        <w:t xml:space="preserve">chromaticity </w:t>
      </w:r>
      <w:r w:rsidR="0014222D" w:rsidRPr="0014222D">
        <w:rPr>
          <w:rFonts w:ascii="Arial" w:hAnsi="Arial" w:cs="Arial"/>
          <w:sz w:val="22"/>
          <w:szCs w:val="22"/>
        </w:rPr>
        <w:t>dependence</w:t>
      </w:r>
      <w:r w:rsidR="0014222D" w:rsidRPr="0014222D">
        <w:rPr>
          <w:rFonts w:ascii="Arial" w:hAnsi="Arial" w:cs="Arial"/>
          <w:sz w:val="22"/>
          <w:szCs w:val="22"/>
        </w:rPr>
        <w:t xml:space="preserve"> </w:t>
      </w:r>
      <w:r w:rsidR="0014222D">
        <w:rPr>
          <w:rFonts w:ascii="Arial" w:hAnsi="Arial" w:cs="Arial"/>
          <w:sz w:val="22"/>
          <w:szCs w:val="22"/>
        </w:rPr>
        <w:t xml:space="preserve">for this trend. </w:t>
      </w:r>
    </w:p>
    <w:p w14:paraId="55E48B2A" w14:textId="395E1DED" w:rsidR="00A17B27" w:rsidRDefault="007B2612" w:rsidP="009077F3">
      <w:pPr>
        <w:pStyle w:val="ListParagraph"/>
        <w:numPr>
          <w:ilvl w:val="0"/>
          <w:numId w:val="2"/>
        </w:numPr>
        <w:spacing w:before="120" w:after="120" w:line="360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Spatial Correlations vs. </w:t>
      </w:r>
      <w:r>
        <w:rPr>
          <w:rFonts w:ascii="Arial" w:hAnsi="Arial" w:cs="Arial"/>
          <w:b/>
          <w:bCs/>
          <w:sz w:val="22"/>
          <w:szCs w:val="22"/>
        </w:rPr>
        <w:t xml:space="preserve">Flux </w:t>
      </w:r>
    </w:p>
    <w:p w14:paraId="394DC64C" w14:textId="77BD1E55" w:rsidR="00205007" w:rsidRDefault="00205007" w:rsidP="007F47E5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has been shown in previous work that increasing the parallel clocking voltage (CV) decreases the level of the correlation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0, 1</m:t>
            </m:r>
          </m:sub>
        </m:sSub>
      </m:oMath>
      <w:r>
        <w:rPr>
          <w:rFonts w:ascii="Arial" w:hAnsi="Arial" w:cs="Arial"/>
          <w:sz w:val="22"/>
          <w:szCs w:val="22"/>
        </w:rPr>
        <w:t xml:space="preserve"> while keeping all other coefficient unchanged. In this paper, we complete the study of the impact of varying pixel’s backside voltage. The correlation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0, 1</m:t>
            </m:r>
          </m:sub>
        </m:sSub>
      </m:oMath>
      <w:r>
        <w:rPr>
          <w:rFonts w:ascii="Arial" w:hAnsi="Arial" w:cs="Arial"/>
          <w:sz w:val="22"/>
          <w:szCs w:val="22"/>
        </w:rPr>
        <w:t xml:space="preserve"> increases as the BSS is decreased down to </w:t>
      </w:r>
      <m:oMath>
        <m:r>
          <w:rPr>
            <w:rFonts w:ascii="Cambria Math" w:hAnsi="Cambria Math" w:cs="Arial"/>
            <w:sz w:val="22"/>
            <w:szCs w:val="22"/>
          </w:rPr>
          <m:t>10-20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V</m:t>
        </m:r>
      </m:oMath>
      <w:r>
        <w:rPr>
          <w:rFonts w:ascii="Arial" w:hAnsi="Arial" w:cs="Arial"/>
          <w:iCs/>
          <w:sz w:val="22"/>
          <w:szCs w:val="22"/>
        </w:rPr>
        <w:t xml:space="preserve">, below this level, the correlation starts decreasing. On the same interval, </w:t>
      </w:r>
      <w:r w:rsidRPr="00EC10FC">
        <w:rPr>
          <w:rFonts w:ascii="Arial" w:hAnsi="Arial" w:cs="Arial"/>
          <w:iCs/>
          <w:sz w:val="22"/>
          <w:szCs w:val="22"/>
        </w:rPr>
        <w:t xml:space="preserve">the correlation </w:t>
      </w:r>
      <w:r>
        <w:rPr>
          <w:rFonts w:ascii="Arial" w:hAnsi="Arial" w:cs="Arial"/>
          <w:iCs/>
          <w:sz w:val="22"/>
          <w:szCs w:val="22"/>
        </w:rPr>
        <w:t>coefficient</w:t>
      </w:r>
      <w:r w:rsidRPr="00EC10FC">
        <w:rPr>
          <w:rFonts w:ascii="Arial" w:hAnsi="Arial" w:cs="Arial"/>
          <w:iCs/>
          <w:sz w:val="22"/>
          <w:szCs w:val="22"/>
        </w:rPr>
        <w:t xml:space="preserve"> with next pixel in the serial direction </w:t>
      </w:r>
      <m:oMath>
        <m:sSub>
          <m:sSubPr>
            <m:ctrlPr>
              <w:rPr>
                <w:rFonts w:ascii="Cambria Math" w:hAnsi="Cambria Math" w:cs="Arial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1, 0</m:t>
            </m:r>
          </m:sub>
        </m:sSub>
      </m:oMath>
      <w:r>
        <w:rPr>
          <w:rFonts w:ascii="Arial" w:hAnsi="Arial" w:cs="Arial"/>
          <w:iCs/>
          <w:sz w:val="22"/>
          <w:szCs w:val="22"/>
        </w:rPr>
        <w:t xml:space="preserve"> </w:t>
      </w:r>
      <w:r w:rsidRPr="00EC10FC">
        <w:rPr>
          <w:rFonts w:ascii="Arial" w:hAnsi="Arial" w:cs="Arial"/>
          <w:iCs/>
          <w:sz w:val="22"/>
          <w:szCs w:val="22"/>
        </w:rPr>
        <w:t xml:space="preserve">decreases and shifts to negative values below </w:t>
      </w:r>
      <m:oMath>
        <m:r>
          <w:rPr>
            <w:rFonts w:ascii="Cambria Math" w:hAnsi="Cambria Math" w:cs="Arial"/>
            <w:sz w:val="22"/>
            <w:szCs w:val="22"/>
          </w:rPr>
          <m:t xml:space="preserve">10-20 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V</m:t>
        </m:r>
      </m:oMath>
      <w:r w:rsidRPr="00EC10FC">
        <w:rPr>
          <w:rFonts w:ascii="Arial" w:hAnsi="Arial" w:cs="Arial"/>
          <w:iCs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The other correlation coefficient </w:t>
      </w:r>
      <w:r w:rsidRPr="009E401C">
        <w:rPr>
          <w:rFonts w:ascii="Arial" w:hAnsi="Arial" w:cs="Arial"/>
          <w:iCs/>
          <w:sz w:val="22"/>
          <w:szCs w:val="22"/>
        </w:rPr>
        <w:t>monotonously increase</w:t>
      </w:r>
      <w:r>
        <w:rPr>
          <w:rFonts w:ascii="Arial" w:hAnsi="Arial" w:cs="Arial"/>
          <w:iCs/>
          <w:sz w:val="22"/>
          <w:szCs w:val="22"/>
        </w:rPr>
        <w:t xml:space="preserve">s </w:t>
      </w:r>
      <w:r w:rsidRPr="009E401C">
        <w:rPr>
          <w:rFonts w:ascii="Arial" w:hAnsi="Arial" w:cs="Arial"/>
          <w:iCs/>
          <w:sz w:val="22"/>
          <w:szCs w:val="22"/>
        </w:rPr>
        <w:t>as BSS decreases</w:t>
      </w:r>
      <w:r>
        <w:rPr>
          <w:rFonts w:ascii="Arial" w:hAnsi="Arial" w:cs="Arial"/>
          <w:iCs/>
          <w:sz w:val="22"/>
          <w:szCs w:val="22"/>
        </w:rPr>
        <w:t>. The diffusion mechanism cannot explain the evolution with BSS and CV, the prediction from simple electrostatic simulation are compatible with the observations.</w:t>
      </w:r>
    </w:p>
    <w:p w14:paraId="2D1646A6" w14:textId="614036E0" w:rsidR="003D080D" w:rsidRDefault="003D080D" w:rsidP="003D080D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F8033CD" wp14:editId="14501066">
            <wp:extent cx="2160000" cy="2514891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3-16 at 19.54.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5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C45" w14:textId="47679511" w:rsidR="00D36445" w:rsidRPr="007F47E5" w:rsidRDefault="00D36445" w:rsidP="00D364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1A4DD87" w14:textId="160813EA" w:rsidR="007B2612" w:rsidRPr="00A85197" w:rsidRDefault="0028064D" w:rsidP="00A85197">
      <w:pPr>
        <w:pStyle w:val="ListParagraph"/>
        <w:numPr>
          <w:ilvl w:val="0"/>
          <w:numId w:val="2"/>
        </w:numPr>
        <w:spacing w:before="120" w:after="120" w:line="360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eastAsia"/>
          <w:b/>
          <w:bCs/>
          <w:sz w:val="22"/>
          <w:szCs w:val="22"/>
        </w:rPr>
        <w:lastRenderedPageBreak/>
        <w:t>Total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Flux </w:t>
      </w:r>
    </w:p>
    <w:p w14:paraId="62AF9037" w14:textId="1258F648" w:rsidR="00A85197" w:rsidRDefault="0001584F" w:rsidP="00A85197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connection between non-linearity of the PTC and the linearly increasing correlations can be illustrated by summing all the correlations and adding them to the PTC.</w:t>
      </w:r>
      <w:r>
        <w:rPr>
          <w:rFonts w:ascii="Arial" w:hAnsi="Arial" w:cs="Arial"/>
          <w:sz w:val="22"/>
          <w:szCs w:val="22"/>
        </w:rPr>
        <w:t xml:space="preserve"> </w:t>
      </w:r>
      <w:r w:rsidR="00A85197" w:rsidRPr="00A85197">
        <w:rPr>
          <w:rFonts w:ascii="Arial" w:hAnsi="Arial" w:cs="Arial"/>
          <w:sz w:val="22"/>
          <w:szCs w:val="22"/>
        </w:rPr>
        <w:t xml:space="preserve">It </w:t>
      </w:r>
      <w:r>
        <w:rPr>
          <w:rFonts w:ascii="Arial" w:hAnsi="Arial" w:cs="Arial"/>
          <w:sz w:val="22"/>
          <w:szCs w:val="22"/>
        </w:rPr>
        <w:t>can</w:t>
      </w:r>
      <w:r w:rsidR="00A85197" w:rsidRPr="00A8519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 w:rsidR="00A85197" w:rsidRPr="00A85197">
        <w:rPr>
          <w:rFonts w:ascii="Arial" w:hAnsi="Arial" w:cs="Arial"/>
          <w:sz w:val="22"/>
          <w:szCs w:val="22"/>
        </w:rPr>
        <w:t xml:space="preserve"> verified that the process that correlates the pixels also</w:t>
      </w:r>
      <w:r w:rsidR="00A85197">
        <w:rPr>
          <w:rFonts w:ascii="Arial" w:hAnsi="Arial" w:cs="Arial"/>
          <w:sz w:val="22"/>
          <w:szCs w:val="22"/>
        </w:rPr>
        <w:t xml:space="preserve"> </w:t>
      </w:r>
      <w:r w:rsidR="00A85197" w:rsidRPr="00A85197">
        <w:rPr>
          <w:rFonts w:ascii="Arial" w:hAnsi="Arial" w:cs="Arial"/>
          <w:sz w:val="22"/>
          <w:szCs w:val="22"/>
        </w:rPr>
        <w:t xml:space="preserve">conserves charges. This is </w:t>
      </w:r>
      <w:r>
        <w:rPr>
          <w:rFonts w:ascii="Arial" w:hAnsi="Arial" w:cs="Arial"/>
          <w:sz w:val="22"/>
          <w:szCs w:val="22"/>
        </w:rPr>
        <w:t xml:space="preserve">also </w:t>
      </w:r>
      <w:r w:rsidR="00A85197" w:rsidRPr="00A85197">
        <w:rPr>
          <w:rFonts w:ascii="Arial" w:hAnsi="Arial" w:cs="Arial"/>
          <w:sz w:val="22"/>
          <w:szCs w:val="22"/>
        </w:rPr>
        <w:t>straightforward to see from a linear</w:t>
      </w:r>
      <w:r w:rsidR="00A85197">
        <w:rPr>
          <w:rFonts w:ascii="Arial" w:hAnsi="Arial" w:cs="Arial"/>
          <w:sz w:val="22"/>
          <w:szCs w:val="22"/>
        </w:rPr>
        <w:t xml:space="preserve"> </w:t>
      </w:r>
      <w:r w:rsidR="00A85197" w:rsidRPr="00A85197">
        <w:rPr>
          <w:rFonts w:ascii="Arial" w:hAnsi="Arial" w:cs="Arial"/>
          <w:sz w:val="22"/>
          <w:szCs w:val="22"/>
        </w:rPr>
        <w:t xml:space="preserve">fit of flatfield mean flux versus exposure time. </w:t>
      </w:r>
    </w:p>
    <w:p w14:paraId="56744DC8" w14:textId="18562B9D" w:rsidR="0001584F" w:rsidRDefault="00A85197" w:rsidP="0001584F">
      <w:pPr>
        <w:autoSpaceDE w:val="0"/>
        <w:autoSpaceDN w:val="0"/>
        <w:adjustRightInd w:val="0"/>
        <w:spacing w:before="120" w:after="115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781EB41" wp14:editId="1C051C3E">
            <wp:extent cx="2160000" cy="2264408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0-03-16 at 21.50.5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D624" w14:textId="0990A84C" w:rsidR="0042530F" w:rsidRPr="0042530F" w:rsidRDefault="0042530F" w:rsidP="0042530F">
      <w:pPr>
        <w:pStyle w:val="ListParagraph"/>
        <w:numPr>
          <w:ilvl w:val="0"/>
          <w:numId w:val="2"/>
        </w:numPr>
        <w:spacing w:before="120" w:after="120" w:line="360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123B27">
        <w:rPr>
          <w:rFonts w:ascii="Arial" w:hAnsi="Arial" w:cs="Arial"/>
          <w:b/>
          <w:bCs/>
          <w:sz w:val="22"/>
          <w:szCs w:val="22"/>
        </w:rPr>
        <w:t xml:space="preserve">PTC </w:t>
      </w:r>
      <w:r w:rsidR="00507CF2">
        <w:rPr>
          <w:rFonts w:ascii="Arial" w:hAnsi="Arial" w:cs="Arial"/>
          <w:b/>
          <w:bCs/>
          <w:sz w:val="22"/>
          <w:szCs w:val="22"/>
        </w:rPr>
        <w:t>N</w:t>
      </w:r>
      <w:r w:rsidRPr="00123B27">
        <w:rPr>
          <w:rFonts w:ascii="Arial" w:hAnsi="Arial" w:cs="Arial"/>
          <w:b/>
          <w:bCs/>
          <w:sz w:val="22"/>
          <w:szCs w:val="22"/>
        </w:rPr>
        <w:t>on-</w:t>
      </w:r>
      <w:r w:rsidR="00507CF2">
        <w:rPr>
          <w:rFonts w:ascii="Arial" w:hAnsi="Arial" w:cs="Arial"/>
          <w:b/>
          <w:bCs/>
          <w:sz w:val="22"/>
          <w:szCs w:val="22"/>
        </w:rPr>
        <w:t>L</w:t>
      </w:r>
      <w:r w:rsidRPr="00123B27">
        <w:rPr>
          <w:rFonts w:ascii="Arial" w:hAnsi="Arial" w:cs="Arial"/>
          <w:b/>
          <w:bCs/>
          <w:sz w:val="22"/>
          <w:szCs w:val="22"/>
        </w:rPr>
        <w:t xml:space="preserve">inearity </w:t>
      </w:r>
      <w:r>
        <w:rPr>
          <w:rFonts w:ascii="Arial" w:hAnsi="Arial" w:cs="Arial"/>
          <w:b/>
          <w:bCs/>
          <w:sz w:val="22"/>
          <w:szCs w:val="22"/>
        </w:rPr>
        <w:t xml:space="preserve">vs. </w:t>
      </w:r>
      <w:r w:rsidR="0071767F">
        <w:rPr>
          <w:rFonts w:ascii="Arial" w:hAnsi="Arial" w:cs="Arial"/>
          <w:b/>
          <w:bCs/>
          <w:sz w:val="22"/>
          <w:szCs w:val="22"/>
        </w:rPr>
        <w:t xml:space="preserve">Linear </w:t>
      </w:r>
      <w:r>
        <w:rPr>
          <w:rFonts w:ascii="Arial" w:hAnsi="Arial" w:cs="Arial"/>
          <w:b/>
          <w:bCs/>
          <w:sz w:val="22"/>
          <w:szCs w:val="22"/>
        </w:rPr>
        <w:t xml:space="preserve">Correlation </w:t>
      </w:r>
    </w:p>
    <w:p w14:paraId="075F692A" w14:textId="696D48C5" w:rsidR="0001584F" w:rsidRDefault="0001584F" w:rsidP="0001584F">
      <w:pPr>
        <w:autoSpaceDE w:val="0"/>
        <w:autoSpaceDN w:val="0"/>
        <w:adjustRightInd w:val="0"/>
        <w:spacing w:before="120" w:after="115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gain function can be modified in the following way, with </w:t>
      </w:r>
      <m:oMath>
        <m:r>
          <w:rPr>
            <w:rFonts w:ascii="Cambria Math" w:hAnsi="Cambria Math" w:cs="Arial"/>
            <w:sz w:val="22"/>
            <w:szCs w:val="22"/>
          </w:rPr>
          <m:t>α</m:t>
        </m:r>
      </m:oMath>
      <w:r>
        <w:rPr>
          <w:rFonts w:ascii="Arial" w:hAnsi="Arial" w:cs="Arial"/>
          <w:sz w:val="22"/>
          <w:szCs w:val="22"/>
        </w:rPr>
        <w:t xml:space="preserve"> being an empirical parameter that is introduced to describe the quadratic behaviour of the PTC, which is expected given a linear rise of the correlations </w:t>
      </w:r>
    </w:p>
    <w:p w14:paraId="4DE2870F" w14:textId="6DF60C6C" w:rsidR="0051102C" w:rsidRPr="00C66029" w:rsidRDefault="0001584F" w:rsidP="00D36445">
      <w:pPr>
        <w:autoSpaceDE w:val="0"/>
        <w:autoSpaceDN w:val="0"/>
        <w:adjustRightInd w:val="0"/>
        <w:spacing w:before="120" w:after="115" w:line="360" w:lineRule="auto"/>
        <w:rPr>
          <w:rFonts w:ascii="Arial" w:hAnsi="Arial" w:cs="Arial"/>
          <w:b/>
          <w:bCs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=-α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G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N</m:t>
          </m:r>
        </m:oMath>
      </m:oMathPara>
    </w:p>
    <w:p w14:paraId="17A040CD" w14:textId="04FF3E10" w:rsidR="0051102C" w:rsidRDefault="005D0237" w:rsidP="0051102C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Model of Columbian Force </w:t>
      </w:r>
    </w:p>
    <w:p w14:paraId="176F9434" w14:textId="7A272F9A" w:rsidR="00071382" w:rsidRDefault="00D853DB" w:rsidP="00B7755F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section, we derive a parametrized model of the effects of electric field distortion in a CCD that are induced by charges residing within the CCD during exposure. We model the displacement of effective boundaries of pixel cases by a charge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i, j</m:t>
            </m:r>
          </m:sub>
        </m:sSub>
      </m:oMath>
      <w:r>
        <w:rPr>
          <w:rFonts w:ascii="Arial" w:hAnsi="Arial" w:cs="Arial"/>
          <w:sz w:val="22"/>
          <w:szCs w:val="22"/>
        </w:rPr>
        <w:t xml:space="preserve"> in a bucket at position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i, j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 as </w:t>
      </w:r>
      <m:oMath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i, j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sup>
        </m:sSubSup>
        <m:r>
          <w:rPr>
            <w:rFonts w:ascii="Cambria Math" w:hAnsi="Cambria Math" w:cs="Arial"/>
            <w:sz w:val="22"/>
            <w:szCs w:val="22"/>
          </w:rPr>
          <m:t>/p=</m:t>
        </m:r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i, j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sup>
        </m:sSubSup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i, j</m:t>
            </m:r>
          </m:sub>
        </m:sSub>
        <m:r>
          <w:rPr>
            <w:rFonts w:ascii="Cambria Math" w:hAnsi="Cambria Math" w:cs="Arial"/>
            <w:sz w:val="22"/>
            <w:szCs w:val="22"/>
          </w:rPr>
          <m:t>/2</m:t>
        </m:r>
      </m:oMath>
      <w:r>
        <w:rPr>
          <w:rFonts w:ascii="Arial" w:hAnsi="Arial" w:cs="Arial"/>
          <w:sz w:val="22"/>
          <w:szCs w:val="22"/>
        </w:rPr>
        <w:t xml:space="preserve">. In this equation, we have expressed the perturbing electric field due to charge proportional to the charge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i, j</m:t>
            </m:r>
          </m:sub>
        </m:sSub>
      </m:oMath>
      <w:r>
        <w:rPr>
          <w:rFonts w:ascii="Arial" w:hAnsi="Arial" w:cs="Arial"/>
          <w:sz w:val="22"/>
          <w:szCs w:val="22"/>
        </w:rPr>
        <w:t xml:space="preserve">.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>
        <w:rPr>
          <w:rFonts w:ascii="Arial" w:hAnsi="Arial" w:cs="Arial"/>
          <w:sz w:val="22"/>
          <w:szCs w:val="22"/>
        </w:rPr>
        <w:t xml:space="preserve"> indexes the four boundaries of the pixel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0, 0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 and we label each boundary by the coordinates of the pixel that shares it with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0, 0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. </w:t>
      </w:r>
      <m:oMath>
        <m:r>
          <w:rPr>
            <w:rFonts w:ascii="Cambria Math" w:hAnsi="Cambria Math" w:cs="Arial"/>
            <w:sz w:val="22"/>
            <w:szCs w:val="22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0, 0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, 0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0, 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-1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-1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, 0</m:t>
                </m:r>
              </m:e>
            </m:d>
          </m:e>
        </m:d>
      </m:oMath>
      <w:r>
        <w:rPr>
          <w:rFonts w:ascii="Arial" w:hAnsi="Arial" w:cs="Arial"/>
          <w:sz w:val="22"/>
          <w:szCs w:val="22"/>
        </w:rPr>
        <w:t xml:space="preserve">. </w:t>
      </w:r>
    </w:p>
    <w:p w14:paraId="4C5A2E7D" w14:textId="05A466FA" w:rsidR="00731C6B" w:rsidRPr="00731C6B" w:rsidRDefault="00731C6B" w:rsidP="00731C6B">
      <w:pPr>
        <w:pStyle w:val="ListParagraph"/>
        <w:numPr>
          <w:ilvl w:val="0"/>
          <w:numId w:val="2"/>
        </w:numPr>
        <w:spacing w:before="120" w:after="120" w:line="360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731C6B">
        <w:rPr>
          <w:rFonts w:ascii="Arial" w:hAnsi="Arial" w:cs="Arial"/>
          <w:b/>
          <w:bCs/>
          <w:sz w:val="22"/>
          <w:szCs w:val="22"/>
        </w:rPr>
        <w:t xml:space="preserve">Perturbed Charge </w:t>
      </w:r>
    </w:p>
    <w:p w14:paraId="0C4F0AAC" w14:textId="28722AAA" w:rsidR="00326A87" w:rsidRDefault="00071382" w:rsidP="00071382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difference between charge contents with and without the perturbing electric field is called the </w:t>
      </w:r>
      <w:r w:rsidRPr="00071382">
        <w:rPr>
          <w:rFonts w:ascii="Arial" w:hAnsi="Arial" w:cs="Arial"/>
          <w:i/>
          <w:iCs/>
          <w:sz w:val="22"/>
          <w:szCs w:val="22"/>
        </w:rPr>
        <w:t>charge transfer</w:t>
      </w:r>
      <w:r>
        <w:rPr>
          <w:rFonts w:ascii="Arial" w:hAnsi="Arial" w:cs="Arial"/>
          <w:sz w:val="22"/>
          <w:szCs w:val="22"/>
        </w:rPr>
        <w:t xml:space="preserve">. The </w:t>
      </w:r>
      <w:r w:rsidRPr="00071382">
        <w:rPr>
          <w:rFonts w:ascii="Arial" w:hAnsi="Arial" w:cs="Arial"/>
          <w:i/>
          <w:iCs/>
          <w:sz w:val="22"/>
          <w:szCs w:val="22"/>
        </w:rPr>
        <w:t xml:space="preserve">pixel boundary </w:t>
      </w:r>
      <w:r w:rsidRPr="00071382">
        <w:rPr>
          <w:rFonts w:ascii="Arial" w:hAnsi="Arial" w:cs="Arial"/>
          <w:i/>
          <w:iCs/>
          <w:sz w:val="22"/>
          <w:szCs w:val="22"/>
        </w:rPr>
        <w:t>displacement</w:t>
      </w:r>
      <w:r>
        <w:rPr>
          <w:rFonts w:ascii="Arial" w:hAnsi="Arial" w:cs="Arial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sup>
        </m:sSup>
      </m:oMath>
      <w:r>
        <w:rPr>
          <w:rFonts w:ascii="Arial" w:hAnsi="Arial" w:cs="Arial"/>
          <w:sz w:val="22"/>
          <w:szCs w:val="22"/>
        </w:rPr>
        <w:t xml:space="preserve"> induces a charge transfer between pixel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0, 0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 and pixel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>
        <w:rPr>
          <w:rFonts w:ascii="Arial" w:hAnsi="Arial" w:cs="Arial"/>
          <w:sz w:val="22"/>
          <w:szCs w:val="22"/>
        </w:rPr>
        <w:t xml:space="preserve">. This charge transfer is proportional to both the pixel boundary </w:t>
      </w:r>
      <w:r>
        <w:rPr>
          <w:rFonts w:ascii="Arial" w:hAnsi="Arial" w:cs="Arial"/>
          <w:sz w:val="22"/>
          <w:szCs w:val="22"/>
        </w:rPr>
        <w:lastRenderedPageBreak/>
        <w:t xml:space="preserve">displacement and to the </w:t>
      </w:r>
      <w:r w:rsidRPr="00071382">
        <w:rPr>
          <w:rFonts w:ascii="Arial" w:hAnsi="Arial" w:cs="Arial"/>
          <w:i/>
          <w:iCs/>
          <w:sz w:val="22"/>
          <w:szCs w:val="22"/>
        </w:rPr>
        <w:t>charge density</w:t>
      </w:r>
      <w:r>
        <w:rPr>
          <w:rFonts w:ascii="Arial" w:hAnsi="Arial" w:cs="Arial"/>
          <w:sz w:val="22"/>
          <w:szCs w:val="22"/>
        </w:rPr>
        <w:t xml:space="preserve"> flowing on this boundary. </w:t>
      </w:r>
      <w:r w:rsidR="00326A87">
        <w:rPr>
          <w:rFonts w:ascii="Arial" w:hAnsi="Arial" w:cs="Arial"/>
          <w:sz w:val="22"/>
          <w:szCs w:val="22"/>
        </w:rPr>
        <w:t xml:space="preserve">The charge density drifting on the boundary between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0, 0</m:t>
            </m:r>
          </m:e>
        </m:d>
      </m:oMath>
      <w:r w:rsidR="00326A87">
        <w:rPr>
          <w:rFonts w:ascii="Arial" w:hAnsi="Arial" w:cs="Arial"/>
          <w:sz w:val="22"/>
          <w:szCs w:val="22"/>
        </w:rPr>
        <w:t xml:space="preserve"> and pixel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 w:rsidR="00326A87">
        <w:rPr>
          <w:rFonts w:ascii="Arial" w:hAnsi="Arial" w:cs="Arial"/>
          <w:sz w:val="22"/>
          <w:szCs w:val="22"/>
        </w:rPr>
        <w:t xml:space="preserve"> is given as </w:t>
      </w:r>
    </w:p>
    <w:p w14:paraId="3EDB899C" w14:textId="1D290DAC" w:rsidR="00326A87" w:rsidRPr="00326A87" w:rsidRDefault="00326A87" w:rsidP="00071382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00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sup>
          </m:sSubSup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00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  <w:szCs w:val="22"/>
            </w:rPr>
            <m:t>/2</m:t>
          </m:r>
        </m:oMath>
      </m:oMathPara>
    </w:p>
    <w:p w14:paraId="4AFE494A" w14:textId="1B1C4394" w:rsidR="00326A87" w:rsidRDefault="00326A87" w:rsidP="00071382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Therefore, the </w:t>
      </w:r>
      <w:r w:rsidRPr="00326A87">
        <w:rPr>
          <w:rFonts w:ascii="Arial" w:hAnsi="Arial" w:cs="Arial"/>
          <w:i/>
          <w:iCs/>
          <w:sz w:val="22"/>
          <w:szCs w:val="22"/>
        </w:rPr>
        <w:t>net charge transfers</w:t>
      </w:r>
      <w:r>
        <w:rPr>
          <w:rFonts w:ascii="Arial" w:hAnsi="Arial" w:cs="Arial"/>
          <w:sz w:val="22"/>
          <w:szCs w:val="22"/>
        </w:rPr>
        <w:t xml:space="preserve"> due to perturbing electric fields between pixel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0, 0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 and its neighbour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>
        <w:rPr>
          <w:rFonts w:ascii="Arial" w:hAnsi="Arial" w:cs="Arial"/>
          <w:sz w:val="22"/>
          <w:szCs w:val="22"/>
        </w:rPr>
        <w:t xml:space="preserve"> is given by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926F1" w14:paraId="22707086" w14:textId="77777777" w:rsidTr="00A926F1">
        <w:tc>
          <w:tcPr>
            <w:tcW w:w="4505" w:type="dxa"/>
          </w:tcPr>
          <w:p w14:paraId="63CB213C" w14:textId="448A9D0E" w:rsidR="00A926F1" w:rsidRDefault="00A926F1" w:rsidP="00071382">
            <w:pPr>
              <w:spacing w:before="120"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00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sup>
                </m:sSubSup>
                <m:r>
                  <w:rPr>
                    <w:rFonts w:ascii="Cambria Math" w:hAnsi="Cambria Math" w:cs="Arial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</w:rPr>
                  <m:t>/2</m:t>
                </m:r>
              </m:oMath>
            </m:oMathPara>
          </w:p>
        </w:tc>
        <w:tc>
          <w:tcPr>
            <w:tcW w:w="4505" w:type="dxa"/>
          </w:tcPr>
          <w:p w14:paraId="02C6DF48" w14:textId="7671754A" w:rsidR="00A926F1" w:rsidRDefault="00A926F1" w:rsidP="00071382">
            <w:pPr>
              <w:spacing w:before="120"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00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00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X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 xml:space="preserve">   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00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Arial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00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00</m:t>
                    </m:r>
                  </m:sub>
                </m:sSub>
              </m:oMath>
            </m:oMathPara>
          </w:p>
        </w:tc>
      </w:tr>
    </w:tbl>
    <w:p w14:paraId="02D1CB41" w14:textId="482C8370" w:rsidR="0074112B" w:rsidRPr="0074112B" w:rsidRDefault="0074112B" w:rsidP="00B7755F">
      <w:pPr>
        <w:pStyle w:val="ListParagraph"/>
        <w:numPr>
          <w:ilvl w:val="0"/>
          <w:numId w:val="2"/>
        </w:numPr>
        <w:spacing w:before="120" w:after="120" w:line="360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Correlation </w:t>
      </w:r>
    </w:p>
    <w:p w14:paraId="154603C7" w14:textId="510D35B2" w:rsidR="00B7755F" w:rsidRDefault="000C3D8D" w:rsidP="00B7755F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this parametrization, the variance between pixels in a uniform exposure of average </w:t>
      </w:r>
      <m:oMath>
        <m:r>
          <w:rPr>
            <w:rFonts w:ascii="Cambria Math" w:hAnsi="Cambria Math" w:cs="Arial"/>
            <w:sz w:val="22"/>
            <w:szCs w:val="22"/>
          </w:rPr>
          <m:t>μ</m:t>
        </m:r>
      </m:oMath>
      <w:r>
        <w:rPr>
          <w:rFonts w:ascii="Arial" w:hAnsi="Arial" w:cs="Arial"/>
          <w:sz w:val="22"/>
          <w:szCs w:val="22"/>
        </w:rPr>
        <w:t xml:space="preserve"> and variance </w:t>
      </w:r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r>
        <w:rPr>
          <w:rFonts w:ascii="Arial" w:hAnsi="Arial" w:cs="Arial"/>
          <w:sz w:val="22"/>
          <w:szCs w:val="22"/>
        </w:rPr>
        <w:t xml:space="preserve"> reads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0C3D8D" w14:paraId="5FD0EC42" w14:textId="77777777" w:rsidTr="000C3D8D">
        <w:tc>
          <w:tcPr>
            <w:tcW w:w="4505" w:type="dxa"/>
          </w:tcPr>
          <w:p w14:paraId="20E3DE10" w14:textId="25993732" w:rsidR="000C3D8D" w:rsidRPr="000C3D8D" w:rsidRDefault="000C3D8D" w:rsidP="00B7755F">
            <w:pPr>
              <w:spacing w:before="120" w:after="120" w:line="360" w:lineRule="auto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Cov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00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</w:rPr>
                  <m:t>=Vμ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X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505" w:type="dxa"/>
          </w:tcPr>
          <w:p w14:paraId="60CAD16B" w14:textId="24FEEBCD" w:rsidR="000C3D8D" w:rsidRDefault="000C3D8D" w:rsidP="00B7755F">
            <w:pPr>
              <w:spacing w:before="120"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Cov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00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00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</w:rPr>
                  <m:t>=V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Vμ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00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X</m:t>
                        </m:r>
                      </m:sup>
                    </m:sSubSup>
                  </m:e>
                </m:nary>
              </m:oMath>
            </m:oMathPara>
          </w:p>
        </w:tc>
      </w:tr>
    </w:tbl>
    <w:p w14:paraId="0C1D85BF" w14:textId="67EBE6B0" w:rsidR="00893A76" w:rsidRPr="007B2612" w:rsidRDefault="00893A76" w:rsidP="00B7755F">
      <w:pPr>
        <w:spacing w:before="120" w:after="120" w:line="360" w:lineRule="auto"/>
        <w:jc w:val="both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electrostatic influence from collected charge</w:t>
      </w:r>
      <w:r w:rsidR="00804D8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induces covariances between pixels in uniform exposures that scale with the average and the variance of pixel contents. </w:t>
      </w:r>
      <w:r w:rsidR="00074304" w:rsidRPr="00074304">
        <w:rPr>
          <w:rFonts w:ascii="Arial" w:hAnsi="Arial" w:cs="Arial"/>
          <w:sz w:val="22"/>
          <w:szCs w:val="22"/>
        </w:rPr>
        <w:t xml:space="preserve">If one measures correlation </w:t>
      </w:r>
      <w:r w:rsidR="00E05193" w:rsidRPr="00074304">
        <w:rPr>
          <w:rFonts w:ascii="Arial" w:hAnsi="Arial" w:cs="Arial"/>
          <w:sz w:val="22"/>
          <w:szCs w:val="22"/>
        </w:rPr>
        <w:t>coe</w:t>
      </w:r>
      <w:r w:rsidR="00E05193">
        <w:rPr>
          <w:rFonts w:ascii="Arial" w:hAnsi="Arial" w:cs="Arial"/>
          <w:sz w:val="22"/>
          <w:szCs w:val="22"/>
        </w:rPr>
        <w:t>ff</w:t>
      </w:r>
      <w:r w:rsidR="00E05193" w:rsidRPr="00074304">
        <w:rPr>
          <w:rFonts w:ascii="Arial" w:hAnsi="Arial" w:cs="Arial"/>
          <w:sz w:val="22"/>
          <w:szCs w:val="22"/>
        </w:rPr>
        <w:t>icients</w:t>
      </w:r>
      <w:r w:rsidR="00074304" w:rsidRPr="00074304">
        <w:rPr>
          <w:rFonts w:ascii="Arial" w:hAnsi="Arial" w:cs="Arial"/>
          <w:sz w:val="22"/>
          <w:szCs w:val="22"/>
        </w:rPr>
        <w:t xml:space="preserve"> (ratio</w:t>
      </w:r>
      <w:r w:rsidR="00E05193">
        <w:rPr>
          <w:rFonts w:ascii="Arial" w:hAnsi="Arial" w:cs="Arial"/>
          <w:sz w:val="22"/>
          <w:szCs w:val="22"/>
        </w:rPr>
        <w:t xml:space="preserve"> </w:t>
      </w:r>
      <w:r w:rsidR="00074304" w:rsidRPr="00074304">
        <w:rPr>
          <w:rFonts w:ascii="Arial" w:hAnsi="Arial" w:cs="Arial"/>
          <w:sz w:val="22"/>
          <w:szCs w:val="22"/>
        </w:rPr>
        <w:t xml:space="preserve">of covariance to variance), those are expected to scale </w:t>
      </w:r>
      <w:r w:rsidR="000F2ACE">
        <w:rPr>
          <w:rFonts w:ascii="Arial" w:hAnsi="Arial" w:cs="Arial"/>
          <w:sz w:val="22"/>
          <w:szCs w:val="22"/>
        </w:rPr>
        <w:t xml:space="preserve">linearly </w:t>
      </w:r>
      <w:r w:rsidR="00074304" w:rsidRPr="00074304">
        <w:rPr>
          <w:rFonts w:ascii="Arial" w:hAnsi="Arial" w:cs="Arial"/>
          <w:sz w:val="22"/>
          <w:szCs w:val="22"/>
        </w:rPr>
        <w:t>with the</w:t>
      </w:r>
      <w:r w:rsidR="000307AD">
        <w:rPr>
          <w:rFonts w:ascii="Arial" w:hAnsi="Arial" w:cs="Arial"/>
          <w:sz w:val="22"/>
          <w:szCs w:val="22"/>
        </w:rPr>
        <w:t xml:space="preserve"> </w:t>
      </w:r>
      <w:r w:rsidR="00074304" w:rsidRPr="00074304">
        <w:rPr>
          <w:rFonts w:ascii="Arial" w:hAnsi="Arial" w:cs="Arial"/>
          <w:sz w:val="22"/>
          <w:szCs w:val="22"/>
        </w:rPr>
        <w:t xml:space="preserve">illumination level of the uniform exposure. </w:t>
      </w:r>
    </w:p>
    <w:sectPr w:rsidR="00893A76" w:rsidRPr="007B2612" w:rsidSect="00374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283F"/>
    <w:multiLevelType w:val="hybridMultilevel"/>
    <w:tmpl w:val="756A0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E30FEA"/>
    <w:multiLevelType w:val="hybridMultilevel"/>
    <w:tmpl w:val="54B045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FA"/>
    <w:rsid w:val="0001584F"/>
    <w:rsid w:val="000307AD"/>
    <w:rsid w:val="000556F2"/>
    <w:rsid w:val="00070638"/>
    <w:rsid w:val="00071382"/>
    <w:rsid w:val="00074304"/>
    <w:rsid w:val="00074D9E"/>
    <w:rsid w:val="00076F87"/>
    <w:rsid w:val="00092453"/>
    <w:rsid w:val="000B5988"/>
    <w:rsid w:val="000C3D8D"/>
    <w:rsid w:val="000C4FE9"/>
    <w:rsid w:val="000F2ACE"/>
    <w:rsid w:val="00123B27"/>
    <w:rsid w:val="00127C52"/>
    <w:rsid w:val="001340FA"/>
    <w:rsid w:val="0014222D"/>
    <w:rsid w:val="0018583A"/>
    <w:rsid w:val="001C0920"/>
    <w:rsid w:val="001D0029"/>
    <w:rsid w:val="00205007"/>
    <w:rsid w:val="00222D65"/>
    <w:rsid w:val="0023197F"/>
    <w:rsid w:val="0025588E"/>
    <w:rsid w:val="00266EF2"/>
    <w:rsid w:val="0028064D"/>
    <w:rsid w:val="00297182"/>
    <w:rsid w:val="002B2CFD"/>
    <w:rsid w:val="002F2795"/>
    <w:rsid w:val="00311B86"/>
    <w:rsid w:val="00326A87"/>
    <w:rsid w:val="0036051D"/>
    <w:rsid w:val="00363025"/>
    <w:rsid w:val="003743B8"/>
    <w:rsid w:val="003D080D"/>
    <w:rsid w:val="003E34F7"/>
    <w:rsid w:val="003F0AA6"/>
    <w:rsid w:val="003F0B56"/>
    <w:rsid w:val="004068CA"/>
    <w:rsid w:val="0042166D"/>
    <w:rsid w:val="0042530F"/>
    <w:rsid w:val="00457DDE"/>
    <w:rsid w:val="00486C83"/>
    <w:rsid w:val="004B42C7"/>
    <w:rsid w:val="004F4342"/>
    <w:rsid w:val="005007A1"/>
    <w:rsid w:val="00507CF2"/>
    <w:rsid w:val="0051102C"/>
    <w:rsid w:val="00530937"/>
    <w:rsid w:val="0057583D"/>
    <w:rsid w:val="005D0237"/>
    <w:rsid w:val="005F4575"/>
    <w:rsid w:val="00606005"/>
    <w:rsid w:val="0060602E"/>
    <w:rsid w:val="00614E7E"/>
    <w:rsid w:val="00617CBF"/>
    <w:rsid w:val="00652EA4"/>
    <w:rsid w:val="00707ED4"/>
    <w:rsid w:val="0071767F"/>
    <w:rsid w:val="00731C6B"/>
    <w:rsid w:val="00740297"/>
    <w:rsid w:val="0074112B"/>
    <w:rsid w:val="007A5E5C"/>
    <w:rsid w:val="007A6DA8"/>
    <w:rsid w:val="007B2612"/>
    <w:rsid w:val="007D49C6"/>
    <w:rsid w:val="007F0B39"/>
    <w:rsid w:val="007F47E5"/>
    <w:rsid w:val="00804D85"/>
    <w:rsid w:val="00893A76"/>
    <w:rsid w:val="008B0A8A"/>
    <w:rsid w:val="008C2642"/>
    <w:rsid w:val="008F10CE"/>
    <w:rsid w:val="008F1E94"/>
    <w:rsid w:val="009077F3"/>
    <w:rsid w:val="009E401C"/>
    <w:rsid w:val="00A17B27"/>
    <w:rsid w:val="00A62E9B"/>
    <w:rsid w:val="00A637DB"/>
    <w:rsid w:val="00A85197"/>
    <w:rsid w:val="00A926F1"/>
    <w:rsid w:val="00AC2200"/>
    <w:rsid w:val="00AE358D"/>
    <w:rsid w:val="00B47707"/>
    <w:rsid w:val="00B7755F"/>
    <w:rsid w:val="00C43876"/>
    <w:rsid w:val="00C66029"/>
    <w:rsid w:val="00C71918"/>
    <w:rsid w:val="00C952FB"/>
    <w:rsid w:val="00CE3F1E"/>
    <w:rsid w:val="00D36445"/>
    <w:rsid w:val="00D41155"/>
    <w:rsid w:val="00D422F4"/>
    <w:rsid w:val="00D632FA"/>
    <w:rsid w:val="00D65CBE"/>
    <w:rsid w:val="00D671E6"/>
    <w:rsid w:val="00D84C2E"/>
    <w:rsid w:val="00D853DB"/>
    <w:rsid w:val="00D943B4"/>
    <w:rsid w:val="00DB7824"/>
    <w:rsid w:val="00E02AE2"/>
    <w:rsid w:val="00E05193"/>
    <w:rsid w:val="00EC10FC"/>
    <w:rsid w:val="00ED41A6"/>
    <w:rsid w:val="00EE243F"/>
    <w:rsid w:val="00F10C42"/>
    <w:rsid w:val="00F31551"/>
    <w:rsid w:val="00F33DC2"/>
    <w:rsid w:val="00F71723"/>
    <w:rsid w:val="00F73078"/>
    <w:rsid w:val="00FF4538"/>
    <w:rsid w:val="00FF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A44B"/>
  <w15:chartTrackingRefBased/>
  <w15:docId w15:val="{252915D1-89A1-6C42-9277-DF183AB7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Normal"/>
    <w:qFormat/>
    <w:rsid w:val="00D671E6"/>
    <w:pPr>
      <w:spacing w:before="120" w:after="120" w:line="360" w:lineRule="auto"/>
      <w:jc w:val="center"/>
    </w:pPr>
    <w:rPr>
      <w:rFonts w:ascii="Arial" w:eastAsia="Times New Roman" w:hAnsi="Arial" w:cs="Arial"/>
      <w:b/>
      <w:bCs/>
      <w:color w:val="121212"/>
    </w:rPr>
  </w:style>
  <w:style w:type="paragraph" w:styleId="ListParagraph">
    <w:name w:val="List Paragraph"/>
    <w:basedOn w:val="Normal"/>
    <w:uiPriority w:val="34"/>
    <w:qFormat/>
    <w:rsid w:val="000924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3876"/>
    <w:rPr>
      <w:color w:val="808080"/>
    </w:rPr>
  </w:style>
  <w:style w:type="table" w:styleId="TableGrid">
    <w:name w:val="Table Grid"/>
    <w:basedOn w:val="TableNormal"/>
    <w:uiPriority w:val="39"/>
    <w:rsid w:val="00EE2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Liu</dc:creator>
  <cp:keywords/>
  <dc:description/>
  <cp:lastModifiedBy>Mingyu Liu</cp:lastModifiedBy>
  <cp:revision>103</cp:revision>
  <cp:lastPrinted>2020-03-17T22:23:00Z</cp:lastPrinted>
  <dcterms:created xsi:type="dcterms:W3CDTF">2020-03-16T16:40:00Z</dcterms:created>
  <dcterms:modified xsi:type="dcterms:W3CDTF">2020-03-17T23:45:00Z</dcterms:modified>
</cp:coreProperties>
</file>