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C-MAPSS 数字孪生服务化展示阐述</w:t>
      </w:r>
    </w:p>
    <w:p>
      <w:pPr>
        <w:pStyle w:val="Subtitle"/>
      </w:pPr>
      <w:r>
        <w:t>研究逻辑  演示流程  证据边界  VIVA 讲解</w:t>
      </w:r>
    </w:p>
    <w:p>
      <w:r>
        <w:t>版本 v0.7  |  2026年10月6日  |  配套英文网页展示</w:t>
      </w:r>
    </w:p>
    <w:p>
      <w:pPr>
        <w:pStyle w:val="Heading2"/>
      </w:pPr>
      <w:r>
        <w:t>文档目的与核心结论</w:t>
      </w:r>
    </w:p>
    <w:p>
      <w:r>
        <w:t>本说明用于导师讨论、展示准备与博士答辩。它解释 C-MAPSS 网页中的自动演示与手动答辩模式，说明数字孪生框架如何组织职责、本体如何组织证据，以及服务合同假设如何影响同一资产状态下的建议。</w:t>
      </w:r>
    </w:p>
    <w:p>
      <w:r>
        <w:t>展示的核心问题是：如何把技术状态和服务责任纳入同一条可检查的决策证据链？当前原型实现了从观测、预测、合同情境到拟议建议及语义检查的过程；它尚未实现真实审批、维护交付及服务结果反馈。</w:t>
      </w:r>
    </w:p>
    <w:p>
      <w:pPr>
        <w:pStyle w:val="Heading2"/>
      </w:pPr>
      <w:r>
        <w:t>展示的三层结构</w:t>
      </w:r>
    </w:p>
    <w:tbl>
      <w:tblPr>
        <w:tblW w:type="auto" w:w="0"/>
        <w:tblLayout w:type="fixed"/>
        <w:tblLook w:firstColumn="1" w:firstRow="1" w:lastColumn="0" w:lastRow="0" w:noHBand="0" w:noVBand="1" w:val="04A0"/>
      </w:tblPr>
      <w:tblGrid>
        <w:gridCol w:w="1474"/>
        <w:gridCol w:w="3969"/>
        <w:gridCol w:w="4082"/>
      </w:tblGrid>
      <w:tr>
        <w:trPr>
          <w:tblHeader/>
          <w:cantSplit/>
        </w:trPr>
        <w:tc>
          <w:tcPr>
            <w:tcW w:type="dxa" w:w="1474"/>
            <w:shd w:fill="E4EEE9"/>
            <w:tcMar>
              <w:top w:w="40" w:type="dxa"/>
              <w:bottom w:w="40" w:type="dxa"/>
              <w:left w:w="90" w:type="dxa"/>
              <w:right w:w="90" w:type="dxa"/>
            </w:tcMar>
          </w:tcPr>
          <w:p>
            <w:pPr>
              <w:spacing w:after="60" w:line="271" w:lineRule="auto"/>
            </w:pPr>
            <w:r>
              <w:rPr>
                <w:b/>
                <w:sz w:val="18"/>
              </w:rPr>
              <w:t>层次</w:t>
            </w:r>
          </w:p>
        </w:tc>
        <w:tc>
          <w:tcPr>
            <w:tcW w:type="dxa" w:w="3969"/>
            <w:shd w:fill="E4EEE9"/>
            <w:tcMar>
              <w:top w:w="40" w:type="dxa"/>
              <w:bottom w:w="40" w:type="dxa"/>
              <w:left w:w="90" w:type="dxa"/>
              <w:right w:w="90" w:type="dxa"/>
            </w:tcMar>
          </w:tcPr>
          <w:p>
            <w:pPr>
              <w:spacing w:after="60" w:line="271" w:lineRule="auto"/>
            </w:pPr>
            <w:r>
              <w:rPr>
                <w:b/>
                <w:sz w:val="18"/>
              </w:rPr>
              <w:t>已展示内容</w:t>
            </w:r>
          </w:p>
        </w:tc>
        <w:tc>
          <w:tcPr>
            <w:tcW w:type="dxa" w:w="4082"/>
            <w:shd w:fill="E4EEE9"/>
            <w:tcMar>
              <w:top w:w="40" w:type="dxa"/>
              <w:bottom w:w="40" w:type="dxa"/>
              <w:left w:w="90" w:type="dxa"/>
              <w:right w:w="90" w:type="dxa"/>
            </w:tcMar>
          </w:tcPr>
          <w:p>
            <w:pPr>
              <w:spacing w:after="60" w:line="271" w:lineRule="auto"/>
            </w:pPr>
            <w:r>
              <w:rPr>
                <w:b/>
                <w:sz w:val="18"/>
              </w:rPr>
              <w:t>解释边界</w:t>
            </w:r>
          </w:p>
        </w:tc>
      </w:tr>
      <w:tr>
        <w:trPr>
          <w:cantSplit/>
        </w:trPr>
        <w:tc>
          <w:tcPr>
            <w:tcW w:type="dxa" w:w="1474"/>
            <w:shd w:fill="F5F7F4"/>
            <w:tcMar>
              <w:top w:w="40" w:type="dxa"/>
              <w:bottom w:w="40" w:type="dxa"/>
              <w:left w:w="90" w:type="dxa"/>
              <w:right w:w="90" w:type="dxa"/>
            </w:tcMar>
          </w:tcPr>
          <w:p>
            <w:pPr>
              <w:spacing w:after="60" w:line="271" w:lineRule="auto"/>
            </w:pPr>
            <w:r>
              <w:rPr>
                <w:b w:val="0"/>
                <w:sz w:val="18"/>
              </w:rPr>
              <w:t>资产证据</w:t>
            </w:r>
          </w:p>
        </w:tc>
        <w:tc>
          <w:tcPr>
            <w:tcW w:type="dxa" w:w="3969"/>
            <w:shd w:fill="F5F7F4"/>
            <w:tcMar>
              <w:top w:w="40" w:type="dxa"/>
              <w:bottom w:w="40" w:type="dxa"/>
              <w:left w:w="90" w:type="dxa"/>
              <w:right w:w="90" w:type="dxa"/>
            </w:tcMar>
          </w:tcPr>
          <w:p>
            <w:pPr>
              <w:spacing w:after="60" w:line="271" w:lineRule="auto"/>
            </w:pPr>
            <w:r>
              <w:rPr>
                <w:b w:val="0"/>
                <w:sz w:val="18"/>
              </w:rPr>
              <w:t>原始基准观测、周期窗口、RUL 点估计及残差区间</w:t>
            </w:r>
          </w:p>
        </w:tc>
        <w:tc>
          <w:tcPr>
            <w:tcW w:type="dxa" w:w="4082"/>
            <w:shd w:fill="F5F7F4"/>
            <w:tcMar>
              <w:top w:w="40" w:type="dxa"/>
              <w:bottom w:w="40" w:type="dxa"/>
              <w:left w:w="90" w:type="dxa"/>
              <w:right w:w="90" w:type="dxa"/>
            </w:tcMar>
          </w:tcPr>
          <w:p>
            <w:pPr>
              <w:spacing w:after="60" w:line="271" w:lineRule="auto"/>
            </w:pPr>
            <w:r>
              <w:rPr>
                <w:b w:val="0"/>
                <w:sz w:val="18"/>
              </w:rPr>
              <w:t>数据来自仿真基准回放，不是现场发动机实时连接。</w:t>
            </w:r>
          </w:p>
        </w:tc>
      </w:tr>
      <w:tr>
        <w:trPr>
          <w:cantSplit/>
        </w:trPr>
        <w:tc>
          <w:tcPr>
            <w:tcW w:type="dxa" w:w="1474"/>
            <w:shd w:fill="FFFFFF"/>
            <w:tcMar>
              <w:top w:w="40" w:type="dxa"/>
              <w:bottom w:w="40" w:type="dxa"/>
              <w:left w:w="90" w:type="dxa"/>
              <w:right w:w="90" w:type="dxa"/>
            </w:tcMar>
          </w:tcPr>
          <w:p>
            <w:pPr>
              <w:spacing w:after="60" w:line="271" w:lineRule="auto"/>
            </w:pPr>
            <w:r>
              <w:rPr>
                <w:b w:val="0"/>
                <w:sz w:val="18"/>
              </w:rPr>
              <w:t>服务情境</w:t>
            </w:r>
          </w:p>
        </w:tc>
        <w:tc>
          <w:tcPr>
            <w:tcW w:type="dxa" w:w="3969"/>
            <w:shd w:fill="FFFFFF"/>
            <w:tcMar>
              <w:top w:w="40" w:type="dxa"/>
              <w:bottom w:w="40" w:type="dxa"/>
              <w:left w:w="90" w:type="dxa"/>
              <w:right w:w="90" w:type="dxa"/>
            </w:tcMar>
          </w:tcPr>
          <w:p>
            <w:pPr>
              <w:spacing w:after="60" w:line="271" w:lineRule="auto"/>
            </w:pPr>
            <w:r>
              <w:rPr>
                <w:b w:val="0"/>
                <w:sz w:val="18"/>
              </w:rPr>
              <w:t>假设合同、责任暴露、成本参数、干预阈值、拟议建议</w:t>
            </w:r>
          </w:p>
        </w:tc>
        <w:tc>
          <w:tcPr>
            <w:tcW w:type="dxa" w:w="4082"/>
            <w:shd w:fill="FFFFFF"/>
            <w:tcMar>
              <w:top w:w="40" w:type="dxa"/>
              <w:bottom w:w="40" w:type="dxa"/>
              <w:left w:w="90" w:type="dxa"/>
              <w:right w:w="90" w:type="dxa"/>
            </w:tcMar>
          </w:tcPr>
          <w:p>
            <w:pPr>
              <w:spacing w:after="60" w:line="271" w:lineRule="auto"/>
            </w:pPr>
            <w:r>
              <w:rPr>
                <w:b w:val="0"/>
                <w:sz w:val="18"/>
              </w:rPr>
              <w:t>参数用于机制说明，不来自真实航空合同。</w:t>
            </w:r>
          </w:p>
        </w:tc>
      </w:tr>
      <w:tr>
        <w:trPr>
          <w:cantSplit/>
        </w:trPr>
        <w:tc>
          <w:tcPr>
            <w:tcW w:type="dxa" w:w="1474"/>
            <w:shd w:fill="F5F7F4"/>
            <w:tcMar>
              <w:top w:w="40" w:type="dxa"/>
              <w:bottom w:w="40" w:type="dxa"/>
              <w:left w:w="90" w:type="dxa"/>
              <w:right w:w="90" w:type="dxa"/>
            </w:tcMar>
          </w:tcPr>
          <w:p>
            <w:pPr>
              <w:spacing w:after="60" w:line="271" w:lineRule="auto"/>
            </w:pPr>
            <w:r>
              <w:rPr>
                <w:b w:val="0"/>
                <w:sz w:val="18"/>
              </w:rPr>
              <w:t>证据与交接</w:t>
            </w:r>
          </w:p>
        </w:tc>
        <w:tc>
          <w:tcPr>
            <w:tcW w:type="dxa" w:w="3969"/>
            <w:shd w:fill="F5F7F4"/>
            <w:tcMar>
              <w:top w:w="40" w:type="dxa"/>
              <w:bottom w:w="40" w:type="dxa"/>
              <w:left w:w="90" w:type="dxa"/>
              <w:right w:w="90" w:type="dxa"/>
            </w:tcMar>
          </w:tcPr>
          <w:p>
            <w:pPr>
              <w:spacing w:after="60" w:line="271" w:lineRule="auto"/>
            </w:pPr>
            <w:r>
              <w:rPr>
                <w:b w:val="0"/>
                <w:sz w:val="18"/>
              </w:rPr>
              <w:t>RDF、SPARQL、SHACL、模型和数据来源记录</w:t>
            </w:r>
          </w:p>
        </w:tc>
        <w:tc>
          <w:tcPr>
            <w:tcW w:type="dxa" w:w="4082"/>
            <w:shd w:fill="F5F7F4"/>
            <w:tcMar>
              <w:top w:w="40" w:type="dxa"/>
              <w:bottom w:w="40" w:type="dxa"/>
              <w:left w:w="90" w:type="dxa"/>
              <w:right w:w="90" w:type="dxa"/>
            </w:tcMar>
          </w:tcPr>
          <w:p>
            <w:pPr>
              <w:spacing w:after="60" w:line="271" w:lineRule="auto"/>
            </w:pPr>
            <w:r>
              <w:rPr>
                <w:b w:val="0"/>
                <w:sz w:val="18"/>
              </w:rPr>
              <w:t>语义检查不等于预测准确、行动安全或合同履约。</w:t>
            </w:r>
          </w:p>
        </w:tc>
      </w:tr>
    </w:tbl>
    <w:p>
      <w:pPr>
        <w:spacing w:after="0"/>
      </w:pPr>
    </w:p>
    <w:p>
      <w:pPr>
        <w:pStyle w:val="Heading2"/>
      </w:pPr>
      <w:r>
        <w:t>如何阅读和使用</w:t>
      </w:r>
    </w:p>
    <w:p>
      <w:r>
        <w:t>第二至四页解释案例分工、九幕叙事及框架与本体协同；第五页给出定量证据和敏感性解释；第六页区分候选贡献与缺失验证；第七页提供操作顺序与答辩讲解；第八页列出常见追问及基础版本来源；第九至十二页记录第二轮修改、对照实验和再次审查结论。</w:t>
      </w:r>
    </w:p>
    <w:p>
      <w:hyperlink r:id="rId10">
        <w:r>
          <w:rPr>
            <w:color w:val="17665E"/>
          </w:rPr>
          <w:t>打开英文自动演示与 Viva 模式</w:t>
        </w:r>
      </w:hyperlink>
    </w:p>
    <w:p>
      <w:r>
        <w:t>网页入口：Mode → Automatic overview 或 Viva · manual inspection。默认自动演示约三分钟，实际时长另受语义执行时间影响。</w:t>
      </w:r>
    </w:p>
    <w:p>
      <w:r>
        <w:br w:type="page"/>
      </w:r>
    </w:p>
    <w:p>
      <w:pPr>
        <w:pStyle w:val="Heading1"/>
      </w:pPr>
      <w:r>
        <w:t>1 两个案例的研究分工</w:t>
      </w:r>
    </w:p>
    <w:p>
      <w:r>
        <w:t>两个案例共同服务于“基于框架职责与本体数据结构的数字孪生服务化”这一研究主题。它们分别展示过程组织和建议依据，不能简单划分为一个只讲框架、另一个只讲本体。</w:t>
      </w:r>
    </w:p>
    <w:tbl>
      <w:tblPr>
        <w:tblW w:type="auto" w:w="0"/>
        <w:tblLayout w:type="fixed"/>
        <w:tblLook w:firstColumn="1" w:firstRow="1" w:lastColumn="0" w:lastRow="0" w:noHBand="0" w:noVBand="1" w:val="04A0"/>
      </w:tblPr>
      <w:tblGrid>
        <w:gridCol w:w="1474"/>
        <w:gridCol w:w="4025"/>
        <w:gridCol w:w="4025"/>
      </w:tblGrid>
      <w:tr>
        <w:trPr>
          <w:tblHeader/>
          <w:cantSplit/>
        </w:trPr>
        <w:tc>
          <w:tcPr>
            <w:tcW w:type="dxa" w:w="1474"/>
            <w:shd w:fill="E4EEE9"/>
            <w:tcMar>
              <w:top w:w="40" w:type="dxa"/>
              <w:bottom w:w="40" w:type="dxa"/>
              <w:left w:w="90" w:type="dxa"/>
              <w:right w:w="90" w:type="dxa"/>
            </w:tcMar>
          </w:tcPr>
          <w:p>
            <w:pPr>
              <w:spacing w:after="60" w:line="271" w:lineRule="auto"/>
            </w:pPr>
            <w:r>
              <w:rPr>
                <w:b/>
                <w:sz w:val="18"/>
              </w:rPr>
              <w:t>比较维度</w:t>
            </w:r>
          </w:p>
        </w:tc>
        <w:tc>
          <w:tcPr>
            <w:tcW w:type="dxa" w:w="4025"/>
            <w:shd w:fill="E4EEE9"/>
            <w:tcMar>
              <w:top w:w="40" w:type="dxa"/>
              <w:bottom w:w="40" w:type="dxa"/>
              <w:left w:w="90" w:type="dxa"/>
              <w:right w:w="90" w:type="dxa"/>
            </w:tcMar>
          </w:tcPr>
          <w:p>
            <w:pPr>
              <w:spacing w:after="60" w:line="271" w:lineRule="auto"/>
            </w:pPr>
            <w:r>
              <w:rPr>
                <w:b/>
                <w:sz w:val="18"/>
              </w:rPr>
              <w:t>微型风机</w:t>
            </w:r>
          </w:p>
        </w:tc>
        <w:tc>
          <w:tcPr>
            <w:tcW w:type="dxa" w:w="4025"/>
            <w:shd w:fill="E4EEE9"/>
            <w:tcMar>
              <w:top w:w="40" w:type="dxa"/>
              <w:bottom w:w="40" w:type="dxa"/>
              <w:left w:w="90" w:type="dxa"/>
              <w:right w:w="90" w:type="dxa"/>
            </w:tcMar>
          </w:tcPr>
          <w:p>
            <w:pPr>
              <w:spacing w:after="60" w:line="271" w:lineRule="auto"/>
            </w:pPr>
            <w:r>
              <w:rPr>
                <w:b/>
                <w:sz w:val="18"/>
              </w:rPr>
              <w:t>C-MAPSS</w:t>
            </w:r>
          </w:p>
        </w:tc>
      </w:tr>
      <w:tr>
        <w:trPr>
          <w:cantSplit/>
        </w:trPr>
        <w:tc>
          <w:tcPr>
            <w:tcW w:type="dxa" w:w="1474"/>
            <w:shd w:fill="F5F7F4"/>
            <w:tcMar>
              <w:top w:w="40" w:type="dxa"/>
              <w:bottom w:w="40" w:type="dxa"/>
              <w:left w:w="90" w:type="dxa"/>
              <w:right w:w="90" w:type="dxa"/>
            </w:tcMar>
          </w:tcPr>
          <w:p>
            <w:pPr>
              <w:spacing w:after="60" w:line="271" w:lineRule="auto"/>
            </w:pPr>
            <w:r>
              <w:rPr>
                <w:b w:val="0"/>
                <w:sz w:val="18"/>
              </w:rPr>
              <w:t>核心问题</w:t>
            </w:r>
          </w:p>
        </w:tc>
        <w:tc>
          <w:tcPr>
            <w:tcW w:type="dxa" w:w="4025"/>
            <w:shd w:fill="F5F7F4"/>
            <w:tcMar>
              <w:top w:w="40" w:type="dxa"/>
              <w:bottom w:w="40" w:type="dxa"/>
              <w:left w:w="90" w:type="dxa"/>
              <w:right w:w="90" w:type="dxa"/>
            </w:tcMar>
          </w:tcPr>
          <w:p>
            <w:pPr>
              <w:spacing w:after="60" w:line="271" w:lineRule="auto"/>
            </w:pPr>
            <w:r>
              <w:rPr>
                <w:b w:val="0"/>
                <w:sz w:val="18"/>
              </w:rPr>
              <w:t>服务过程怎样运行？</w:t>
            </w:r>
          </w:p>
        </w:tc>
        <w:tc>
          <w:tcPr>
            <w:tcW w:type="dxa" w:w="4025"/>
            <w:shd w:fill="F5F7F4"/>
            <w:tcMar>
              <w:top w:w="40" w:type="dxa"/>
              <w:bottom w:w="40" w:type="dxa"/>
              <w:left w:w="90" w:type="dxa"/>
              <w:right w:w="90" w:type="dxa"/>
            </w:tcMar>
          </w:tcPr>
          <w:p>
            <w:pPr>
              <w:spacing w:after="60" w:line="271" w:lineRule="auto"/>
            </w:pPr>
            <w:r>
              <w:rPr>
                <w:b w:val="0"/>
                <w:sz w:val="18"/>
              </w:rPr>
              <w:t>服务建议凭什么成立？</w:t>
            </w:r>
          </w:p>
        </w:tc>
      </w:tr>
      <w:tr>
        <w:trPr>
          <w:cantSplit/>
        </w:trPr>
        <w:tc>
          <w:tcPr>
            <w:tcW w:type="dxa" w:w="1474"/>
            <w:shd w:fill="FFFFFF"/>
            <w:tcMar>
              <w:top w:w="40" w:type="dxa"/>
              <w:bottom w:w="40" w:type="dxa"/>
              <w:left w:w="90" w:type="dxa"/>
              <w:right w:w="90" w:type="dxa"/>
            </w:tcMar>
          </w:tcPr>
          <w:p>
            <w:pPr>
              <w:spacing w:after="60" w:line="271" w:lineRule="auto"/>
            </w:pPr>
            <w:r>
              <w:rPr>
                <w:b w:val="0"/>
                <w:sz w:val="18"/>
              </w:rPr>
              <w:t>叙事主线</w:t>
            </w:r>
          </w:p>
        </w:tc>
        <w:tc>
          <w:tcPr>
            <w:tcW w:type="dxa" w:w="4025"/>
            <w:shd w:fill="FFFFFF"/>
            <w:tcMar>
              <w:top w:w="40" w:type="dxa"/>
              <w:bottom w:w="40" w:type="dxa"/>
              <w:left w:w="90" w:type="dxa"/>
              <w:right w:w="90" w:type="dxa"/>
            </w:tcMar>
          </w:tcPr>
          <w:p>
            <w:pPr>
              <w:spacing w:after="60" w:line="271" w:lineRule="auto"/>
            </w:pPr>
            <w:r>
              <w:rPr>
                <w:b w:val="0"/>
                <w:sz w:val="18"/>
              </w:rPr>
              <w:t>模拟状态 → 服务选择 → 停机与修复 → 状态更新。</w:t>
            </w:r>
          </w:p>
        </w:tc>
        <w:tc>
          <w:tcPr>
            <w:tcW w:type="dxa" w:w="4025"/>
            <w:shd w:fill="FFFFFF"/>
            <w:tcMar>
              <w:top w:w="40" w:type="dxa"/>
              <w:bottom w:w="40" w:type="dxa"/>
              <w:left w:w="90" w:type="dxa"/>
              <w:right w:w="90" w:type="dxa"/>
            </w:tcMar>
          </w:tcPr>
          <w:p>
            <w:pPr>
              <w:spacing w:after="60" w:line="271" w:lineRule="auto"/>
            </w:pPr>
            <w:r>
              <w:rPr>
                <w:b w:val="0"/>
                <w:sz w:val="18"/>
              </w:rPr>
              <w:t>退化观测 → 前缀预测 → 合同情境 → 建议与证据。</w:t>
            </w:r>
          </w:p>
        </w:tc>
      </w:tr>
      <w:tr>
        <w:trPr>
          <w:cantSplit/>
        </w:trPr>
        <w:tc>
          <w:tcPr>
            <w:tcW w:type="dxa" w:w="1474"/>
            <w:shd w:fill="F5F7F4"/>
            <w:tcMar>
              <w:top w:w="40" w:type="dxa"/>
              <w:bottom w:w="40" w:type="dxa"/>
              <w:left w:w="90" w:type="dxa"/>
              <w:right w:w="90" w:type="dxa"/>
            </w:tcMar>
          </w:tcPr>
          <w:p>
            <w:pPr>
              <w:spacing w:after="60" w:line="271" w:lineRule="auto"/>
            </w:pPr>
            <w:r>
              <w:rPr>
                <w:b w:val="0"/>
                <w:sz w:val="18"/>
              </w:rPr>
              <w:t>框架重点</w:t>
            </w:r>
          </w:p>
        </w:tc>
        <w:tc>
          <w:tcPr>
            <w:tcW w:type="dxa" w:w="4025"/>
            <w:shd w:fill="F5F7F4"/>
            <w:tcMar>
              <w:top w:w="40" w:type="dxa"/>
              <w:bottom w:w="40" w:type="dxa"/>
              <w:left w:w="90" w:type="dxa"/>
              <w:right w:w="90" w:type="dxa"/>
            </w:tcMar>
          </w:tcPr>
          <w:p>
            <w:pPr>
              <w:spacing w:after="60" w:line="271" w:lineRule="auto"/>
            </w:pPr>
            <w:r>
              <w:rPr>
                <w:b w:val="0"/>
                <w:sz w:val="18"/>
              </w:rPr>
              <w:t>监测、决策、服务执行与反馈功能的组织协调。</w:t>
            </w:r>
          </w:p>
        </w:tc>
        <w:tc>
          <w:tcPr>
            <w:tcW w:type="dxa" w:w="4025"/>
            <w:shd w:fill="F5F7F4"/>
            <w:tcMar>
              <w:top w:w="40" w:type="dxa"/>
              <w:bottom w:w="40" w:type="dxa"/>
              <w:left w:w="90" w:type="dxa"/>
              <w:right w:w="90" w:type="dxa"/>
            </w:tcMar>
          </w:tcPr>
          <w:p>
            <w:pPr>
              <w:spacing w:after="60" w:line="271" w:lineRule="auto"/>
            </w:pPr>
            <w:r>
              <w:rPr>
                <w:b w:val="0"/>
                <w:sz w:val="18"/>
              </w:rPr>
              <w:t>数据、预测、决策之间的职责位置和交接边界。</w:t>
            </w:r>
          </w:p>
        </w:tc>
      </w:tr>
      <w:tr>
        <w:trPr>
          <w:cantSplit/>
        </w:trPr>
        <w:tc>
          <w:tcPr>
            <w:tcW w:type="dxa" w:w="1474"/>
            <w:shd w:fill="FFFFFF"/>
            <w:tcMar>
              <w:top w:w="40" w:type="dxa"/>
              <w:bottom w:w="40" w:type="dxa"/>
              <w:left w:w="90" w:type="dxa"/>
              <w:right w:w="90" w:type="dxa"/>
            </w:tcMar>
          </w:tcPr>
          <w:p>
            <w:pPr>
              <w:spacing w:after="60" w:line="271" w:lineRule="auto"/>
            </w:pPr>
            <w:r>
              <w:rPr>
                <w:b w:val="0"/>
                <w:sz w:val="18"/>
              </w:rPr>
              <w:t>本体重点</w:t>
            </w:r>
          </w:p>
        </w:tc>
        <w:tc>
          <w:tcPr>
            <w:tcW w:type="dxa" w:w="4025"/>
            <w:shd w:fill="FFFFFF"/>
            <w:tcMar>
              <w:top w:w="40" w:type="dxa"/>
              <w:bottom w:w="40" w:type="dxa"/>
              <w:left w:w="90" w:type="dxa"/>
              <w:right w:w="90" w:type="dxa"/>
            </w:tcMar>
          </w:tcPr>
          <w:p>
            <w:pPr>
              <w:spacing w:after="60" w:line="271" w:lineRule="auto"/>
            </w:pPr>
            <w:r>
              <w:rPr>
                <w:b w:val="0"/>
                <w:sz w:val="18"/>
              </w:rPr>
              <w:t>运行快照、候选行动、模型特征和服务证据的关联。</w:t>
            </w:r>
          </w:p>
        </w:tc>
        <w:tc>
          <w:tcPr>
            <w:tcW w:type="dxa" w:w="4025"/>
            <w:shd w:fill="FFFFFF"/>
            <w:tcMar>
              <w:top w:w="40" w:type="dxa"/>
              <w:bottom w:w="40" w:type="dxa"/>
              <w:left w:w="90" w:type="dxa"/>
              <w:right w:w="90" w:type="dxa"/>
            </w:tcMar>
          </w:tcPr>
          <w:p>
            <w:pPr>
              <w:spacing w:after="60" w:line="271" w:lineRule="auto"/>
            </w:pPr>
            <w:r>
              <w:rPr>
                <w:b w:val="0"/>
                <w:sz w:val="18"/>
              </w:rPr>
              <w:t>资产身份、周期单位、预测来源、合同策略与建议的关联。</w:t>
            </w:r>
          </w:p>
        </w:tc>
      </w:tr>
      <w:tr>
        <w:trPr>
          <w:cantSplit/>
        </w:trPr>
        <w:tc>
          <w:tcPr>
            <w:tcW w:type="dxa" w:w="1474"/>
            <w:shd w:fill="F5F7F4"/>
            <w:tcMar>
              <w:top w:w="40" w:type="dxa"/>
              <w:bottom w:w="40" w:type="dxa"/>
              <w:left w:w="90" w:type="dxa"/>
              <w:right w:w="90" w:type="dxa"/>
            </w:tcMar>
          </w:tcPr>
          <w:p>
            <w:pPr>
              <w:spacing w:after="60" w:line="271" w:lineRule="auto"/>
            </w:pPr>
            <w:r>
              <w:rPr>
                <w:b w:val="0"/>
                <w:sz w:val="18"/>
              </w:rPr>
              <w:t>评价重点</w:t>
            </w:r>
          </w:p>
        </w:tc>
        <w:tc>
          <w:tcPr>
            <w:tcW w:type="dxa" w:w="4025"/>
            <w:shd w:fill="F5F7F4"/>
            <w:tcMar>
              <w:top w:w="40" w:type="dxa"/>
              <w:bottom w:w="40" w:type="dxa"/>
              <w:left w:w="90" w:type="dxa"/>
              <w:right w:w="90" w:type="dxa"/>
            </w:tcMar>
          </w:tcPr>
          <w:p>
            <w:pPr>
              <w:spacing w:after="60" w:line="271" w:lineRule="auto"/>
            </w:pPr>
            <w:r>
              <w:rPr>
                <w:b w:val="0"/>
                <w:sz w:val="18"/>
              </w:rPr>
              <w:t>模拟服务核算、策略对比及参数敏感性。</w:t>
            </w:r>
          </w:p>
        </w:tc>
        <w:tc>
          <w:tcPr>
            <w:tcW w:type="dxa" w:w="4025"/>
            <w:shd w:fill="F5F7F4"/>
            <w:tcMar>
              <w:top w:w="40" w:type="dxa"/>
              <w:bottom w:w="40" w:type="dxa"/>
              <w:left w:w="90" w:type="dxa"/>
              <w:right w:w="90" w:type="dxa"/>
            </w:tcMar>
          </w:tcPr>
          <w:p>
            <w:pPr>
              <w:spacing w:after="60" w:line="271" w:lineRule="auto"/>
            </w:pPr>
            <w:r>
              <w:rPr>
                <w:b w:val="0"/>
                <w:sz w:val="18"/>
              </w:rPr>
              <w:t>预测不确定性、固定证据合同对比、追溯及建议敏感性。</w:t>
            </w:r>
          </w:p>
        </w:tc>
      </w:tr>
      <w:tr>
        <w:trPr>
          <w:cantSplit/>
        </w:trPr>
        <w:tc>
          <w:tcPr>
            <w:tcW w:type="dxa" w:w="1474"/>
            <w:shd w:fill="FFFFFF"/>
            <w:tcMar>
              <w:top w:w="40" w:type="dxa"/>
              <w:bottom w:w="40" w:type="dxa"/>
              <w:left w:w="90" w:type="dxa"/>
              <w:right w:w="90" w:type="dxa"/>
            </w:tcMar>
          </w:tcPr>
          <w:p>
            <w:pPr>
              <w:spacing w:after="60" w:line="271" w:lineRule="auto"/>
            </w:pPr>
            <w:r>
              <w:rPr>
                <w:b w:val="0"/>
                <w:sz w:val="18"/>
              </w:rPr>
              <w:t>证据边界</w:t>
            </w:r>
          </w:p>
        </w:tc>
        <w:tc>
          <w:tcPr>
            <w:tcW w:type="dxa" w:w="4025"/>
            <w:shd w:fill="FFFFFF"/>
            <w:tcMar>
              <w:top w:w="40" w:type="dxa"/>
              <w:bottom w:w="40" w:type="dxa"/>
              <w:left w:w="90" w:type="dxa"/>
              <w:right w:w="90" w:type="dxa"/>
            </w:tcMar>
          </w:tcPr>
          <w:p>
            <w:pPr>
              <w:spacing w:after="60" w:line="271" w:lineRule="auto"/>
            </w:pPr>
            <w:r>
              <w:rPr>
                <w:b w:val="0"/>
                <w:sz w:val="18"/>
              </w:rPr>
              <w:t>模拟或参考辅助状态、pseudo-h 寿命和假设成本；不构成独立现场验证。</w:t>
            </w:r>
          </w:p>
        </w:tc>
        <w:tc>
          <w:tcPr>
            <w:tcW w:type="dxa" w:w="4025"/>
            <w:shd w:fill="FFFFFF"/>
            <w:tcMar>
              <w:top w:w="40" w:type="dxa"/>
              <w:bottom w:w="40" w:type="dxa"/>
              <w:left w:w="90" w:type="dxa"/>
              <w:right w:w="90" w:type="dxa"/>
            </w:tcMar>
          </w:tcPr>
          <w:p>
            <w:pPr>
              <w:spacing w:after="60" w:line="271" w:lineRule="auto"/>
            </w:pPr>
            <w:r>
              <w:rPr>
                <w:b w:val="0"/>
                <w:sz w:val="18"/>
              </w:rPr>
              <w:t>NASA 仿真基准回放；无真实合同、维护轨迹或已观测服务收益。</w:t>
            </w:r>
          </w:p>
        </w:tc>
      </w:tr>
    </w:tbl>
    <w:p>
      <w:pPr>
        <w:spacing w:after="0"/>
      </w:pPr>
    </w:p>
    <w:p>
      <w:pPr>
        <w:pStyle w:val="Heading2"/>
      </w:pPr>
      <w:r>
        <w:t>建议的联合讲解顺序</w:t>
      </w:r>
    </w:p>
    <w:p>
      <w:r>
        <w:t>先用风机演示服务过程：哪些功能感知状态、选择服务、记录停机并更新模拟状态。再用 C-MAPSS 检查建议形成的依据：预测来自哪些周期、服务责任如何进入策略、语义关系如何支持查询，以及建议对不确定性假设有多敏感。</w:t>
      </w:r>
    </w:p>
    <w:p>
      <w:pPr>
        <w:pStyle w:val="Heading2"/>
      </w:pPr>
      <w:r>
        <w:t>两个案例合在一起能支持什么</w:t>
      </w:r>
    </w:p>
    <w:p>
      <w:r>
        <w:t>它们提供同一研究方法在两种情境中的实现证据：职责有实现位置，数据有明确关系，服务决策有可检查的依据。两者共同出现并不自动证明跨行业泛化、工业有效性或理论创新；这些结论仍需要相应比较和独立评价。</w:t>
      </w:r>
    </w:p>
    <w:p>
      <w:r>
        <w:t>风机中的模拟修复循环与 C-MAPSS 中尚未执行的物理服务循环必须区分。不能将风机的模拟结果移作 C-MAPSS 的已实现维护收益。</w:t>
      </w:r>
    </w:p>
    <w:p>
      <w:r>
        <w:br w:type="page"/>
      </w:r>
    </w:p>
    <w:p>
      <w:pPr>
        <w:pStyle w:val="Heading1"/>
      </w:pPr>
      <w:r>
        <w:t>2 九幕演示的解释逻辑</w:t>
      </w:r>
    </w:p>
    <w:p>
      <w:r>
        <w:t>自动叙事固定使用 FD001 的 Engine 034。周期 158 和 171 用于说明机制差异，不能代表全部发动机或所有运行条件。每幕均可在 Viva 模式下暂停检查。</w:t>
      </w:r>
    </w:p>
    <w:tbl>
      <w:tblPr>
        <w:tblW w:type="auto" w:w="0"/>
        <w:tblLayout w:type="fixed"/>
        <w:tblLook w:firstColumn="1" w:firstRow="1" w:lastColumn="0" w:lastRow="0" w:noHBand="0" w:noVBand="1" w:val="04A0"/>
      </w:tblPr>
      <w:tblGrid>
        <w:gridCol w:w="1928"/>
        <w:gridCol w:w="3742"/>
        <w:gridCol w:w="3855"/>
      </w:tblGrid>
      <w:tr>
        <w:trPr>
          <w:tblHeader/>
          <w:cantSplit/>
        </w:trPr>
        <w:tc>
          <w:tcPr>
            <w:tcW w:type="dxa" w:w="1928"/>
            <w:shd w:fill="E4EEE9"/>
            <w:tcMar>
              <w:top w:w="40" w:type="dxa"/>
              <w:bottom w:w="40" w:type="dxa"/>
              <w:left w:w="90" w:type="dxa"/>
              <w:right w:w="90" w:type="dxa"/>
            </w:tcMar>
          </w:tcPr>
          <w:p>
            <w:pPr>
              <w:spacing w:after="60" w:line="271" w:lineRule="auto"/>
            </w:pPr>
            <w:r>
              <w:rPr>
                <w:b/>
                <w:sz w:val="18"/>
              </w:rPr>
              <w:t>幕次与界面主题</w:t>
            </w:r>
          </w:p>
        </w:tc>
        <w:tc>
          <w:tcPr>
            <w:tcW w:type="dxa" w:w="3742"/>
            <w:shd w:fill="E4EEE9"/>
            <w:tcMar>
              <w:top w:w="40" w:type="dxa"/>
              <w:bottom w:w="40" w:type="dxa"/>
              <w:left w:w="90" w:type="dxa"/>
              <w:right w:w="90" w:type="dxa"/>
            </w:tcMar>
          </w:tcPr>
          <w:p>
            <w:pPr>
              <w:spacing w:after="60" w:line="271" w:lineRule="auto"/>
            </w:pPr>
            <w:r>
              <w:rPr>
                <w:b/>
                <w:sz w:val="18"/>
              </w:rPr>
              <w:t>演示内容</w:t>
            </w:r>
          </w:p>
        </w:tc>
        <w:tc>
          <w:tcPr>
            <w:tcW w:type="dxa" w:w="3855"/>
            <w:shd w:fill="E4EEE9"/>
            <w:tcMar>
              <w:top w:w="40" w:type="dxa"/>
              <w:bottom w:w="40" w:type="dxa"/>
              <w:left w:w="90" w:type="dxa"/>
              <w:right w:w="90" w:type="dxa"/>
            </w:tcMar>
          </w:tcPr>
          <w:p>
            <w:pPr>
              <w:spacing w:after="60" w:line="271" w:lineRule="auto"/>
            </w:pPr>
            <w:r>
              <w:rPr>
                <w:b/>
                <w:sz w:val="18"/>
              </w:rPr>
              <w:t>应向观众说明的结论</w:t>
            </w:r>
          </w:p>
        </w:tc>
      </w:tr>
      <w:tr>
        <w:trPr>
          <w:cantSplit/>
        </w:trPr>
        <w:tc>
          <w:tcPr>
            <w:tcW w:type="dxa" w:w="1928"/>
            <w:shd w:fill="F5F7F4"/>
            <w:tcMar>
              <w:top w:w="40" w:type="dxa"/>
              <w:bottom w:w="40" w:type="dxa"/>
              <w:left w:w="90" w:type="dxa"/>
              <w:right w:w="90" w:type="dxa"/>
            </w:tcMar>
          </w:tcPr>
          <w:p>
            <w:pPr>
              <w:spacing w:after="60" w:line="271" w:lineRule="auto"/>
            </w:pPr>
            <w:r>
              <w:rPr>
                <w:b w:val="0"/>
                <w:sz w:val="18"/>
              </w:rPr>
              <w:t>01 研究对象</w:t>
            </w:r>
          </w:p>
        </w:tc>
        <w:tc>
          <w:tcPr>
            <w:tcW w:type="dxa" w:w="3742"/>
            <w:shd w:fill="F5F7F4"/>
            <w:tcMar>
              <w:top w:w="40" w:type="dxa"/>
              <w:bottom w:w="40" w:type="dxa"/>
              <w:left w:w="90" w:type="dxa"/>
              <w:right w:w="90" w:type="dxa"/>
            </w:tcMar>
          </w:tcPr>
          <w:p>
            <w:pPr>
              <w:spacing w:after="60" w:line="271" w:lineRule="auto"/>
            </w:pPr>
            <w:r>
              <w:rPr>
                <w:b w:val="0"/>
                <w:sz w:val="18"/>
              </w:rPr>
              <w:t>区分资产证据、服务情境，以及尚未实现的服务交付。</w:t>
            </w:r>
          </w:p>
        </w:tc>
        <w:tc>
          <w:tcPr>
            <w:tcW w:type="dxa" w:w="3855"/>
            <w:shd w:fill="F5F7F4"/>
            <w:tcMar>
              <w:top w:w="40" w:type="dxa"/>
              <w:bottom w:w="40" w:type="dxa"/>
              <w:left w:w="90" w:type="dxa"/>
              <w:right w:w="90" w:type="dxa"/>
            </w:tcMar>
          </w:tcPr>
          <w:p>
            <w:pPr>
              <w:spacing w:after="60" w:line="271" w:lineRule="auto"/>
            </w:pPr>
            <w:r>
              <w:rPr>
                <w:b w:val="0"/>
                <w:sz w:val="18"/>
              </w:rPr>
              <w:t>研究对象包含服务责任与拟议建议，而不只是发动机健康状态。</w:t>
            </w:r>
          </w:p>
        </w:tc>
      </w:tr>
      <w:tr>
        <w:trPr>
          <w:cantSplit/>
        </w:trPr>
        <w:tc>
          <w:tcPr>
            <w:tcW w:type="dxa" w:w="1928"/>
            <w:shd w:fill="FFFFFF"/>
            <w:tcMar>
              <w:top w:w="40" w:type="dxa"/>
              <w:bottom w:w="40" w:type="dxa"/>
              <w:left w:w="90" w:type="dxa"/>
              <w:right w:w="90" w:type="dxa"/>
            </w:tcMar>
          </w:tcPr>
          <w:p>
            <w:pPr>
              <w:spacing w:after="60" w:line="271" w:lineRule="auto"/>
            </w:pPr>
            <w:r>
              <w:rPr>
                <w:b w:val="0"/>
                <w:sz w:val="18"/>
              </w:rPr>
              <w:t>02 观测回放</w:t>
            </w:r>
          </w:p>
        </w:tc>
        <w:tc>
          <w:tcPr>
            <w:tcW w:type="dxa" w:w="3742"/>
            <w:shd w:fill="FFFFFF"/>
            <w:tcMar>
              <w:top w:w="40" w:type="dxa"/>
              <w:bottom w:w="40" w:type="dxa"/>
              <w:left w:w="90" w:type="dxa"/>
              <w:right w:w="90" w:type="dxa"/>
            </w:tcMar>
          </w:tcPr>
          <w:p>
            <w:pPr>
              <w:spacing w:after="60" w:line="271" w:lineRule="auto"/>
            </w:pPr>
            <w:r>
              <w:rPr>
                <w:b w:val="0"/>
                <w:sz w:val="18"/>
              </w:rPr>
              <w:t>回放周期 30–94 的运行条件与传感器记录。</w:t>
            </w:r>
          </w:p>
        </w:tc>
        <w:tc>
          <w:tcPr>
            <w:tcW w:type="dxa" w:w="3855"/>
            <w:shd w:fill="FFFFFF"/>
            <w:tcMar>
              <w:top w:w="40" w:type="dxa"/>
              <w:bottom w:w="40" w:type="dxa"/>
              <w:left w:w="90" w:type="dxa"/>
              <w:right w:w="90" w:type="dxa"/>
            </w:tcMar>
          </w:tcPr>
          <w:p>
            <w:pPr>
              <w:spacing w:after="60" w:line="271" w:lineRule="auto"/>
            </w:pPr>
            <w:r>
              <w:rPr>
                <w:b w:val="0"/>
                <w:sz w:val="18"/>
              </w:rPr>
              <w:t>观测必须保留资产、周期和来源；时间压缩不是实时采集。</w:t>
            </w:r>
          </w:p>
        </w:tc>
      </w:tr>
      <w:tr>
        <w:trPr>
          <w:cantSplit/>
        </w:trPr>
        <w:tc>
          <w:tcPr>
            <w:tcW w:type="dxa" w:w="1928"/>
            <w:shd w:fill="F5F7F4"/>
            <w:tcMar>
              <w:top w:w="40" w:type="dxa"/>
              <w:bottom w:w="40" w:type="dxa"/>
              <w:left w:w="90" w:type="dxa"/>
              <w:right w:w="90" w:type="dxa"/>
            </w:tcMar>
          </w:tcPr>
          <w:p>
            <w:pPr>
              <w:spacing w:after="60" w:line="271" w:lineRule="auto"/>
            </w:pPr>
            <w:r>
              <w:rPr>
                <w:b w:val="0"/>
                <w:sz w:val="18"/>
              </w:rPr>
              <w:t>03 预测与不确定性</w:t>
            </w:r>
          </w:p>
        </w:tc>
        <w:tc>
          <w:tcPr>
            <w:tcW w:type="dxa" w:w="3742"/>
            <w:shd w:fill="F5F7F4"/>
            <w:tcMar>
              <w:top w:w="40" w:type="dxa"/>
              <w:bottom w:w="40" w:type="dxa"/>
              <w:left w:w="90" w:type="dxa"/>
              <w:right w:w="90" w:type="dxa"/>
            </w:tcMar>
          </w:tcPr>
          <w:p>
            <w:pPr>
              <w:spacing w:after="60" w:line="271" w:lineRule="auto"/>
            </w:pPr>
            <w:r>
              <w:rPr>
                <w:b w:val="0"/>
                <w:sz w:val="18"/>
              </w:rPr>
              <w:t>使用至多 30 个可用周期的窗口；展示至周期 158 的估计。</w:t>
            </w:r>
          </w:p>
        </w:tc>
        <w:tc>
          <w:tcPr>
            <w:tcW w:type="dxa" w:w="3855"/>
            <w:shd w:fill="F5F7F4"/>
            <w:tcMar>
              <w:top w:w="40" w:type="dxa"/>
              <w:bottom w:w="40" w:type="dxa"/>
              <w:left w:w="90" w:type="dxa"/>
              <w:right w:w="90" w:type="dxa"/>
            </w:tcMar>
          </w:tcPr>
          <w:p>
            <w:pPr>
              <w:spacing w:after="60" w:line="271" w:lineRule="auto"/>
            </w:pPr>
            <w:r>
              <w:rPr>
                <w:b w:val="0"/>
                <w:sz w:val="18"/>
              </w:rPr>
              <w:t>残差区间有经验覆盖局限；状态分类与行动选择是不同规则。</w:t>
            </w:r>
          </w:p>
        </w:tc>
      </w:tr>
      <w:tr>
        <w:trPr>
          <w:cantSplit/>
        </w:trPr>
        <w:tc>
          <w:tcPr>
            <w:tcW w:type="dxa" w:w="1928"/>
            <w:shd w:fill="FFFFFF"/>
            <w:tcMar>
              <w:top w:w="40" w:type="dxa"/>
              <w:bottom w:w="40" w:type="dxa"/>
              <w:left w:w="90" w:type="dxa"/>
              <w:right w:w="90" w:type="dxa"/>
            </w:tcMar>
          </w:tcPr>
          <w:p>
            <w:pPr>
              <w:spacing w:after="60" w:line="271" w:lineRule="auto"/>
            </w:pPr>
            <w:r>
              <w:rPr>
                <w:b w:val="0"/>
                <w:sz w:val="18"/>
              </w:rPr>
              <w:t>04 架构与语义连接</w:t>
            </w:r>
          </w:p>
        </w:tc>
        <w:tc>
          <w:tcPr>
            <w:tcW w:type="dxa" w:w="3742"/>
            <w:shd w:fill="FFFFFF"/>
            <w:tcMar>
              <w:top w:w="40" w:type="dxa"/>
              <w:bottom w:w="40" w:type="dxa"/>
              <w:left w:w="90" w:type="dxa"/>
              <w:right w:w="90" w:type="dxa"/>
            </w:tcMar>
          </w:tcPr>
          <w:p>
            <w:pPr>
              <w:spacing w:after="60" w:line="271" w:lineRule="auto"/>
            </w:pPr>
            <w:r>
              <w:rPr>
                <w:b w:val="0"/>
                <w:sz w:val="18"/>
              </w:rPr>
              <w:t>依次说明 DCE、DTE、UE、CS 的对象交接，执行查询与检查。</w:t>
            </w:r>
          </w:p>
        </w:tc>
        <w:tc>
          <w:tcPr>
            <w:tcW w:type="dxa" w:w="3855"/>
            <w:shd w:fill="FFFFFF"/>
            <w:tcMar>
              <w:top w:w="40" w:type="dxa"/>
              <w:bottom w:w="40" w:type="dxa"/>
              <w:left w:w="90" w:type="dxa"/>
              <w:right w:w="90" w:type="dxa"/>
            </w:tcMar>
          </w:tcPr>
          <w:p>
            <w:pPr>
              <w:spacing w:after="60" w:line="271" w:lineRule="auto"/>
            </w:pPr>
            <w:r>
              <w:rPr>
                <w:b w:val="0"/>
                <w:sz w:val="18"/>
              </w:rPr>
              <w:t>先计算建议，再生成和检查语义证据；不是 OWL 推导行动。</w:t>
            </w:r>
          </w:p>
        </w:tc>
      </w:tr>
      <w:tr>
        <w:trPr>
          <w:cantSplit/>
        </w:trPr>
        <w:tc>
          <w:tcPr>
            <w:tcW w:type="dxa" w:w="1928"/>
            <w:shd w:fill="F5F7F4"/>
            <w:tcMar>
              <w:top w:w="40" w:type="dxa"/>
              <w:bottom w:w="40" w:type="dxa"/>
              <w:left w:w="90" w:type="dxa"/>
              <w:right w:w="90" w:type="dxa"/>
            </w:tcMar>
          </w:tcPr>
          <w:p>
            <w:pPr>
              <w:spacing w:after="60" w:line="271" w:lineRule="auto"/>
            </w:pPr>
            <w:r>
              <w:rPr>
                <w:b w:val="0"/>
                <w:sz w:val="18"/>
              </w:rPr>
              <w:t>05 缺失单位反例</w:t>
            </w:r>
          </w:p>
        </w:tc>
        <w:tc>
          <w:tcPr>
            <w:tcW w:type="dxa" w:w="3742"/>
            <w:shd w:fill="F5F7F4"/>
            <w:tcMar>
              <w:top w:w="40" w:type="dxa"/>
              <w:bottom w:w="40" w:type="dxa"/>
              <w:left w:w="90" w:type="dxa"/>
              <w:right w:w="90" w:type="dxa"/>
            </w:tcMar>
          </w:tcPr>
          <w:p>
            <w:pPr>
              <w:spacing w:after="60" w:line="271" w:lineRule="auto"/>
            </w:pPr>
            <w:r>
              <w:rPr>
                <w:b w:val="0"/>
                <w:sz w:val="18"/>
              </w:rPr>
              <w:t>在测试副本中移除 RUL 的周期单位，执行 SHACL。</w:t>
            </w:r>
          </w:p>
        </w:tc>
        <w:tc>
          <w:tcPr>
            <w:tcW w:type="dxa" w:w="3855"/>
            <w:shd w:fill="F5F7F4"/>
            <w:tcMar>
              <w:top w:w="40" w:type="dxa"/>
              <w:bottom w:w="40" w:type="dxa"/>
              <w:left w:w="90" w:type="dxa"/>
              <w:right w:w="90" w:type="dxa"/>
            </w:tcMar>
          </w:tcPr>
          <w:p>
            <w:pPr>
              <w:spacing w:after="60" w:line="271" w:lineRule="auto"/>
            </w:pPr>
            <w:r>
              <w:rPr>
                <w:b w:val="0"/>
                <w:sz w:val="18"/>
              </w:rPr>
              <w:t>失败指向证据不完整，不是发动机出现新故障；常规校验也可发现该缺陷。</w:t>
            </w:r>
          </w:p>
        </w:tc>
      </w:tr>
      <w:tr>
        <w:trPr>
          <w:cantSplit/>
        </w:trPr>
        <w:tc>
          <w:tcPr>
            <w:tcW w:type="dxa" w:w="1928"/>
            <w:shd w:fill="FFFFFF"/>
            <w:tcMar>
              <w:top w:w="40" w:type="dxa"/>
              <w:bottom w:w="40" w:type="dxa"/>
              <w:left w:w="90" w:type="dxa"/>
              <w:right w:w="90" w:type="dxa"/>
            </w:tcMar>
          </w:tcPr>
          <w:p>
            <w:pPr>
              <w:spacing w:after="60" w:line="271" w:lineRule="auto"/>
            </w:pPr>
            <w:r>
              <w:rPr>
                <w:b w:val="0"/>
                <w:sz w:val="18"/>
              </w:rPr>
              <w:t>06 固定证据比较合同</w:t>
            </w:r>
          </w:p>
        </w:tc>
        <w:tc>
          <w:tcPr>
            <w:tcW w:type="dxa" w:w="3742"/>
            <w:shd w:fill="FFFFFF"/>
            <w:tcMar>
              <w:top w:w="40" w:type="dxa"/>
              <w:bottom w:w="40" w:type="dxa"/>
              <w:left w:w="90" w:type="dxa"/>
              <w:right w:w="90" w:type="dxa"/>
            </w:tcMar>
          </w:tcPr>
          <w:p>
            <w:pPr>
              <w:spacing w:after="60" w:line="271" w:lineRule="auto"/>
            </w:pPr>
            <w:r>
              <w:rPr>
                <w:b w:val="0"/>
                <w:sz w:val="18"/>
              </w:rPr>
              <w:t>周期 158：同一预测对应不同的假设后果成本。</w:t>
            </w:r>
          </w:p>
        </w:tc>
        <w:tc>
          <w:tcPr>
            <w:tcW w:type="dxa" w:w="3855"/>
            <w:shd w:fill="FFFFFF"/>
            <w:tcMar>
              <w:top w:w="40" w:type="dxa"/>
              <w:bottom w:w="40" w:type="dxa"/>
              <w:left w:w="90" w:type="dxa"/>
              <w:right w:w="90" w:type="dxa"/>
            </w:tcMar>
          </w:tcPr>
          <w:p>
            <w:pPr>
              <w:spacing w:after="60" w:line="271" w:lineRule="auto"/>
            </w:pPr>
            <w:r>
              <w:rPr>
                <w:b w:val="0"/>
                <w:sz w:val="18"/>
              </w:rPr>
              <w:t>成本责任可改变行动排序；此处两种干预阈值均未触发。</w:t>
            </w:r>
          </w:p>
        </w:tc>
      </w:tr>
      <w:tr>
        <w:trPr>
          <w:cantSplit/>
        </w:trPr>
        <w:tc>
          <w:tcPr>
            <w:tcW w:type="dxa" w:w="1928"/>
            <w:shd w:fill="F5F7F4"/>
            <w:tcMar>
              <w:top w:w="40" w:type="dxa"/>
              <w:bottom w:w="40" w:type="dxa"/>
              <w:left w:w="90" w:type="dxa"/>
              <w:right w:w="90" w:type="dxa"/>
            </w:tcMar>
          </w:tcPr>
          <w:p>
            <w:pPr>
              <w:spacing w:after="60" w:line="271" w:lineRule="auto"/>
            </w:pPr>
            <w:r>
              <w:rPr>
                <w:b w:val="0"/>
                <w:sz w:val="18"/>
              </w:rPr>
              <w:t>07 更严格干预策略</w:t>
            </w:r>
          </w:p>
        </w:tc>
        <w:tc>
          <w:tcPr>
            <w:tcW w:type="dxa" w:w="3742"/>
            <w:shd w:fill="F5F7F4"/>
            <w:tcMar>
              <w:top w:w="40" w:type="dxa"/>
              <w:bottom w:w="40" w:type="dxa"/>
              <w:left w:w="90" w:type="dxa"/>
              <w:right w:w="90" w:type="dxa"/>
            </w:tcMar>
          </w:tcPr>
          <w:p>
            <w:pPr>
              <w:spacing w:after="60" w:line="271" w:lineRule="auto"/>
            </w:pPr>
            <w:r>
              <w:rPr>
                <w:b w:val="0"/>
                <w:sz w:val="18"/>
              </w:rPr>
              <w:t>周期 171：下界位于 15 与 25 周期之间。</w:t>
            </w:r>
          </w:p>
        </w:tc>
        <w:tc>
          <w:tcPr>
            <w:tcW w:type="dxa" w:w="3855"/>
            <w:shd w:fill="F5F7F4"/>
            <w:tcMar>
              <w:top w:w="40" w:type="dxa"/>
              <w:bottom w:w="40" w:type="dxa"/>
              <w:left w:w="90" w:type="dxa"/>
              <w:right w:w="90" w:type="dxa"/>
            </w:tcMar>
          </w:tcPr>
          <w:p>
            <w:pPr>
              <w:spacing w:after="60" w:line="271" w:lineRule="auto"/>
            </w:pPr>
            <w:r>
              <w:rPr>
                <w:b w:val="0"/>
                <w:sz w:val="18"/>
              </w:rPr>
              <w:t>更严格门槛改变可选行动，但较早维护不等于更优或已履约。</w:t>
            </w:r>
          </w:p>
        </w:tc>
      </w:tr>
      <w:tr>
        <w:trPr>
          <w:cantSplit/>
        </w:trPr>
        <w:tc>
          <w:tcPr>
            <w:tcW w:type="dxa" w:w="1928"/>
            <w:shd w:fill="FFFFFF"/>
            <w:tcMar>
              <w:top w:w="40" w:type="dxa"/>
              <w:bottom w:w="40" w:type="dxa"/>
              <w:left w:w="90" w:type="dxa"/>
              <w:right w:w="90" w:type="dxa"/>
            </w:tcMar>
          </w:tcPr>
          <w:p>
            <w:pPr>
              <w:spacing w:after="60" w:line="271" w:lineRule="auto"/>
            </w:pPr>
            <w:r>
              <w:rPr>
                <w:b w:val="0"/>
                <w:sz w:val="18"/>
              </w:rPr>
              <w:t>08 证据交付</w:t>
            </w:r>
          </w:p>
        </w:tc>
        <w:tc>
          <w:tcPr>
            <w:tcW w:type="dxa" w:w="3742"/>
            <w:shd w:fill="FFFFFF"/>
            <w:tcMar>
              <w:top w:w="40" w:type="dxa"/>
              <w:bottom w:w="40" w:type="dxa"/>
              <w:left w:w="90" w:type="dxa"/>
              <w:right w:w="90" w:type="dxa"/>
            </w:tcMar>
          </w:tcPr>
          <w:p>
            <w:pPr>
              <w:spacing w:after="60" w:line="271" w:lineRule="auto"/>
            </w:pPr>
            <w:r>
              <w:rPr>
                <w:b w:val="0"/>
                <w:sz w:val="18"/>
              </w:rPr>
              <w:t>周期 181：基准策略也提出维护；可导出证据。</w:t>
            </w:r>
          </w:p>
        </w:tc>
        <w:tc>
          <w:tcPr>
            <w:tcW w:type="dxa" w:w="3855"/>
            <w:shd w:fill="FFFFFF"/>
            <w:tcMar>
              <w:top w:w="40" w:type="dxa"/>
              <w:bottom w:w="40" w:type="dxa"/>
              <w:left w:w="90" w:type="dxa"/>
              <w:right w:w="90" w:type="dxa"/>
            </w:tcMar>
          </w:tcPr>
          <w:p>
            <w:pPr>
              <w:spacing w:after="60" w:line="271" w:lineRule="auto"/>
            </w:pPr>
            <w:r>
              <w:rPr>
                <w:b w:val="0"/>
                <w:sz w:val="18"/>
              </w:rPr>
              <w:t>建议状态仍为 proposed；审批、执行及结果观察仍未完成。</w:t>
            </w:r>
          </w:p>
        </w:tc>
      </w:tr>
      <w:tr>
        <w:trPr>
          <w:cantSplit/>
        </w:trPr>
        <w:tc>
          <w:tcPr>
            <w:tcW w:type="dxa" w:w="1928"/>
            <w:shd w:fill="F5F7F4"/>
            <w:tcMar>
              <w:top w:w="40" w:type="dxa"/>
              <w:bottom w:w="40" w:type="dxa"/>
              <w:left w:w="90" w:type="dxa"/>
              <w:right w:w="90" w:type="dxa"/>
            </w:tcMar>
          </w:tcPr>
          <w:p>
            <w:pPr>
              <w:spacing w:after="60" w:line="271" w:lineRule="auto"/>
            </w:pPr>
            <w:r>
              <w:rPr>
                <w:b w:val="0"/>
                <w:sz w:val="18"/>
              </w:rPr>
              <w:t>09 贡献与局限</w:t>
            </w:r>
          </w:p>
        </w:tc>
        <w:tc>
          <w:tcPr>
            <w:tcW w:type="dxa" w:w="3742"/>
            <w:shd w:fill="F5F7F4"/>
            <w:tcMar>
              <w:top w:w="40" w:type="dxa"/>
              <w:bottom w:w="40" w:type="dxa"/>
              <w:left w:w="90" w:type="dxa"/>
              <w:right w:w="90" w:type="dxa"/>
            </w:tcMar>
          </w:tcPr>
          <w:p>
            <w:pPr>
              <w:spacing w:after="60" w:line="271" w:lineRule="auto"/>
            </w:pPr>
            <w:r>
              <w:rPr>
                <w:b w:val="0"/>
                <w:sz w:val="18"/>
              </w:rPr>
              <w:t>对照实现能力、实际证据和剩余验证。</w:t>
            </w:r>
          </w:p>
        </w:tc>
        <w:tc>
          <w:tcPr>
            <w:tcW w:type="dxa" w:w="3855"/>
            <w:shd w:fill="F5F7F4"/>
            <w:tcMar>
              <w:top w:w="40" w:type="dxa"/>
              <w:bottom w:w="40" w:type="dxa"/>
              <w:left w:w="90" w:type="dxa"/>
              <w:right w:w="90" w:type="dxa"/>
            </w:tcMar>
          </w:tcPr>
          <w:p>
            <w:pPr>
              <w:spacing w:after="60" w:line="271" w:lineRule="auto"/>
            </w:pPr>
            <w:r>
              <w:rPr>
                <w:b w:val="0"/>
                <w:sz w:val="18"/>
              </w:rPr>
              <w:t>区分候选研究贡献与已证明的理论创新、泛化或运营收益。</w:t>
            </w:r>
          </w:p>
        </w:tc>
      </w:tr>
    </w:tbl>
    <w:p>
      <w:pPr>
        <w:spacing w:after="0"/>
      </w:pPr>
    </w:p>
    <w:p>
      <w:pPr>
        <w:pStyle w:val="Heading2"/>
      </w:pPr>
      <w:r>
        <w:t>避免逐字念屏幕</w:t>
      </w:r>
    </w:p>
    <w:p>
      <w:r>
        <w:t>每幕先说一个判断，再指出支撑它的数值或关系。例如第七幕先说“同一状态下，合同策略改变可选行动”，再指向下界、15／25 周期门槛和两种建议。详细假设留到考官追问时展开。</w:t>
      </w:r>
    </w:p>
    <w:p>
      <w:r>
        <w:br w:type="page"/>
      </w:r>
    </w:p>
    <w:p>
      <w:pPr>
        <w:pStyle w:val="Heading1"/>
      </w:pPr>
      <w:r>
        <w:t>3 DT framework 与 ontology 如何协同</w:t>
      </w:r>
    </w:p>
    <w:p>
      <w:r>
        <w:t>Framework 用来定位功能和责任；ontology 用来表达对象、单位与证据关系。在当前实现中，两者通过具体数据对象连接。下表描述研究原型的 ISO 23247-inspired 映射，并非标准条款逐项符合性结论。</w:t>
      </w:r>
    </w:p>
    <w:tbl>
      <w:tblPr>
        <w:tblW w:type="auto" w:w="0"/>
        <w:tblLayout w:type="fixed"/>
        <w:tblLook w:firstColumn="1" w:firstRow="1" w:lastColumn="0" w:lastRow="0" w:noHBand="0" w:noVBand="1" w:val="04A0"/>
      </w:tblPr>
      <w:tblGrid>
        <w:gridCol w:w="1191"/>
        <w:gridCol w:w="4082"/>
        <w:gridCol w:w="4252"/>
      </w:tblGrid>
      <w:tr>
        <w:trPr>
          <w:tblHeader/>
          <w:cantSplit/>
        </w:trPr>
        <w:tc>
          <w:tcPr>
            <w:tcW w:type="dxa" w:w="1191"/>
            <w:shd w:fill="E4EEE9"/>
            <w:tcMar>
              <w:top w:w="40" w:type="dxa"/>
              <w:bottom w:w="40" w:type="dxa"/>
              <w:left w:w="90" w:type="dxa"/>
              <w:right w:w="90" w:type="dxa"/>
            </w:tcMar>
          </w:tcPr>
          <w:p>
            <w:pPr>
              <w:spacing w:after="60" w:line="271" w:lineRule="auto"/>
            </w:pPr>
            <w:r>
              <w:rPr>
                <w:b/>
                <w:sz w:val="18"/>
              </w:rPr>
              <w:t>职责组</w:t>
            </w:r>
          </w:p>
        </w:tc>
        <w:tc>
          <w:tcPr>
            <w:tcW w:type="dxa" w:w="4082"/>
            <w:shd w:fill="E4EEE9"/>
            <w:tcMar>
              <w:top w:w="40" w:type="dxa"/>
              <w:bottom w:w="40" w:type="dxa"/>
              <w:left w:w="90" w:type="dxa"/>
              <w:right w:w="90" w:type="dxa"/>
            </w:tcMar>
          </w:tcPr>
          <w:p>
            <w:pPr>
              <w:spacing w:after="60" w:line="271" w:lineRule="auto"/>
            </w:pPr>
            <w:r>
              <w:rPr>
                <w:b/>
                <w:sz w:val="18"/>
              </w:rPr>
              <w:t>实现位置与交换对象</w:t>
            </w:r>
          </w:p>
        </w:tc>
        <w:tc>
          <w:tcPr>
            <w:tcW w:type="dxa" w:w="4252"/>
            <w:shd w:fill="E4EEE9"/>
            <w:tcMar>
              <w:top w:w="40" w:type="dxa"/>
              <w:bottom w:w="40" w:type="dxa"/>
              <w:left w:w="90" w:type="dxa"/>
              <w:right w:w="90" w:type="dxa"/>
            </w:tcMar>
          </w:tcPr>
          <w:p>
            <w:pPr>
              <w:spacing w:after="60" w:line="271" w:lineRule="auto"/>
            </w:pPr>
            <w:r>
              <w:rPr>
                <w:b/>
                <w:sz w:val="18"/>
              </w:rPr>
              <w:t>作用与边界</w:t>
            </w:r>
          </w:p>
        </w:tc>
      </w:tr>
      <w:tr>
        <w:trPr>
          <w:cantSplit/>
        </w:trPr>
        <w:tc>
          <w:tcPr>
            <w:tcW w:type="dxa" w:w="1191"/>
            <w:shd w:fill="F5F7F4"/>
            <w:tcMar>
              <w:top w:w="40" w:type="dxa"/>
              <w:bottom w:w="40" w:type="dxa"/>
              <w:left w:w="90" w:type="dxa"/>
              <w:right w:w="90" w:type="dxa"/>
            </w:tcMar>
          </w:tcPr>
          <w:p>
            <w:pPr>
              <w:spacing w:after="60" w:line="271" w:lineRule="auto"/>
            </w:pPr>
            <w:r>
              <w:rPr>
                <w:b w:val="0"/>
                <w:sz w:val="18"/>
              </w:rPr>
              <w:t>OE</w:t>
            </w:r>
          </w:p>
        </w:tc>
        <w:tc>
          <w:tcPr>
            <w:tcW w:type="dxa" w:w="4082"/>
            <w:shd w:fill="F5F7F4"/>
            <w:tcMar>
              <w:top w:w="40" w:type="dxa"/>
              <w:bottom w:w="40" w:type="dxa"/>
              <w:left w:w="90" w:type="dxa"/>
              <w:right w:w="90" w:type="dxa"/>
            </w:tcMar>
          </w:tcPr>
          <w:p>
            <w:pPr>
              <w:spacing w:after="60" w:line="271" w:lineRule="auto"/>
            </w:pPr>
            <w:r>
              <w:rPr>
                <w:b w:val="0"/>
                <w:sz w:val="18"/>
              </w:rPr>
              <w:t>发动机身份、数据集与周期情境。</w:t>
            </w:r>
          </w:p>
        </w:tc>
        <w:tc>
          <w:tcPr>
            <w:tcW w:type="dxa" w:w="4252"/>
            <w:shd w:fill="F5F7F4"/>
            <w:tcMar>
              <w:top w:w="40" w:type="dxa"/>
              <w:bottom w:w="40" w:type="dxa"/>
              <w:left w:w="90" w:type="dxa"/>
              <w:right w:w="90" w:type="dxa"/>
            </w:tcMar>
          </w:tcPr>
          <w:p>
            <w:pPr>
              <w:spacing w:after="60" w:line="271" w:lineRule="auto"/>
            </w:pPr>
            <w:r>
              <w:rPr>
                <w:b w:val="0"/>
                <w:sz w:val="18"/>
              </w:rPr>
              <w:t>界定资产对象；没有连接真实物理发动机。</w:t>
            </w:r>
          </w:p>
        </w:tc>
      </w:tr>
      <w:tr>
        <w:trPr>
          <w:cantSplit/>
        </w:trPr>
        <w:tc>
          <w:tcPr>
            <w:tcW w:type="dxa" w:w="1191"/>
            <w:shd w:fill="FFFFFF"/>
            <w:tcMar>
              <w:top w:w="40" w:type="dxa"/>
              <w:bottom w:w="40" w:type="dxa"/>
              <w:left w:w="90" w:type="dxa"/>
              <w:right w:w="90" w:type="dxa"/>
            </w:tcMar>
          </w:tcPr>
          <w:p>
            <w:pPr>
              <w:spacing w:after="60" w:line="271" w:lineRule="auto"/>
            </w:pPr>
            <w:r>
              <w:rPr>
                <w:b w:val="0"/>
                <w:sz w:val="18"/>
              </w:rPr>
              <w:t>DCE</w:t>
            </w:r>
          </w:p>
        </w:tc>
        <w:tc>
          <w:tcPr>
            <w:tcW w:type="dxa" w:w="4082"/>
            <w:shd w:fill="FFFFFF"/>
            <w:tcMar>
              <w:top w:w="40" w:type="dxa"/>
              <w:bottom w:w="40" w:type="dxa"/>
              <w:left w:w="90" w:type="dxa"/>
              <w:right w:w="90" w:type="dxa"/>
            </w:tcMar>
          </w:tcPr>
          <w:p>
            <w:pPr>
              <w:spacing w:after="60" w:line="271" w:lineRule="auto"/>
            </w:pPr>
            <w:r>
              <w:rPr>
                <w:b w:val="0"/>
                <w:sz w:val="18"/>
              </w:rPr>
              <w:t>回放适配器；Observation 与 ObservationWindow。</w:t>
            </w:r>
          </w:p>
        </w:tc>
        <w:tc>
          <w:tcPr>
            <w:tcW w:type="dxa" w:w="4252"/>
            <w:shd w:fill="FFFFFF"/>
            <w:tcMar>
              <w:top w:w="40" w:type="dxa"/>
              <w:bottom w:w="40" w:type="dxa"/>
              <w:left w:w="90" w:type="dxa"/>
              <w:right w:w="90" w:type="dxa"/>
            </w:tcMar>
          </w:tcPr>
          <w:p>
            <w:pPr>
              <w:spacing w:after="60" w:line="271" w:lineRule="auto"/>
            </w:pPr>
            <w:r>
              <w:rPr>
                <w:b w:val="0"/>
                <w:sz w:val="18"/>
              </w:rPr>
              <w:t>保留资产、传感器、周期窗口和文件来源。</w:t>
            </w:r>
          </w:p>
        </w:tc>
      </w:tr>
      <w:tr>
        <w:trPr>
          <w:cantSplit/>
        </w:trPr>
        <w:tc>
          <w:tcPr>
            <w:tcW w:type="dxa" w:w="1191"/>
            <w:shd w:fill="F5F7F4"/>
            <w:tcMar>
              <w:top w:w="40" w:type="dxa"/>
              <w:bottom w:w="40" w:type="dxa"/>
              <w:left w:w="90" w:type="dxa"/>
              <w:right w:w="90" w:type="dxa"/>
            </w:tcMar>
          </w:tcPr>
          <w:p>
            <w:pPr>
              <w:spacing w:after="60" w:line="271" w:lineRule="auto"/>
            </w:pPr>
            <w:r>
              <w:rPr>
                <w:b w:val="0"/>
                <w:sz w:val="18"/>
              </w:rPr>
              <w:t>DTE</w:t>
            </w:r>
          </w:p>
        </w:tc>
        <w:tc>
          <w:tcPr>
            <w:tcW w:type="dxa" w:w="4082"/>
            <w:shd w:fill="F5F7F4"/>
            <w:tcMar>
              <w:top w:w="40" w:type="dxa"/>
              <w:bottom w:w="40" w:type="dxa"/>
              <w:left w:w="90" w:type="dxa"/>
              <w:right w:w="90" w:type="dxa"/>
            </w:tcMar>
          </w:tcPr>
          <w:p>
            <w:pPr>
              <w:spacing w:after="60" w:line="271" w:lineRule="auto"/>
            </w:pPr>
            <w:r>
              <w:rPr>
                <w:b w:val="0"/>
                <w:sz w:val="18"/>
              </w:rPr>
              <w:t>前缀特征及模型导出结果；CycleRULEstimate 与 Model。</w:t>
            </w:r>
          </w:p>
        </w:tc>
        <w:tc>
          <w:tcPr>
            <w:tcW w:type="dxa" w:w="4252"/>
            <w:shd w:fill="F5F7F4"/>
            <w:tcMar>
              <w:top w:w="40" w:type="dxa"/>
              <w:bottom w:w="40" w:type="dxa"/>
              <w:left w:w="90" w:type="dxa"/>
              <w:right w:w="90" w:type="dxa"/>
            </w:tcMar>
          </w:tcPr>
          <w:p>
            <w:pPr>
              <w:spacing w:after="60" w:line="271" w:lineRule="auto"/>
            </w:pPr>
            <w:r>
              <w:rPr>
                <w:b w:val="0"/>
                <w:sz w:val="18"/>
              </w:rPr>
              <w:t>提供估计、上下界、周期单位和模型身份；不是浏览器内重新训练。</w:t>
            </w:r>
          </w:p>
        </w:tc>
      </w:tr>
      <w:tr>
        <w:trPr>
          <w:cantSplit/>
        </w:trPr>
        <w:tc>
          <w:tcPr>
            <w:tcW w:type="dxa" w:w="1191"/>
            <w:shd w:fill="FFFFFF"/>
            <w:tcMar>
              <w:top w:w="40" w:type="dxa"/>
              <w:bottom w:w="40" w:type="dxa"/>
              <w:left w:w="90" w:type="dxa"/>
              <w:right w:w="90" w:type="dxa"/>
            </w:tcMar>
          </w:tcPr>
          <w:p>
            <w:pPr>
              <w:spacing w:after="60" w:line="271" w:lineRule="auto"/>
            </w:pPr>
            <w:r>
              <w:rPr>
                <w:b w:val="0"/>
                <w:sz w:val="18"/>
              </w:rPr>
              <w:t>UE</w:t>
            </w:r>
          </w:p>
        </w:tc>
        <w:tc>
          <w:tcPr>
            <w:tcW w:type="dxa" w:w="4082"/>
            <w:shd w:fill="FFFFFF"/>
            <w:tcMar>
              <w:top w:w="40" w:type="dxa"/>
              <w:bottom w:w="40" w:type="dxa"/>
              <w:left w:w="90" w:type="dxa"/>
              <w:right w:w="90" w:type="dxa"/>
            </w:tcMar>
          </w:tcPr>
          <w:p>
            <w:pPr>
              <w:spacing w:after="60" w:line="271" w:lineRule="auto"/>
            </w:pPr>
            <w:r>
              <w:rPr>
                <w:b w:val="0"/>
                <w:sz w:val="18"/>
              </w:rPr>
              <w:t>TypeScript 建议函数；Contract、Policy 与 Recommendation。</w:t>
            </w:r>
          </w:p>
        </w:tc>
        <w:tc>
          <w:tcPr>
            <w:tcW w:type="dxa" w:w="4252"/>
            <w:shd w:fill="FFFFFF"/>
            <w:tcMar>
              <w:top w:w="40" w:type="dxa"/>
              <w:bottom w:w="40" w:type="dxa"/>
              <w:left w:w="90" w:type="dxa"/>
              <w:right w:w="90" w:type="dxa"/>
            </w:tcMar>
          </w:tcPr>
          <w:p>
            <w:pPr>
              <w:spacing w:after="60" w:line="271" w:lineRule="auto"/>
            </w:pPr>
            <w:r>
              <w:rPr>
                <w:b w:val="0"/>
                <w:sz w:val="18"/>
              </w:rPr>
              <w:t>将预测与假设责任、成本、门槛结合，产生拟议建议。</w:t>
            </w:r>
          </w:p>
        </w:tc>
      </w:tr>
      <w:tr>
        <w:trPr>
          <w:cantSplit/>
        </w:trPr>
        <w:tc>
          <w:tcPr>
            <w:tcW w:type="dxa" w:w="1191"/>
            <w:shd w:fill="F5F7F4"/>
            <w:tcMar>
              <w:top w:w="40" w:type="dxa"/>
              <w:bottom w:w="40" w:type="dxa"/>
              <w:left w:w="90" w:type="dxa"/>
              <w:right w:w="90" w:type="dxa"/>
            </w:tcMar>
          </w:tcPr>
          <w:p>
            <w:pPr>
              <w:spacing w:after="60" w:line="271" w:lineRule="auto"/>
            </w:pPr>
            <w:r>
              <w:rPr>
                <w:b w:val="0"/>
                <w:sz w:val="18"/>
              </w:rPr>
              <w:t>CS</w:t>
            </w:r>
          </w:p>
        </w:tc>
        <w:tc>
          <w:tcPr>
            <w:tcW w:type="dxa" w:w="4082"/>
            <w:shd w:fill="F5F7F4"/>
            <w:tcMar>
              <w:top w:w="40" w:type="dxa"/>
              <w:bottom w:w="40" w:type="dxa"/>
              <w:left w:w="90" w:type="dxa"/>
              <w:right w:w="90" w:type="dxa"/>
            </w:tcMar>
          </w:tcPr>
          <w:p>
            <w:pPr>
              <w:spacing w:after="60" w:line="271" w:lineRule="auto"/>
            </w:pPr>
            <w:r>
              <w:rPr>
                <w:b w:val="0"/>
                <w:sz w:val="18"/>
              </w:rPr>
              <w:t>RDF 生成、SPARQL、SHACL 和来源导出。</w:t>
            </w:r>
          </w:p>
        </w:tc>
        <w:tc>
          <w:tcPr>
            <w:tcW w:type="dxa" w:w="4252"/>
            <w:shd w:fill="F5F7F4"/>
            <w:tcMar>
              <w:top w:w="40" w:type="dxa"/>
              <w:bottom w:w="40" w:type="dxa"/>
              <w:left w:w="90" w:type="dxa"/>
              <w:right w:w="90" w:type="dxa"/>
            </w:tcMar>
          </w:tcPr>
          <w:p>
            <w:pPr>
              <w:spacing w:after="60" w:line="271" w:lineRule="auto"/>
            </w:pPr>
            <w:r>
              <w:rPr>
                <w:b w:val="0"/>
                <w:sz w:val="18"/>
              </w:rPr>
              <w:t>检查并查询已形成的证据链；未实施审批门禁或 OWL 行动推理。</w:t>
            </w:r>
          </w:p>
        </w:tc>
      </w:tr>
    </w:tbl>
    <w:p>
      <w:pPr>
        <w:spacing w:after="0"/>
      </w:pPr>
    </w:p>
    <w:p>
      <w:pPr>
        <w:pStyle w:val="Heading2"/>
      </w:pPr>
      <w:r>
        <w:t>以一个快照解释交接</w:t>
      </w:r>
    </w:p>
    <w:p>
      <w:r>
        <w:t>首先，回放记录通过数据集与发动机标识定位资产。随后，周期窗口为预测提供来源，估计关联所用模型。建议函数读取预测和策略，计算候选行动并选择建议。最后，将这些对象及其关系生成 RDF，运行查询和结构约束检查，为计划人员提供可复核的证据包。</w:t>
      </w:r>
    </w:p>
    <w:p>
      <w:r>
        <w:t>因此，这里的协同不是“框架图旁边放一个本体图”，而是每项责任具有可定位的功能，每个交接对象具有身份、单位和关系，并且可以沿着建议追溯到估计、窗口、模型和来源。动画高亮仅用于解释，不能视为实时网络通信。</w:t>
      </w:r>
    </w:p>
    <w:p>
      <w:pPr>
        <w:pStyle w:val="Heading2"/>
      </w:pPr>
      <w:r>
        <w:t>本体价值应如何表述</w:t>
      </w:r>
    </w:p>
    <w:p>
      <w:r>
        <w:t>当前证据证明可查询性、结构校验和追溯机制能够执行；尚未证明它们优于设计良好的数据库或常规数据结构。缺失单位反例应被描述为执行能力验证。若要主张互操作优势，需要在相同业务问题、缺陷与变更任务上设置公平对照。</w:t>
      </w:r>
    </w:p>
    <w:p>
      <w:r>
        <w:br w:type="page"/>
      </w:r>
    </w:p>
    <w:p>
      <w:pPr>
        <w:pStyle w:val="Heading1"/>
      </w:pPr>
      <w:r>
        <w:t>4 定量证据与敏感性应如何解释</w:t>
      </w:r>
    </w:p>
    <w:p>
      <w:r>
        <w:t>四数据集的预测评价与演示回放范围不同：RMSE 和覆盖率使用各子集完整测试终点；32 台发动机、4,835 个快照是详细回放范围。各子集分别拟合模型，不是跨数据集迁移试验。[2]</w:t>
      </w:r>
    </w:p>
    <w:tbl>
      <w:tblPr>
        <w:tblW w:type="auto" w:w="0"/>
        <w:tblLayout w:type="fixed"/>
        <w:tblLook w:firstColumn="1" w:firstRow="1" w:lastColumn="0" w:lastRow="0" w:noHBand="0" w:noVBand="1" w:val="04A0"/>
      </w:tblPr>
      <w:tblGrid>
        <w:gridCol w:w="2268"/>
        <w:gridCol w:w="3628"/>
        <w:gridCol w:w="3628"/>
      </w:tblGrid>
      <w:tr>
        <w:trPr>
          <w:tblHeader/>
          <w:cantSplit/>
        </w:trPr>
        <w:tc>
          <w:tcPr>
            <w:tcW w:type="dxa" w:w="2268"/>
            <w:shd w:fill="E4EEE9"/>
            <w:tcMar>
              <w:top w:w="40" w:type="dxa"/>
              <w:bottom w:w="40" w:type="dxa"/>
              <w:left w:w="90" w:type="dxa"/>
              <w:right w:w="90" w:type="dxa"/>
            </w:tcMar>
          </w:tcPr>
          <w:p>
            <w:pPr>
              <w:spacing w:after="60" w:line="271" w:lineRule="auto"/>
            </w:pPr>
            <w:r>
              <w:rPr>
                <w:b/>
                <w:sz w:val="18"/>
              </w:rPr>
              <w:t>子集</w:t>
            </w:r>
          </w:p>
        </w:tc>
        <w:tc>
          <w:tcPr>
            <w:tcW w:type="dxa" w:w="3628"/>
            <w:shd w:fill="E4EEE9"/>
            <w:tcMar>
              <w:top w:w="40" w:type="dxa"/>
              <w:bottom w:w="40" w:type="dxa"/>
              <w:left w:w="90" w:type="dxa"/>
              <w:right w:w="90" w:type="dxa"/>
            </w:tcMar>
          </w:tcPr>
          <w:p>
            <w:pPr>
              <w:spacing w:after="60" w:line="271" w:lineRule="auto"/>
            </w:pPr>
            <w:r>
              <w:rPr>
                <w:b/>
                <w:sz w:val="18"/>
              </w:rPr>
              <w:t>终点 RMSE  周期</w:t>
            </w:r>
          </w:p>
        </w:tc>
        <w:tc>
          <w:tcPr>
            <w:tcW w:type="dxa" w:w="3628"/>
            <w:shd w:fill="E4EEE9"/>
            <w:tcMar>
              <w:top w:w="40" w:type="dxa"/>
              <w:bottom w:w="40" w:type="dxa"/>
              <w:left w:w="90" w:type="dxa"/>
              <w:right w:w="90" w:type="dxa"/>
            </w:tcMar>
          </w:tcPr>
          <w:p>
            <w:pPr>
              <w:spacing w:after="60" w:line="271" w:lineRule="auto"/>
            </w:pPr>
            <w:r>
              <w:rPr>
                <w:b/>
                <w:sz w:val="18"/>
              </w:rPr>
              <w:t>经验区间覆盖率</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FD001</w:t>
            </w:r>
          </w:p>
        </w:tc>
        <w:tc>
          <w:tcPr>
            <w:tcW w:type="dxa" w:w="3628"/>
            <w:shd w:fill="F5F7F4"/>
            <w:tcMar>
              <w:top w:w="40" w:type="dxa"/>
              <w:bottom w:w="40" w:type="dxa"/>
              <w:left w:w="90" w:type="dxa"/>
              <w:right w:w="90" w:type="dxa"/>
            </w:tcMar>
          </w:tcPr>
          <w:p>
            <w:pPr>
              <w:spacing w:after="60" w:line="271" w:lineRule="auto"/>
            </w:pPr>
            <w:r>
              <w:rPr>
                <w:b w:val="0"/>
                <w:sz w:val="18"/>
              </w:rPr>
              <w:t>16.69</w:t>
            </w:r>
          </w:p>
        </w:tc>
        <w:tc>
          <w:tcPr>
            <w:tcW w:type="dxa" w:w="3628"/>
            <w:shd w:fill="F5F7F4"/>
            <w:tcMar>
              <w:top w:w="40" w:type="dxa"/>
              <w:bottom w:w="40" w:type="dxa"/>
              <w:left w:w="90" w:type="dxa"/>
              <w:right w:w="90" w:type="dxa"/>
            </w:tcMar>
          </w:tcPr>
          <w:p>
            <w:pPr>
              <w:spacing w:after="60" w:line="271" w:lineRule="auto"/>
            </w:pPr>
            <w:r>
              <w:rPr>
                <w:b w:val="0"/>
                <w:sz w:val="18"/>
              </w:rPr>
              <w:t>78.00%</w:t>
            </w:r>
          </w:p>
        </w:tc>
      </w:tr>
      <w:tr>
        <w:trPr>
          <w:cantSplit/>
        </w:trPr>
        <w:tc>
          <w:tcPr>
            <w:tcW w:type="dxa" w:w="2268"/>
            <w:shd w:fill="FFFFFF"/>
            <w:tcMar>
              <w:top w:w="40" w:type="dxa"/>
              <w:bottom w:w="40" w:type="dxa"/>
              <w:left w:w="90" w:type="dxa"/>
              <w:right w:w="90" w:type="dxa"/>
            </w:tcMar>
          </w:tcPr>
          <w:p>
            <w:pPr>
              <w:spacing w:after="60" w:line="271" w:lineRule="auto"/>
            </w:pPr>
            <w:r>
              <w:rPr>
                <w:b w:val="0"/>
                <w:sz w:val="18"/>
              </w:rPr>
              <w:t>FD002</w:t>
            </w:r>
          </w:p>
        </w:tc>
        <w:tc>
          <w:tcPr>
            <w:tcW w:type="dxa" w:w="3628"/>
            <w:shd w:fill="FFFFFF"/>
            <w:tcMar>
              <w:top w:w="40" w:type="dxa"/>
              <w:bottom w:w="40" w:type="dxa"/>
              <w:left w:w="90" w:type="dxa"/>
              <w:right w:w="90" w:type="dxa"/>
            </w:tcMar>
          </w:tcPr>
          <w:p>
            <w:pPr>
              <w:spacing w:after="60" w:line="271" w:lineRule="auto"/>
            </w:pPr>
            <w:r>
              <w:rPr>
                <w:b w:val="0"/>
                <w:sz w:val="18"/>
              </w:rPr>
              <w:t>28.94</w:t>
            </w:r>
          </w:p>
        </w:tc>
        <w:tc>
          <w:tcPr>
            <w:tcW w:type="dxa" w:w="3628"/>
            <w:shd w:fill="FFFFFF"/>
            <w:tcMar>
              <w:top w:w="40" w:type="dxa"/>
              <w:bottom w:w="40" w:type="dxa"/>
              <w:left w:w="90" w:type="dxa"/>
              <w:right w:w="90" w:type="dxa"/>
            </w:tcMar>
          </w:tcPr>
          <w:p>
            <w:pPr>
              <w:spacing w:after="60" w:line="271" w:lineRule="auto"/>
            </w:pPr>
            <w:r>
              <w:rPr>
                <w:b w:val="0"/>
                <w:sz w:val="18"/>
              </w:rPr>
              <w:t>67.18%</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FD003</w:t>
            </w:r>
          </w:p>
        </w:tc>
        <w:tc>
          <w:tcPr>
            <w:tcW w:type="dxa" w:w="3628"/>
            <w:shd w:fill="F5F7F4"/>
            <w:tcMar>
              <w:top w:w="40" w:type="dxa"/>
              <w:bottom w:w="40" w:type="dxa"/>
              <w:left w:w="90" w:type="dxa"/>
              <w:right w:w="90" w:type="dxa"/>
            </w:tcMar>
          </w:tcPr>
          <w:p>
            <w:pPr>
              <w:spacing w:after="60" w:line="271" w:lineRule="auto"/>
            </w:pPr>
            <w:r>
              <w:rPr>
                <w:b w:val="0"/>
                <w:sz w:val="18"/>
              </w:rPr>
              <w:t>17.86</w:t>
            </w:r>
          </w:p>
        </w:tc>
        <w:tc>
          <w:tcPr>
            <w:tcW w:type="dxa" w:w="3628"/>
            <w:shd w:fill="F5F7F4"/>
            <w:tcMar>
              <w:top w:w="40" w:type="dxa"/>
              <w:bottom w:w="40" w:type="dxa"/>
              <w:left w:w="90" w:type="dxa"/>
              <w:right w:w="90" w:type="dxa"/>
            </w:tcMar>
          </w:tcPr>
          <w:p>
            <w:pPr>
              <w:spacing w:after="60" w:line="271" w:lineRule="auto"/>
            </w:pPr>
            <w:r>
              <w:rPr>
                <w:b w:val="0"/>
                <w:sz w:val="18"/>
              </w:rPr>
              <w:t>69.00%</w:t>
            </w:r>
          </w:p>
        </w:tc>
      </w:tr>
      <w:tr>
        <w:trPr>
          <w:cantSplit/>
        </w:trPr>
        <w:tc>
          <w:tcPr>
            <w:tcW w:type="dxa" w:w="2268"/>
            <w:shd w:fill="FFFFFF"/>
            <w:tcMar>
              <w:top w:w="40" w:type="dxa"/>
              <w:bottom w:w="40" w:type="dxa"/>
              <w:left w:w="90" w:type="dxa"/>
              <w:right w:w="90" w:type="dxa"/>
            </w:tcMar>
          </w:tcPr>
          <w:p>
            <w:pPr>
              <w:spacing w:after="60" w:line="271" w:lineRule="auto"/>
            </w:pPr>
            <w:r>
              <w:rPr>
                <w:b w:val="0"/>
                <w:sz w:val="18"/>
              </w:rPr>
              <w:t>FD004</w:t>
            </w:r>
          </w:p>
        </w:tc>
        <w:tc>
          <w:tcPr>
            <w:tcW w:type="dxa" w:w="3628"/>
            <w:shd w:fill="FFFFFF"/>
            <w:tcMar>
              <w:top w:w="40" w:type="dxa"/>
              <w:bottom w:w="40" w:type="dxa"/>
              <w:left w:w="90" w:type="dxa"/>
              <w:right w:w="90" w:type="dxa"/>
            </w:tcMar>
          </w:tcPr>
          <w:p>
            <w:pPr>
              <w:spacing w:after="60" w:line="271" w:lineRule="auto"/>
            </w:pPr>
            <w:r>
              <w:rPr>
                <w:b w:val="0"/>
                <w:sz w:val="18"/>
              </w:rPr>
              <w:t>30.87</w:t>
            </w:r>
          </w:p>
        </w:tc>
        <w:tc>
          <w:tcPr>
            <w:tcW w:type="dxa" w:w="3628"/>
            <w:shd w:fill="FFFFFF"/>
            <w:tcMar>
              <w:top w:w="40" w:type="dxa"/>
              <w:bottom w:w="40" w:type="dxa"/>
              <w:left w:w="90" w:type="dxa"/>
              <w:right w:w="90" w:type="dxa"/>
            </w:tcMar>
          </w:tcPr>
          <w:p>
            <w:pPr>
              <w:spacing w:after="60" w:line="271" w:lineRule="auto"/>
            </w:pPr>
            <w:r>
              <w:rPr>
                <w:b w:val="0"/>
                <w:sz w:val="18"/>
              </w:rPr>
              <w:t>61.29%</w:t>
            </w:r>
          </w:p>
        </w:tc>
      </w:tr>
    </w:tbl>
    <w:p>
      <w:pPr>
        <w:spacing w:after="0"/>
      </w:pPr>
    </w:p>
    <w:p>
      <w:r>
        <w:t>训练采用 125 周期封顶目标，终点评价使用未封顶真值。残差分位数形成的区间并非保证覆盖率的区间；决策又将其宽度转换为正态近似。因此，预测质量限制会传递到服务建议，不能用 SHACL 通过来替代预测校准。</w:t>
      </w:r>
    </w:p>
    <w:p>
      <w:pPr>
        <w:pStyle w:val="Heading2"/>
      </w:pPr>
      <w:r>
        <w:t>实际计算的敏感性结果</w:t>
      </w:r>
    </w:p>
    <w:p>
      <w:r>
        <w:t>下面固定 availability assurance 为参考合同，逐项改变一个参数。分母均为 FD001 八台选定发动机的 1,233 个相关快照；结果是描述性计数，不是独立试验成功率。[1]</w:t>
      </w:r>
    </w:p>
    <w:tbl>
      <w:tblPr>
        <w:tblW w:type="auto" w:w="0"/>
        <w:tblLayout w:type="fixed"/>
        <w:tblLook w:firstColumn="1" w:firstRow="1" w:lastColumn="0" w:lastRow="0" w:noHBand="0" w:noVBand="1" w:val="04A0"/>
      </w:tblPr>
      <w:tblGrid>
        <w:gridCol w:w="3855"/>
        <w:gridCol w:w="2721"/>
        <w:gridCol w:w="2948"/>
      </w:tblGrid>
      <w:tr>
        <w:trPr>
          <w:tblHeader/>
          <w:cantSplit/>
        </w:trPr>
        <w:tc>
          <w:tcPr>
            <w:tcW w:type="dxa" w:w="3855"/>
            <w:shd w:fill="E4EEE9"/>
            <w:tcMar>
              <w:top w:w="40" w:type="dxa"/>
              <w:bottom w:w="40" w:type="dxa"/>
              <w:left w:w="90" w:type="dxa"/>
              <w:right w:w="90" w:type="dxa"/>
            </w:tcMar>
          </w:tcPr>
          <w:p>
            <w:pPr>
              <w:spacing w:after="60" w:line="271" w:lineRule="auto"/>
            </w:pPr>
            <w:r>
              <w:rPr>
                <w:b/>
                <w:sz w:val="18"/>
              </w:rPr>
              <w:t>单因素情境</w:t>
            </w:r>
          </w:p>
        </w:tc>
        <w:tc>
          <w:tcPr>
            <w:tcW w:type="dxa" w:w="2721"/>
            <w:shd w:fill="E4EEE9"/>
            <w:tcMar>
              <w:top w:w="40" w:type="dxa"/>
              <w:bottom w:w="40" w:type="dxa"/>
              <w:left w:w="90" w:type="dxa"/>
              <w:right w:w="90" w:type="dxa"/>
            </w:tcMar>
          </w:tcPr>
          <w:p>
            <w:pPr>
              <w:spacing w:after="60" w:line="271" w:lineRule="auto"/>
            </w:pPr>
            <w:r>
              <w:rPr>
                <w:b/>
                <w:sz w:val="18"/>
              </w:rPr>
              <w:t>相对参考改变建议</w:t>
            </w:r>
          </w:p>
        </w:tc>
        <w:tc>
          <w:tcPr>
            <w:tcW w:type="dxa" w:w="2948"/>
            <w:shd w:fill="E4EEE9"/>
            <w:tcMar>
              <w:top w:w="40" w:type="dxa"/>
              <w:bottom w:w="40" w:type="dxa"/>
              <w:left w:w="90" w:type="dxa"/>
              <w:right w:w="90" w:type="dxa"/>
            </w:tcMar>
          </w:tcPr>
          <w:p>
            <w:pPr>
              <w:spacing w:after="60" w:line="271" w:lineRule="auto"/>
            </w:pPr>
            <w:r>
              <w:rPr>
                <w:b/>
                <w:sz w:val="18"/>
              </w:rPr>
              <w:t>与同情境简单阈值策略不同</w:t>
            </w:r>
          </w:p>
        </w:tc>
      </w:tr>
      <w:tr>
        <w:trPr>
          <w:cantSplit/>
        </w:trPr>
        <w:tc>
          <w:tcPr>
            <w:tcW w:type="dxa" w:w="3855"/>
            <w:shd w:fill="F5F7F4"/>
            <w:tcMar>
              <w:top w:w="40" w:type="dxa"/>
              <w:bottom w:w="40" w:type="dxa"/>
              <w:left w:w="90" w:type="dxa"/>
              <w:right w:w="90" w:type="dxa"/>
            </w:tcMar>
          </w:tcPr>
          <w:p>
            <w:pPr>
              <w:spacing w:after="60" w:line="271" w:lineRule="auto"/>
            </w:pPr>
            <w:r>
              <w:rPr>
                <w:b w:val="0"/>
                <w:sz w:val="18"/>
              </w:rPr>
              <w:t>参考</w:t>
            </w:r>
          </w:p>
        </w:tc>
        <w:tc>
          <w:tcPr>
            <w:tcW w:type="dxa" w:w="2721"/>
            <w:shd w:fill="F5F7F4"/>
            <w:tcMar>
              <w:top w:w="40" w:type="dxa"/>
              <w:bottom w:w="40" w:type="dxa"/>
              <w:left w:w="90" w:type="dxa"/>
              <w:right w:w="90" w:type="dxa"/>
            </w:tcMar>
          </w:tcPr>
          <w:p>
            <w:pPr>
              <w:spacing w:after="60" w:line="271" w:lineRule="auto"/>
            </w:pPr>
            <w:r>
              <w:rPr>
                <w:b w:val="0"/>
                <w:sz w:val="18"/>
              </w:rPr>
              <w:t>0  (0.0%)</w:t>
            </w:r>
          </w:p>
        </w:tc>
        <w:tc>
          <w:tcPr>
            <w:tcW w:type="dxa" w:w="2948"/>
            <w:shd w:fill="F5F7F4"/>
            <w:tcMar>
              <w:top w:w="40" w:type="dxa"/>
              <w:bottom w:w="40" w:type="dxa"/>
              <w:left w:w="90" w:type="dxa"/>
              <w:right w:w="90" w:type="dxa"/>
            </w:tcMar>
          </w:tcPr>
          <w:p>
            <w:pPr>
              <w:spacing w:after="60" w:line="271" w:lineRule="auto"/>
            </w:pPr>
            <w:r>
              <w:rPr>
                <w:b w:val="0"/>
                <w:sz w:val="18"/>
              </w:rPr>
              <w:t>121</w:t>
            </w:r>
          </w:p>
        </w:tc>
      </w:tr>
      <w:tr>
        <w:trPr>
          <w:cantSplit/>
        </w:trPr>
        <w:tc>
          <w:tcPr>
            <w:tcW w:type="dxa" w:w="3855"/>
            <w:shd w:fill="FFFFFF"/>
            <w:tcMar>
              <w:top w:w="40" w:type="dxa"/>
              <w:bottom w:w="40" w:type="dxa"/>
              <w:left w:w="90" w:type="dxa"/>
              <w:right w:w="90" w:type="dxa"/>
            </w:tcMar>
          </w:tcPr>
          <w:p>
            <w:pPr>
              <w:spacing w:after="60" w:line="271" w:lineRule="auto"/>
            </w:pPr>
            <w:r>
              <w:rPr>
                <w:b w:val="0"/>
                <w:sz w:val="18"/>
              </w:rPr>
              <w:t>后果成本 ×0.75</w:t>
            </w:r>
          </w:p>
        </w:tc>
        <w:tc>
          <w:tcPr>
            <w:tcW w:type="dxa" w:w="2721"/>
            <w:shd w:fill="FFFFFF"/>
            <w:tcMar>
              <w:top w:w="40" w:type="dxa"/>
              <w:bottom w:w="40" w:type="dxa"/>
              <w:left w:w="90" w:type="dxa"/>
              <w:right w:w="90" w:type="dxa"/>
            </w:tcMar>
          </w:tcPr>
          <w:p>
            <w:pPr>
              <w:spacing w:after="60" w:line="271" w:lineRule="auto"/>
            </w:pPr>
            <w:r>
              <w:rPr>
                <w:b w:val="0"/>
                <w:sz w:val="18"/>
              </w:rPr>
              <w:t>8  (0.6%)</w:t>
            </w:r>
          </w:p>
        </w:tc>
        <w:tc>
          <w:tcPr>
            <w:tcW w:type="dxa" w:w="2948"/>
            <w:shd w:fill="FFFFFF"/>
            <w:tcMar>
              <w:top w:w="40" w:type="dxa"/>
              <w:bottom w:w="40" w:type="dxa"/>
              <w:left w:w="90" w:type="dxa"/>
              <w:right w:w="90" w:type="dxa"/>
            </w:tcMar>
          </w:tcPr>
          <w:p>
            <w:pPr>
              <w:spacing w:after="60" w:line="271" w:lineRule="auto"/>
            </w:pPr>
            <w:r>
              <w:rPr>
                <w:b w:val="0"/>
                <w:sz w:val="18"/>
              </w:rPr>
              <w:t>113</w:t>
            </w:r>
          </w:p>
        </w:tc>
      </w:tr>
      <w:tr>
        <w:trPr>
          <w:cantSplit/>
        </w:trPr>
        <w:tc>
          <w:tcPr>
            <w:tcW w:type="dxa" w:w="3855"/>
            <w:shd w:fill="F5F7F4"/>
            <w:tcMar>
              <w:top w:w="40" w:type="dxa"/>
              <w:bottom w:w="40" w:type="dxa"/>
              <w:left w:w="90" w:type="dxa"/>
              <w:right w:w="90" w:type="dxa"/>
            </w:tcMar>
          </w:tcPr>
          <w:p>
            <w:pPr>
              <w:spacing w:after="60" w:line="271" w:lineRule="auto"/>
            </w:pPr>
            <w:r>
              <w:rPr>
                <w:b w:val="0"/>
                <w:sz w:val="18"/>
              </w:rPr>
              <w:t>后果成本 ×1.25</w:t>
            </w:r>
          </w:p>
        </w:tc>
        <w:tc>
          <w:tcPr>
            <w:tcW w:type="dxa" w:w="2721"/>
            <w:shd w:fill="F5F7F4"/>
            <w:tcMar>
              <w:top w:w="40" w:type="dxa"/>
              <w:bottom w:w="40" w:type="dxa"/>
              <w:left w:w="90" w:type="dxa"/>
              <w:right w:w="90" w:type="dxa"/>
            </w:tcMar>
          </w:tcPr>
          <w:p>
            <w:pPr>
              <w:spacing w:after="60" w:line="271" w:lineRule="auto"/>
            </w:pPr>
            <w:r>
              <w:rPr>
                <w:b w:val="0"/>
                <w:sz w:val="18"/>
              </w:rPr>
              <w:t>21  (1.7%)</w:t>
            </w:r>
          </w:p>
        </w:tc>
        <w:tc>
          <w:tcPr>
            <w:tcW w:type="dxa" w:w="2948"/>
            <w:shd w:fill="F5F7F4"/>
            <w:tcMar>
              <w:top w:w="40" w:type="dxa"/>
              <w:bottom w:w="40" w:type="dxa"/>
              <w:left w:w="90" w:type="dxa"/>
              <w:right w:w="90" w:type="dxa"/>
            </w:tcMar>
          </w:tcPr>
          <w:p>
            <w:pPr>
              <w:spacing w:after="60" w:line="271" w:lineRule="auto"/>
            </w:pPr>
            <w:r>
              <w:rPr>
                <w:b w:val="0"/>
                <w:sz w:val="18"/>
              </w:rPr>
              <w:t>135</w:t>
            </w:r>
          </w:p>
        </w:tc>
      </w:tr>
      <w:tr>
        <w:trPr>
          <w:cantSplit/>
        </w:trPr>
        <w:tc>
          <w:tcPr>
            <w:tcW w:type="dxa" w:w="3855"/>
            <w:shd w:fill="FFFFFF"/>
            <w:tcMar>
              <w:top w:w="40" w:type="dxa"/>
              <w:bottom w:w="40" w:type="dxa"/>
              <w:left w:w="90" w:type="dxa"/>
              <w:right w:w="90" w:type="dxa"/>
            </w:tcMar>
          </w:tcPr>
          <w:p>
            <w:pPr>
              <w:spacing w:after="60" w:line="271" w:lineRule="auto"/>
            </w:pPr>
            <w:r>
              <w:rPr>
                <w:b w:val="0"/>
                <w:sz w:val="18"/>
              </w:rPr>
              <w:t>干预门槛 −5 周期</w:t>
            </w:r>
          </w:p>
        </w:tc>
        <w:tc>
          <w:tcPr>
            <w:tcW w:type="dxa" w:w="2721"/>
            <w:shd w:fill="FFFFFF"/>
            <w:tcMar>
              <w:top w:w="40" w:type="dxa"/>
              <w:bottom w:w="40" w:type="dxa"/>
              <w:left w:w="90" w:type="dxa"/>
              <w:right w:w="90" w:type="dxa"/>
            </w:tcMar>
          </w:tcPr>
          <w:p>
            <w:pPr>
              <w:spacing w:after="60" w:line="271" w:lineRule="auto"/>
            </w:pPr>
            <w:r>
              <w:rPr>
                <w:b w:val="0"/>
                <w:sz w:val="18"/>
              </w:rPr>
              <w:t>26  (2.1%)</w:t>
            </w:r>
          </w:p>
        </w:tc>
        <w:tc>
          <w:tcPr>
            <w:tcW w:type="dxa" w:w="2948"/>
            <w:shd w:fill="FFFFFF"/>
            <w:tcMar>
              <w:top w:w="40" w:type="dxa"/>
              <w:bottom w:w="40" w:type="dxa"/>
              <w:left w:w="90" w:type="dxa"/>
              <w:right w:w="90" w:type="dxa"/>
            </w:tcMar>
          </w:tcPr>
          <w:p>
            <w:pPr>
              <w:spacing w:after="60" w:line="271" w:lineRule="auto"/>
            </w:pPr>
            <w:r>
              <w:rPr>
                <w:b w:val="0"/>
                <w:sz w:val="18"/>
              </w:rPr>
              <w:t>147</w:t>
            </w:r>
          </w:p>
        </w:tc>
      </w:tr>
      <w:tr>
        <w:trPr>
          <w:cantSplit/>
        </w:trPr>
        <w:tc>
          <w:tcPr>
            <w:tcW w:type="dxa" w:w="3855"/>
            <w:shd w:fill="F5F7F4"/>
            <w:tcMar>
              <w:top w:w="40" w:type="dxa"/>
              <w:bottom w:w="40" w:type="dxa"/>
              <w:left w:w="90" w:type="dxa"/>
              <w:right w:w="90" w:type="dxa"/>
            </w:tcMar>
          </w:tcPr>
          <w:p>
            <w:pPr>
              <w:spacing w:after="60" w:line="271" w:lineRule="auto"/>
            </w:pPr>
            <w:r>
              <w:rPr>
                <w:b w:val="0"/>
                <w:sz w:val="18"/>
              </w:rPr>
              <w:t>干预门槛 +5 周期</w:t>
            </w:r>
          </w:p>
        </w:tc>
        <w:tc>
          <w:tcPr>
            <w:tcW w:type="dxa" w:w="2721"/>
            <w:shd w:fill="F5F7F4"/>
            <w:tcMar>
              <w:top w:w="40" w:type="dxa"/>
              <w:bottom w:w="40" w:type="dxa"/>
              <w:left w:w="90" w:type="dxa"/>
              <w:right w:w="90" w:type="dxa"/>
            </w:tcMar>
          </w:tcPr>
          <w:p>
            <w:pPr>
              <w:spacing w:after="60" w:line="271" w:lineRule="auto"/>
            </w:pPr>
            <w:r>
              <w:rPr>
                <w:b w:val="0"/>
                <w:sz w:val="18"/>
              </w:rPr>
              <w:t>40  (3.2%)</w:t>
            </w:r>
          </w:p>
        </w:tc>
        <w:tc>
          <w:tcPr>
            <w:tcW w:type="dxa" w:w="2948"/>
            <w:shd w:fill="F5F7F4"/>
            <w:tcMar>
              <w:top w:w="40" w:type="dxa"/>
              <w:bottom w:w="40" w:type="dxa"/>
              <w:left w:w="90" w:type="dxa"/>
              <w:right w:w="90" w:type="dxa"/>
            </w:tcMar>
          </w:tcPr>
          <w:p>
            <w:pPr>
              <w:spacing w:after="60" w:line="271" w:lineRule="auto"/>
            </w:pPr>
            <w:r>
              <w:rPr>
                <w:b w:val="0"/>
                <w:sz w:val="18"/>
              </w:rPr>
              <w:t>81</w:t>
            </w:r>
          </w:p>
        </w:tc>
      </w:tr>
      <w:tr>
        <w:trPr>
          <w:cantSplit/>
        </w:trPr>
        <w:tc>
          <w:tcPr>
            <w:tcW w:type="dxa" w:w="3855"/>
            <w:shd w:fill="FFFFFF"/>
            <w:tcMar>
              <w:top w:w="40" w:type="dxa"/>
              <w:bottom w:w="40" w:type="dxa"/>
              <w:left w:w="90" w:type="dxa"/>
              <w:right w:w="90" w:type="dxa"/>
            </w:tcMar>
          </w:tcPr>
          <w:p>
            <w:pPr>
              <w:spacing w:after="60" w:line="271" w:lineRule="auto"/>
            </w:pPr>
            <w:r>
              <w:rPr>
                <w:b w:val="0"/>
                <w:sz w:val="18"/>
              </w:rPr>
              <w:t>等待期 ×0.75</w:t>
            </w:r>
          </w:p>
        </w:tc>
        <w:tc>
          <w:tcPr>
            <w:tcW w:type="dxa" w:w="2721"/>
            <w:shd w:fill="FFFFFF"/>
            <w:tcMar>
              <w:top w:w="40" w:type="dxa"/>
              <w:bottom w:w="40" w:type="dxa"/>
              <w:left w:w="90" w:type="dxa"/>
              <w:right w:w="90" w:type="dxa"/>
            </w:tcMar>
          </w:tcPr>
          <w:p>
            <w:pPr>
              <w:spacing w:after="60" w:line="271" w:lineRule="auto"/>
            </w:pPr>
            <w:r>
              <w:rPr>
                <w:b w:val="0"/>
                <w:sz w:val="18"/>
              </w:rPr>
              <w:t>43  (3.5%)</w:t>
            </w:r>
          </w:p>
        </w:tc>
        <w:tc>
          <w:tcPr>
            <w:tcW w:type="dxa" w:w="2948"/>
            <w:shd w:fill="FFFFFF"/>
            <w:tcMar>
              <w:top w:w="40" w:type="dxa"/>
              <w:bottom w:w="40" w:type="dxa"/>
              <w:left w:w="90" w:type="dxa"/>
              <w:right w:w="90" w:type="dxa"/>
            </w:tcMar>
          </w:tcPr>
          <w:p>
            <w:pPr>
              <w:spacing w:after="60" w:line="271" w:lineRule="auto"/>
            </w:pPr>
            <w:r>
              <w:rPr>
                <w:b w:val="0"/>
                <w:sz w:val="18"/>
              </w:rPr>
              <w:t>78</w:t>
            </w:r>
          </w:p>
        </w:tc>
      </w:tr>
      <w:tr>
        <w:trPr>
          <w:cantSplit/>
        </w:trPr>
        <w:tc>
          <w:tcPr>
            <w:tcW w:type="dxa" w:w="3855"/>
            <w:shd w:fill="F5F7F4"/>
            <w:tcMar>
              <w:top w:w="40" w:type="dxa"/>
              <w:bottom w:w="40" w:type="dxa"/>
              <w:left w:w="90" w:type="dxa"/>
              <w:right w:w="90" w:type="dxa"/>
            </w:tcMar>
          </w:tcPr>
          <w:p>
            <w:pPr>
              <w:spacing w:after="60" w:line="271" w:lineRule="auto"/>
            </w:pPr>
            <w:r>
              <w:rPr>
                <w:b w:val="0"/>
                <w:sz w:val="18"/>
              </w:rPr>
              <w:t>等待期 ×1.25</w:t>
            </w:r>
          </w:p>
        </w:tc>
        <w:tc>
          <w:tcPr>
            <w:tcW w:type="dxa" w:w="2721"/>
            <w:shd w:fill="F5F7F4"/>
            <w:tcMar>
              <w:top w:w="40" w:type="dxa"/>
              <w:bottom w:w="40" w:type="dxa"/>
              <w:left w:w="90" w:type="dxa"/>
              <w:right w:w="90" w:type="dxa"/>
            </w:tcMar>
          </w:tcPr>
          <w:p>
            <w:pPr>
              <w:spacing w:after="60" w:line="271" w:lineRule="auto"/>
            </w:pPr>
            <w:r>
              <w:rPr>
                <w:b w:val="0"/>
                <w:sz w:val="18"/>
              </w:rPr>
              <w:t>70  (5.7%)</w:t>
            </w:r>
          </w:p>
        </w:tc>
        <w:tc>
          <w:tcPr>
            <w:tcW w:type="dxa" w:w="2948"/>
            <w:shd w:fill="F5F7F4"/>
            <w:tcMar>
              <w:top w:w="40" w:type="dxa"/>
              <w:bottom w:w="40" w:type="dxa"/>
              <w:left w:w="90" w:type="dxa"/>
              <w:right w:w="90" w:type="dxa"/>
            </w:tcMar>
          </w:tcPr>
          <w:p>
            <w:pPr>
              <w:spacing w:after="60" w:line="271" w:lineRule="auto"/>
            </w:pPr>
            <w:r>
              <w:rPr>
                <w:b w:val="0"/>
                <w:sz w:val="18"/>
              </w:rPr>
              <w:t>168</w:t>
            </w:r>
          </w:p>
        </w:tc>
      </w:tr>
      <w:tr>
        <w:trPr>
          <w:cantSplit/>
        </w:trPr>
        <w:tc>
          <w:tcPr>
            <w:tcW w:type="dxa" w:w="3855"/>
            <w:shd w:fill="FFFFFF"/>
            <w:tcMar>
              <w:top w:w="40" w:type="dxa"/>
              <w:bottom w:w="40" w:type="dxa"/>
              <w:left w:w="90" w:type="dxa"/>
              <w:right w:w="90" w:type="dxa"/>
            </w:tcMar>
          </w:tcPr>
          <w:p>
            <w:pPr>
              <w:spacing w:after="60" w:line="271" w:lineRule="auto"/>
            </w:pPr>
            <w:r>
              <w:rPr>
                <w:b w:val="0"/>
                <w:sz w:val="18"/>
              </w:rPr>
              <w:t>区间宽度 ×0.75</w:t>
            </w:r>
          </w:p>
        </w:tc>
        <w:tc>
          <w:tcPr>
            <w:tcW w:type="dxa" w:w="2721"/>
            <w:shd w:fill="FFFFFF"/>
            <w:tcMar>
              <w:top w:w="40" w:type="dxa"/>
              <w:bottom w:w="40" w:type="dxa"/>
              <w:left w:w="90" w:type="dxa"/>
              <w:right w:w="90" w:type="dxa"/>
            </w:tcMar>
          </w:tcPr>
          <w:p>
            <w:pPr>
              <w:spacing w:after="60" w:line="271" w:lineRule="auto"/>
            </w:pPr>
            <w:r>
              <w:rPr>
                <w:b w:val="0"/>
                <w:sz w:val="18"/>
              </w:rPr>
              <w:t>108  (8.8%)</w:t>
            </w:r>
          </w:p>
        </w:tc>
        <w:tc>
          <w:tcPr>
            <w:tcW w:type="dxa" w:w="2948"/>
            <w:shd w:fill="FFFFFF"/>
            <w:tcMar>
              <w:top w:w="40" w:type="dxa"/>
              <w:bottom w:w="40" w:type="dxa"/>
              <w:left w:w="90" w:type="dxa"/>
              <w:right w:w="90" w:type="dxa"/>
            </w:tcMar>
          </w:tcPr>
          <w:p>
            <w:pPr>
              <w:spacing w:after="60" w:line="271" w:lineRule="auto"/>
            </w:pPr>
            <w:r>
              <w:rPr>
                <w:b w:val="0"/>
                <w:sz w:val="18"/>
              </w:rPr>
              <w:t>67</w:t>
            </w:r>
          </w:p>
        </w:tc>
      </w:tr>
      <w:tr>
        <w:trPr>
          <w:cantSplit/>
        </w:trPr>
        <w:tc>
          <w:tcPr>
            <w:tcW w:type="dxa" w:w="3855"/>
            <w:shd w:fill="F5F7F4"/>
            <w:tcMar>
              <w:top w:w="40" w:type="dxa"/>
              <w:bottom w:w="40" w:type="dxa"/>
              <w:left w:w="90" w:type="dxa"/>
              <w:right w:w="90" w:type="dxa"/>
            </w:tcMar>
          </w:tcPr>
          <w:p>
            <w:pPr>
              <w:spacing w:after="60" w:line="271" w:lineRule="auto"/>
            </w:pPr>
            <w:r>
              <w:rPr>
                <w:b w:val="0"/>
                <w:sz w:val="18"/>
              </w:rPr>
              <w:t>区间宽度 ×1.25</w:t>
            </w:r>
          </w:p>
        </w:tc>
        <w:tc>
          <w:tcPr>
            <w:tcW w:type="dxa" w:w="2721"/>
            <w:shd w:fill="F5F7F4"/>
            <w:tcMar>
              <w:top w:w="40" w:type="dxa"/>
              <w:bottom w:w="40" w:type="dxa"/>
              <w:left w:w="90" w:type="dxa"/>
              <w:right w:w="90" w:type="dxa"/>
            </w:tcMar>
          </w:tcPr>
          <w:p>
            <w:pPr>
              <w:spacing w:after="60" w:line="271" w:lineRule="auto"/>
            </w:pPr>
            <w:r>
              <w:rPr>
                <w:b w:val="0"/>
                <w:sz w:val="18"/>
              </w:rPr>
              <w:t>150  (12.2%)</w:t>
            </w:r>
          </w:p>
        </w:tc>
        <w:tc>
          <w:tcPr>
            <w:tcW w:type="dxa" w:w="2948"/>
            <w:shd w:fill="F5F7F4"/>
            <w:tcMar>
              <w:top w:w="40" w:type="dxa"/>
              <w:bottom w:w="40" w:type="dxa"/>
              <w:left w:w="90" w:type="dxa"/>
              <w:right w:w="90" w:type="dxa"/>
            </w:tcMar>
          </w:tcPr>
          <w:p>
            <w:pPr>
              <w:spacing w:after="60" w:line="271" w:lineRule="auto"/>
            </w:pPr>
            <w:r>
              <w:rPr>
                <w:b w:val="0"/>
                <w:sz w:val="18"/>
              </w:rPr>
              <w:t>165</w:t>
            </w:r>
          </w:p>
        </w:tc>
      </w:tr>
    </w:tbl>
    <w:p>
      <w:pPr>
        <w:spacing w:after="0"/>
      </w:pPr>
    </w:p>
    <w:p>
      <w:r>
        <w:t>简单阈值策略在下界不高于同一门槛时选择 Planned Maintenance，否则选择 Continue。区间扰动保持点估计不变，将两侧距离缩放并裁剪至 0–125 周期；这不是重新校准。150 个建议改变说明假设有影响，不代表其中任何建议更好。</w:t>
      </w:r>
    </w:p>
    <w:p>
      <w:r>
        <w:br w:type="page"/>
      </w:r>
    </w:p>
    <w:p>
      <w:pPr>
        <w:pStyle w:val="Heading1"/>
      </w:pPr>
      <w:r>
        <w:t>5 候选贡献及其证据边界</w:t>
      </w:r>
    </w:p>
    <w:p>
      <w:r>
        <w:t>展示可以支持实现层面的研究主张，但博士贡献仍需要将它们放入已有研究中比较。建议使用“已展示能力—支持证据—仍缺评价”的表述方式。</w:t>
      </w:r>
    </w:p>
    <w:tbl>
      <w:tblPr>
        <w:tblW w:type="auto" w:w="0"/>
        <w:tblLayout w:type="fixed"/>
        <w:tblLook w:firstColumn="1" w:firstRow="1" w:lastColumn="0" w:lastRow="0" w:noHBand="0" w:noVBand="1" w:val="04A0"/>
      </w:tblPr>
      <w:tblGrid>
        <w:gridCol w:w="2098"/>
        <w:gridCol w:w="3628"/>
        <w:gridCol w:w="3798"/>
      </w:tblGrid>
      <w:tr>
        <w:trPr>
          <w:tblHeader/>
          <w:cantSplit/>
        </w:trPr>
        <w:tc>
          <w:tcPr>
            <w:tcW w:type="dxa" w:w="2098"/>
            <w:shd w:fill="E4EEE9"/>
            <w:tcMar>
              <w:top w:w="40" w:type="dxa"/>
              <w:bottom w:w="40" w:type="dxa"/>
              <w:left w:w="90" w:type="dxa"/>
              <w:right w:w="90" w:type="dxa"/>
            </w:tcMar>
          </w:tcPr>
          <w:p>
            <w:pPr>
              <w:spacing w:after="60" w:line="271" w:lineRule="auto"/>
            </w:pPr>
            <w:r>
              <w:rPr>
                <w:b/>
                <w:sz w:val="18"/>
              </w:rPr>
              <w:t>候选贡献</w:t>
            </w:r>
          </w:p>
        </w:tc>
        <w:tc>
          <w:tcPr>
            <w:tcW w:type="dxa" w:w="3628"/>
            <w:shd w:fill="E4EEE9"/>
            <w:tcMar>
              <w:top w:w="40" w:type="dxa"/>
              <w:bottom w:w="40" w:type="dxa"/>
              <w:left w:w="90" w:type="dxa"/>
              <w:right w:w="90" w:type="dxa"/>
            </w:tcMar>
          </w:tcPr>
          <w:p>
            <w:pPr>
              <w:spacing w:after="60" w:line="271" w:lineRule="auto"/>
            </w:pPr>
            <w:r>
              <w:rPr>
                <w:b/>
                <w:sz w:val="18"/>
              </w:rPr>
              <w:t>已有证据</w:t>
            </w:r>
          </w:p>
        </w:tc>
        <w:tc>
          <w:tcPr>
            <w:tcW w:type="dxa" w:w="3798"/>
            <w:shd w:fill="E4EEE9"/>
            <w:tcMar>
              <w:top w:w="40" w:type="dxa"/>
              <w:bottom w:w="40" w:type="dxa"/>
              <w:left w:w="90" w:type="dxa"/>
              <w:right w:w="90" w:type="dxa"/>
            </w:tcMar>
          </w:tcPr>
          <w:p>
            <w:pPr>
              <w:spacing w:after="60" w:line="271" w:lineRule="auto"/>
            </w:pPr>
            <w:r>
              <w:rPr>
                <w:b/>
                <w:sz w:val="18"/>
              </w:rPr>
              <w:t>仍需验证</w:t>
            </w:r>
          </w:p>
        </w:tc>
      </w:tr>
      <w:tr>
        <w:trPr>
          <w:cantSplit/>
        </w:trPr>
        <w:tc>
          <w:tcPr>
            <w:tcW w:type="dxa" w:w="2098"/>
            <w:shd w:fill="F5F7F4"/>
            <w:tcMar>
              <w:top w:w="40" w:type="dxa"/>
              <w:bottom w:w="40" w:type="dxa"/>
              <w:left w:w="90" w:type="dxa"/>
              <w:right w:w="90" w:type="dxa"/>
            </w:tcMar>
          </w:tcPr>
          <w:p>
            <w:pPr>
              <w:spacing w:after="60" w:line="271" w:lineRule="auto"/>
            </w:pPr>
            <w:r>
              <w:rPr>
                <w:b w:val="0"/>
                <w:sz w:val="18"/>
              </w:rPr>
              <w:t>服务责任到架构功能的映射</w:t>
            </w:r>
          </w:p>
        </w:tc>
        <w:tc>
          <w:tcPr>
            <w:tcW w:type="dxa" w:w="3628"/>
            <w:shd w:fill="F5F7F4"/>
            <w:tcMar>
              <w:top w:w="40" w:type="dxa"/>
              <w:bottom w:w="40" w:type="dxa"/>
              <w:left w:w="90" w:type="dxa"/>
              <w:right w:w="90" w:type="dxa"/>
            </w:tcMar>
          </w:tcPr>
          <w:p>
            <w:pPr>
              <w:spacing w:after="60" w:line="271" w:lineRule="auto"/>
            </w:pPr>
            <w:r>
              <w:rPr>
                <w:b w:val="0"/>
                <w:sz w:val="18"/>
              </w:rPr>
              <w:t>观测、预测、策略和建议具有明确位置与交接对象。</w:t>
            </w:r>
          </w:p>
        </w:tc>
        <w:tc>
          <w:tcPr>
            <w:tcW w:type="dxa" w:w="3798"/>
            <w:shd w:fill="F5F7F4"/>
            <w:tcMar>
              <w:top w:w="40" w:type="dxa"/>
              <w:bottom w:w="40" w:type="dxa"/>
              <w:left w:w="90" w:type="dxa"/>
              <w:right w:w="90" w:type="dxa"/>
            </w:tcMar>
          </w:tcPr>
          <w:p>
            <w:pPr>
              <w:spacing w:after="60" w:line="271" w:lineRule="auto"/>
            </w:pPr>
            <w:r>
              <w:rPr>
                <w:b w:val="0"/>
                <w:sz w:val="18"/>
              </w:rPr>
              <w:t>与已有架构的差异；职责划分的适用性及复用评价。</w:t>
            </w:r>
          </w:p>
        </w:tc>
      </w:tr>
      <w:tr>
        <w:trPr>
          <w:cantSplit/>
        </w:trPr>
        <w:tc>
          <w:tcPr>
            <w:tcW w:type="dxa" w:w="2098"/>
            <w:shd w:fill="FFFFFF"/>
            <w:tcMar>
              <w:top w:w="40" w:type="dxa"/>
              <w:bottom w:w="40" w:type="dxa"/>
              <w:left w:w="90" w:type="dxa"/>
              <w:right w:w="90" w:type="dxa"/>
            </w:tcMar>
          </w:tcPr>
          <w:p>
            <w:pPr>
              <w:spacing w:after="60" w:line="271" w:lineRule="auto"/>
            </w:pPr>
            <w:r>
              <w:rPr>
                <w:b w:val="0"/>
                <w:sz w:val="18"/>
              </w:rPr>
              <w:t>可检查的语义证据链</w:t>
            </w:r>
          </w:p>
        </w:tc>
        <w:tc>
          <w:tcPr>
            <w:tcW w:type="dxa" w:w="3628"/>
            <w:shd w:fill="FFFFFF"/>
            <w:tcMar>
              <w:top w:w="40" w:type="dxa"/>
              <w:bottom w:w="40" w:type="dxa"/>
              <w:left w:w="90" w:type="dxa"/>
              <w:right w:w="90" w:type="dxa"/>
            </w:tcMar>
          </w:tcPr>
          <w:p>
            <w:pPr>
              <w:spacing w:after="60" w:line="271" w:lineRule="auto"/>
            </w:pPr>
            <w:r>
              <w:rPr>
                <w:b w:val="0"/>
                <w:sz w:val="18"/>
              </w:rPr>
              <w:t>真实查询与约束执行；来源记录；缺失单位副本被识别。</w:t>
            </w:r>
          </w:p>
        </w:tc>
        <w:tc>
          <w:tcPr>
            <w:tcW w:type="dxa" w:w="3798"/>
            <w:shd w:fill="FFFFFF"/>
            <w:tcMar>
              <w:top w:w="40" w:type="dxa"/>
              <w:bottom w:w="40" w:type="dxa"/>
              <w:left w:w="90" w:type="dxa"/>
              <w:right w:w="90" w:type="dxa"/>
            </w:tcMar>
          </w:tcPr>
          <w:p>
            <w:pPr>
              <w:spacing w:after="60" w:line="271" w:lineRule="auto"/>
            </w:pPr>
            <w:r>
              <w:rPr>
                <w:b w:val="0"/>
                <w:sz w:val="18"/>
              </w:rPr>
              <w:t>扩展已完成的限定范围对照；独立业务问题、跨来源身份与单位映射。</w:t>
            </w:r>
          </w:p>
        </w:tc>
      </w:tr>
      <w:tr>
        <w:trPr>
          <w:cantSplit/>
        </w:trPr>
        <w:tc>
          <w:tcPr>
            <w:tcW w:type="dxa" w:w="2098"/>
            <w:shd w:fill="F5F7F4"/>
            <w:tcMar>
              <w:top w:w="40" w:type="dxa"/>
              <w:bottom w:w="40" w:type="dxa"/>
              <w:left w:w="90" w:type="dxa"/>
              <w:right w:w="90" w:type="dxa"/>
            </w:tcMar>
          </w:tcPr>
          <w:p>
            <w:pPr>
              <w:spacing w:after="60" w:line="271" w:lineRule="auto"/>
            </w:pPr>
            <w:r>
              <w:rPr>
                <w:b w:val="0"/>
                <w:sz w:val="18"/>
              </w:rPr>
              <w:t>合同情境下的可解释建议</w:t>
            </w:r>
          </w:p>
        </w:tc>
        <w:tc>
          <w:tcPr>
            <w:tcW w:type="dxa" w:w="3628"/>
            <w:shd w:fill="F5F7F4"/>
            <w:tcMar>
              <w:top w:w="40" w:type="dxa"/>
              <w:bottom w:w="40" w:type="dxa"/>
              <w:left w:w="90" w:type="dxa"/>
              <w:right w:w="90" w:type="dxa"/>
            </w:tcMar>
          </w:tcPr>
          <w:p>
            <w:pPr>
              <w:spacing w:after="60" w:line="271" w:lineRule="auto"/>
            </w:pPr>
            <w:r>
              <w:rPr>
                <w:b w:val="0"/>
                <w:sz w:val="18"/>
              </w:rPr>
              <w:t>周期 158／171 的固定证据比较；1,233 快照敏感性与阈值对照。</w:t>
            </w:r>
          </w:p>
        </w:tc>
        <w:tc>
          <w:tcPr>
            <w:tcW w:type="dxa" w:w="3798"/>
            <w:shd w:fill="F5F7F4"/>
            <w:tcMar>
              <w:top w:w="40" w:type="dxa"/>
              <w:bottom w:w="40" w:type="dxa"/>
              <w:left w:w="90" w:type="dxa"/>
              <w:right w:w="90" w:type="dxa"/>
            </w:tcMar>
          </w:tcPr>
          <w:p>
            <w:pPr>
              <w:spacing w:after="60" w:line="271" w:lineRule="auto"/>
            </w:pPr>
            <w:r>
              <w:rPr>
                <w:b w:val="0"/>
                <w:sz w:val="18"/>
              </w:rPr>
              <w:t>经验参数依据、独立样本上的稳健性与实际服务结果。</w:t>
            </w:r>
          </w:p>
        </w:tc>
      </w:tr>
    </w:tbl>
    <w:p>
      <w:pPr>
        <w:spacing w:after="0"/>
      </w:pPr>
    </w:p>
    <w:p>
      <w:pPr>
        <w:pStyle w:val="Heading2"/>
      </w:pPr>
      <w:r>
        <w:t>决策模型中的关键假设</w:t>
      </w:r>
    </w:p>
    <w:p>
      <w:r>
        <w:t>候选行动评分为直接成本加上假设后果成本与行动等待期内正态近似概率的乘积。Continue、Enhanced Monitoring、Inspection 的示例等待期分别为 20、10、5 周期；Planned Maintenance 与 Derate/Hold 为零等待期。</w:t>
      </w:r>
    </w:p>
    <w:p>
      <w:r>
        <w:t>零等待期使模型中的干预前暴露项为零，不代表维护执行和残余风险为零。额外监测也没有显式模拟信息增益。当前比较因而是透明的假设驱动建议机制，不是经运营验证的最优维护策略。</w:t>
      </w:r>
    </w:p>
    <w:p>
      <w:pPr>
        <w:pStyle w:val="Heading2"/>
      </w:pPr>
      <w:r>
        <w:t>合同目标与干预规则应分开</w:t>
      </w:r>
    </w:p>
    <w:p>
      <w:r>
        <w:t>availability assurance 假设目标为 99%，200 个计划机会对应允许损失 2 个；若假设一次计划维护损失 5 个，预算余量为 −3。maintenance support 的 95% 目标对应余量 +5。该预算不参与建议优化，也不是已测时间可用率。</w:t>
      </w:r>
    </w:p>
    <w:p>
      <w:pPr>
        <w:pStyle w:val="Heading2"/>
      </w:pPr>
      <w:r>
        <w:t>下一阶段的验证重点</w:t>
      </w:r>
    </w:p>
    <w:p>
      <w:r>
        <w:t>限定范围的等要求对照已补充，下一步扩大独立评价和跨来源映射；随后在独立发动机及其他子集上评估区间校准与建议敏感性。真实成本、合同责任、审批流程和维护结果需另行获得。文献比较、这些实验和现场证据不能由网页动画替代。</w:t>
      </w:r>
    </w:p>
    <w:p>
      <w:r>
        <w:br w:type="page"/>
      </w:r>
    </w:p>
    <w:p>
      <w:pPr>
        <w:pStyle w:val="Heading1"/>
      </w:pPr>
      <w:r>
        <w:t>6 现场操作与讲解稿</w:t>
      </w:r>
    </w:p>
    <w:p>
      <w:pPr>
        <w:pStyle w:val="Heading2"/>
      </w:pPr>
      <w:r>
        <w:t>推荐的现场操作顺序</w:t>
      </w:r>
    </w:p>
    <w:tbl>
      <w:tblPr>
        <w:tblW w:type="auto" w:w="0"/>
        <w:tblLayout w:type="fixed"/>
        <w:tblLook w:firstColumn="1" w:firstRow="1" w:lastColumn="0" w:lastRow="0" w:noHBand="0" w:noVBand="1" w:val="04A0"/>
      </w:tblPr>
      <w:tblGrid>
        <w:gridCol w:w="1757"/>
        <w:gridCol w:w="7767"/>
      </w:tblGrid>
      <w:tr>
        <w:trPr>
          <w:tblHeader/>
          <w:cantSplit/>
        </w:trPr>
        <w:tc>
          <w:tcPr>
            <w:tcW w:type="dxa" w:w="1757"/>
            <w:shd w:fill="E4EEE9"/>
            <w:tcMar>
              <w:top w:w="40" w:type="dxa"/>
              <w:bottom w:w="40" w:type="dxa"/>
              <w:left w:w="90" w:type="dxa"/>
              <w:right w:w="90" w:type="dxa"/>
            </w:tcMar>
          </w:tcPr>
          <w:p>
            <w:pPr>
              <w:spacing w:after="60" w:line="271" w:lineRule="auto"/>
            </w:pPr>
            <w:r>
              <w:rPr>
                <w:b/>
                <w:sz w:val="18"/>
              </w:rPr>
              <w:t>步骤</w:t>
            </w:r>
          </w:p>
        </w:tc>
        <w:tc>
          <w:tcPr>
            <w:tcW w:type="dxa" w:w="7767"/>
            <w:shd w:fill="E4EEE9"/>
            <w:tcMar>
              <w:top w:w="40" w:type="dxa"/>
              <w:bottom w:w="40" w:type="dxa"/>
              <w:left w:w="90" w:type="dxa"/>
              <w:right w:w="90" w:type="dxa"/>
            </w:tcMar>
          </w:tcPr>
          <w:p>
            <w:pPr>
              <w:spacing w:after="60" w:line="271" w:lineRule="auto"/>
            </w:pPr>
            <w:r>
              <w:rPr>
                <w:b/>
                <w:sz w:val="18"/>
              </w:rPr>
              <w:t>操作与讲解目标</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先给概览</w:t>
            </w:r>
          </w:p>
        </w:tc>
        <w:tc>
          <w:tcPr>
            <w:tcW w:type="dxa" w:w="7767"/>
            <w:shd w:fill="F5F7F4"/>
            <w:tcMar>
              <w:top w:w="40" w:type="dxa"/>
              <w:bottom w:w="40" w:type="dxa"/>
              <w:left w:w="90" w:type="dxa"/>
              <w:right w:w="90" w:type="dxa"/>
            </w:tcMar>
          </w:tcPr>
          <w:p>
            <w:pPr>
              <w:spacing w:after="60" w:line="271" w:lineRule="auto"/>
            </w:pPr>
            <w:r>
              <w:rPr>
                <w:b w:val="0"/>
                <w:sz w:val="18"/>
              </w:rPr>
              <w:t>打开 story=1 入口，以 Automatic overview 播放；先说明这是 evidence-to-advice prototype。</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进入答辩模式</w:t>
            </w:r>
          </w:p>
        </w:tc>
        <w:tc>
          <w:tcPr>
            <w:tcW w:type="dxa" w:w="7767"/>
            <w:shd w:fill="FFFFFF"/>
            <w:tcMar>
              <w:top w:w="40" w:type="dxa"/>
              <w:bottom w:w="40" w:type="dxa"/>
              <w:left w:w="90" w:type="dxa"/>
              <w:right w:w="90" w:type="dxa"/>
            </w:tcMar>
          </w:tcPr>
          <w:p>
            <w:pPr>
              <w:spacing w:after="60" w:line="271" w:lineRule="auto"/>
            </w:pPr>
            <w:r>
              <w:rPr>
                <w:b w:val="0"/>
                <w:sz w:val="18"/>
              </w:rPr>
              <w:t>Mode 选择 Viva · manual inspection；自动推进暂停，按章节检查。</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说明职责交接</w:t>
            </w:r>
          </w:p>
        </w:tc>
        <w:tc>
          <w:tcPr>
            <w:tcW w:type="dxa" w:w="7767"/>
            <w:shd w:fill="F5F7F4"/>
            <w:tcMar>
              <w:top w:w="40" w:type="dxa"/>
              <w:bottom w:w="40" w:type="dxa"/>
              <w:left w:w="90" w:type="dxa"/>
              <w:right w:w="90" w:type="dxa"/>
            </w:tcMar>
          </w:tcPr>
          <w:p>
            <w:pPr>
              <w:spacing w:after="60" w:line="271" w:lineRule="auto"/>
            </w:pPr>
            <w:r>
              <w:rPr>
                <w:b w:val="0"/>
                <w:sz w:val="18"/>
              </w:rPr>
              <w:t>选择 Scene 4，解释谁负责、交换什么、如何追溯；等待实际 SHACL 与查询结果。</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展示失败情况</w:t>
            </w:r>
          </w:p>
        </w:tc>
        <w:tc>
          <w:tcPr>
            <w:tcW w:type="dxa" w:w="7767"/>
            <w:shd w:fill="FFFFFF"/>
            <w:tcMar>
              <w:top w:w="40" w:type="dxa"/>
              <w:bottom w:w="40" w:type="dxa"/>
              <w:left w:w="90" w:type="dxa"/>
              <w:right w:w="90" w:type="dxa"/>
            </w:tcMar>
          </w:tcPr>
          <w:p>
            <w:pPr>
              <w:spacing w:after="60" w:line="271" w:lineRule="auto"/>
            </w:pPr>
            <w:r>
              <w:rPr>
                <w:b w:val="0"/>
                <w:sz w:val="18"/>
              </w:rPr>
              <w:t>选择 Scene 5，指出缺失的是测试副本单位；说明校验失败不是设备故障，也不是已执行审批拦截。</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比较服务情境</w:t>
            </w:r>
          </w:p>
        </w:tc>
        <w:tc>
          <w:tcPr>
            <w:tcW w:type="dxa" w:w="7767"/>
            <w:shd w:fill="F5F7F4"/>
            <w:tcMar>
              <w:top w:w="40" w:type="dxa"/>
              <w:bottom w:w="40" w:type="dxa"/>
              <w:left w:w="90" w:type="dxa"/>
              <w:right w:w="90" w:type="dxa"/>
            </w:tcMar>
          </w:tcPr>
          <w:p>
            <w:pPr>
              <w:spacing w:after="60" w:line="271" w:lineRule="auto"/>
            </w:pPr>
            <w:r>
              <w:rPr>
                <w:b w:val="0"/>
                <w:sz w:val="18"/>
              </w:rPr>
              <w:t>选择 Scene 6 和 Scene 7，保持技术证据固定，解释成本与干预门槛各自的作用。</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检查稳健性</w:t>
            </w:r>
          </w:p>
        </w:tc>
        <w:tc>
          <w:tcPr>
            <w:tcW w:type="dxa" w:w="7767"/>
            <w:shd w:fill="FFFFFF"/>
            <w:tcMar>
              <w:top w:w="40" w:type="dxa"/>
              <w:bottom w:w="40" w:type="dxa"/>
              <w:left w:w="90" w:type="dxa"/>
              <w:right w:w="90" w:type="dxa"/>
            </w:tcMar>
          </w:tcPr>
          <w:p>
            <w:pPr>
              <w:spacing w:after="60" w:line="271" w:lineRule="auto"/>
            </w:pPr>
            <w:r>
              <w:rPr>
                <w:b w:val="0"/>
                <w:sz w:val="18"/>
              </w:rPr>
              <w:t>展开 sensitivity 面板，切换参考合同；解释分母、扰动和简单阈值比较，导出计算证据。</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结束于贡献边界</w:t>
            </w:r>
          </w:p>
        </w:tc>
        <w:tc>
          <w:tcPr>
            <w:tcW w:type="dxa" w:w="7767"/>
            <w:shd w:fill="F5F7F4"/>
            <w:tcMar>
              <w:top w:w="40" w:type="dxa"/>
              <w:bottom w:w="40" w:type="dxa"/>
              <w:left w:w="90" w:type="dxa"/>
              <w:right w:w="90" w:type="dxa"/>
            </w:tcMar>
          </w:tcPr>
          <w:p>
            <w:pPr>
              <w:spacing w:after="60" w:line="271" w:lineRule="auto"/>
            </w:pPr>
            <w:r>
              <w:rPr>
                <w:b w:val="0"/>
                <w:sz w:val="18"/>
              </w:rPr>
              <w:t>选择 Scene 9，说明已实现能力与尚缺验证；导出 story evidence，并退出回到原探索状态。</w:t>
            </w:r>
          </w:p>
        </w:tc>
      </w:tr>
    </w:tbl>
    <w:p>
      <w:pPr>
        <w:spacing w:after="0"/>
      </w:pPr>
    </w:p>
    <w:p>
      <w:pPr>
        <w:pStyle w:val="Heading2"/>
      </w:pPr>
      <w:r>
        <w:t>约三分钟的中文讲解提纲</w:t>
      </w:r>
    </w:p>
    <w:p>
      <w:r>
        <w:t>开场：这个案例关注的不是单独预测发动机还能运行多久，而是如何把退化证据和服务责任连接成可检查的建议。我们区分资产状态、服务情境和服务交付；当前实现的是前两者到拟议建议的链条。</w:t>
      </w:r>
    </w:p>
    <w:p>
      <w:r>
        <w:t>数据与架构：我们回放 C-MAPSS 的记录，并仅使用当时可用的观测前缀生成预测。Framework 定位数据采集、状态估计和服务建议等职责；ontology 将资产、周期、估计、模型、合同与建议连接起来。语义查询和校验在浏览器实际执行。</w:t>
      </w:r>
    </w:p>
    <w:p>
      <w:r>
        <w:t>服务化机制：周期 158 展示成本责任如何改变建议排序；周期 171 展示更严格门槛如何改变候选行动。同一技术证据并不必然对应同一服务建议，但这也不说明较早维护一定更好。</w:t>
      </w:r>
    </w:p>
    <w:p>
      <w:r>
        <w:t>结尾：敏感性分析使参数依赖可见，证据导出使结果可复核。案例支持架构映射、语义证据和合同情境建议的实现论证；真实服务收益、跨来源优势和原创性仍需独立验证。风机案例补充展示模拟服务过程如何运行，两者共同构成不同层面的研究证据。</w:t>
      </w:r>
    </w:p>
    <w:p>
      <w:r>
        <w:br w:type="page"/>
      </w:r>
    </w:p>
    <w:p>
      <w:pPr>
        <w:pStyle w:val="Heading1"/>
      </w:pPr>
      <w:r>
        <w:t>7 VIVA 追问与来源</w:t>
      </w:r>
    </w:p>
    <w:tbl>
      <w:tblPr>
        <w:tblW w:type="auto" w:w="0"/>
        <w:tblLayout w:type="fixed"/>
        <w:tblLook w:firstColumn="1" w:firstRow="1" w:lastColumn="0" w:lastRow="0" w:noHBand="0" w:noVBand="1" w:val="04A0"/>
      </w:tblPr>
      <w:tblGrid>
        <w:gridCol w:w="3175"/>
        <w:gridCol w:w="6350"/>
      </w:tblGrid>
      <w:tr>
        <w:trPr>
          <w:tblHeader/>
          <w:cantSplit/>
        </w:trPr>
        <w:tc>
          <w:tcPr>
            <w:tcW w:type="dxa" w:w="3175"/>
            <w:shd w:fill="E4EEE9"/>
            <w:tcMar>
              <w:top w:w="40" w:type="dxa"/>
              <w:bottom w:w="40" w:type="dxa"/>
              <w:left w:w="90" w:type="dxa"/>
              <w:right w:w="90" w:type="dxa"/>
            </w:tcMar>
          </w:tcPr>
          <w:p>
            <w:pPr>
              <w:spacing w:after="60" w:line="271" w:lineRule="auto"/>
            </w:pPr>
            <w:r>
              <w:rPr>
                <w:b/>
                <w:sz w:val="18"/>
              </w:rPr>
              <w:t>可能的追问</w:t>
            </w:r>
          </w:p>
        </w:tc>
        <w:tc>
          <w:tcPr>
            <w:tcW w:type="dxa" w:w="6350"/>
            <w:shd w:fill="E4EEE9"/>
            <w:tcMar>
              <w:top w:w="40" w:type="dxa"/>
              <w:bottom w:w="40" w:type="dxa"/>
              <w:left w:w="90" w:type="dxa"/>
              <w:right w:w="90" w:type="dxa"/>
            </w:tcMar>
          </w:tcPr>
          <w:p>
            <w:pPr>
              <w:spacing w:after="60" w:line="271" w:lineRule="auto"/>
            </w:pPr>
            <w:r>
              <w:rPr>
                <w:b/>
                <w:sz w:val="18"/>
              </w:rPr>
              <w:t>建议回答的要点</w:t>
            </w:r>
          </w:p>
        </w:tc>
      </w:tr>
      <w:tr>
        <w:trPr>
          <w:cantSplit/>
        </w:trPr>
        <w:tc>
          <w:tcPr>
            <w:tcW w:type="dxa" w:w="3175"/>
            <w:shd w:fill="F5F7F4"/>
            <w:tcMar>
              <w:top w:w="40" w:type="dxa"/>
              <w:bottom w:w="40" w:type="dxa"/>
              <w:left w:w="90" w:type="dxa"/>
              <w:right w:w="90" w:type="dxa"/>
            </w:tcMar>
          </w:tcPr>
          <w:p>
            <w:pPr>
              <w:spacing w:after="60" w:line="271" w:lineRule="auto"/>
            </w:pPr>
            <w:r>
              <w:rPr>
                <w:b w:val="0"/>
                <w:sz w:val="18"/>
              </w:rPr>
              <w:t>这是完整的 digital twin 吗？</w:t>
            </w:r>
          </w:p>
        </w:tc>
        <w:tc>
          <w:tcPr>
            <w:tcW w:type="dxa" w:w="6350"/>
            <w:shd w:fill="F5F7F4"/>
            <w:tcMar>
              <w:top w:w="40" w:type="dxa"/>
              <w:bottom w:w="40" w:type="dxa"/>
              <w:left w:w="90" w:type="dxa"/>
              <w:right w:w="90" w:type="dxa"/>
            </w:tcMar>
          </w:tcPr>
          <w:p>
            <w:pPr>
              <w:spacing w:after="60" w:line="271" w:lineRule="auto"/>
            </w:pPr>
            <w:r>
              <w:rPr>
                <w:b w:val="0"/>
                <w:sz w:val="18"/>
              </w:rPr>
              <w:t>这是回放驱动的证据到建议原型。没有真实双向连接或完整物理服务闭环，应明确界定实现范围。</w:t>
            </w:r>
          </w:p>
        </w:tc>
      </w:tr>
      <w:tr>
        <w:trPr>
          <w:cantSplit/>
        </w:trPr>
        <w:tc>
          <w:tcPr>
            <w:tcW w:type="dxa" w:w="3175"/>
            <w:shd w:fill="FFFFFF"/>
            <w:tcMar>
              <w:top w:w="40" w:type="dxa"/>
              <w:bottom w:w="40" w:type="dxa"/>
              <w:left w:w="90" w:type="dxa"/>
              <w:right w:w="90" w:type="dxa"/>
            </w:tcMar>
          </w:tcPr>
          <w:p>
            <w:pPr>
              <w:spacing w:after="60" w:line="271" w:lineRule="auto"/>
            </w:pPr>
            <w:r>
              <w:rPr>
                <w:b w:val="0"/>
                <w:sz w:val="18"/>
              </w:rPr>
              <w:t>为什么不用普通数据库？</w:t>
            </w:r>
          </w:p>
        </w:tc>
        <w:tc>
          <w:tcPr>
            <w:tcW w:type="dxa" w:w="6350"/>
            <w:shd w:fill="FFFFFF"/>
            <w:tcMar>
              <w:top w:w="40" w:type="dxa"/>
              <w:bottom w:w="40" w:type="dxa"/>
              <w:left w:w="90" w:type="dxa"/>
              <w:right w:w="90" w:type="dxa"/>
            </w:tcMar>
          </w:tcPr>
          <w:p>
            <w:pPr>
              <w:spacing w:after="60" w:line="271" w:lineRule="auto"/>
            </w:pPr>
            <w:r>
              <w:rPr>
                <w:b w:val="0"/>
                <w:sz w:val="18"/>
              </w:rPr>
              <w:t>当前证明了可执行语义关系与检查。优势仍需在等要求查询、错误检测和变更任务上与常规方案比较。</w:t>
            </w:r>
          </w:p>
        </w:tc>
      </w:tr>
      <w:tr>
        <w:trPr>
          <w:cantSplit/>
        </w:trPr>
        <w:tc>
          <w:tcPr>
            <w:tcW w:type="dxa" w:w="3175"/>
            <w:shd w:fill="F5F7F4"/>
            <w:tcMar>
              <w:top w:w="40" w:type="dxa"/>
              <w:bottom w:w="40" w:type="dxa"/>
              <w:left w:w="90" w:type="dxa"/>
              <w:right w:w="90" w:type="dxa"/>
            </w:tcMar>
          </w:tcPr>
          <w:p>
            <w:pPr>
              <w:spacing w:after="60" w:line="271" w:lineRule="auto"/>
            </w:pPr>
            <w:r>
              <w:rPr>
                <w:b w:val="0"/>
                <w:sz w:val="18"/>
              </w:rPr>
              <w:t>语义验证会提高预测准确率吗？</w:t>
            </w:r>
          </w:p>
        </w:tc>
        <w:tc>
          <w:tcPr>
            <w:tcW w:type="dxa" w:w="6350"/>
            <w:shd w:fill="F5F7F4"/>
            <w:tcMar>
              <w:top w:w="40" w:type="dxa"/>
              <w:bottom w:w="40" w:type="dxa"/>
              <w:left w:w="90" w:type="dxa"/>
              <w:right w:w="90" w:type="dxa"/>
            </w:tcMar>
          </w:tcPr>
          <w:p>
            <w:pPr>
              <w:spacing w:after="60" w:line="271" w:lineRule="auto"/>
            </w:pPr>
            <w:r>
              <w:rPr>
                <w:b w:val="0"/>
                <w:sz w:val="18"/>
              </w:rPr>
              <w:t>不会直接提高。它检查表达和关系约束，预测校准及行动有效性需要各自的评价。</w:t>
            </w:r>
          </w:p>
        </w:tc>
      </w:tr>
      <w:tr>
        <w:trPr>
          <w:cantSplit/>
        </w:trPr>
        <w:tc>
          <w:tcPr>
            <w:tcW w:type="dxa" w:w="3175"/>
            <w:shd w:fill="FFFFFF"/>
            <w:tcMar>
              <w:top w:w="40" w:type="dxa"/>
              <w:bottom w:w="40" w:type="dxa"/>
              <w:left w:w="90" w:type="dxa"/>
              <w:right w:w="90" w:type="dxa"/>
            </w:tcMar>
          </w:tcPr>
          <w:p>
            <w:pPr>
              <w:spacing w:after="60" w:line="271" w:lineRule="auto"/>
            </w:pPr>
            <w:r>
              <w:rPr>
                <w:b w:val="0"/>
                <w:sz w:val="18"/>
              </w:rPr>
              <w:t>合同参数是否人为决定结果？</w:t>
            </w:r>
          </w:p>
        </w:tc>
        <w:tc>
          <w:tcPr>
            <w:tcW w:type="dxa" w:w="6350"/>
            <w:shd w:fill="FFFFFF"/>
            <w:tcMar>
              <w:top w:w="40" w:type="dxa"/>
              <w:bottom w:w="40" w:type="dxa"/>
              <w:left w:w="90" w:type="dxa"/>
              <w:right w:w="90" w:type="dxa"/>
            </w:tcMar>
          </w:tcPr>
          <w:p>
            <w:pPr>
              <w:spacing w:after="60" w:line="271" w:lineRule="auto"/>
            </w:pPr>
            <w:r>
              <w:rPr>
                <w:b w:val="0"/>
                <w:sz w:val="18"/>
              </w:rPr>
              <w:t>参数是明确的研究假设。固定证据比较与敏感性用于暴露影响，不能据此声称参数已获实证支持。</w:t>
            </w:r>
          </w:p>
        </w:tc>
      </w:tr>
      <w:tr>
        <w:trPr>
          <w:cantSplit/>
        </w:trPr>
        <w:tc>
          <w:tcPr>
            <w:tcW w:type="dxa" w:w="3175"/>
            <w:shd w:fill="F5F7F4"/>
            <w:tcMar>
              <w:top w:w="40" w:type="dxa"/>
              <w:bottom w:w="40" w:type="dxa"/>
              <w:left w:w="90" w:type="dxa"/>
              <w:right w:w="90" w:type="dxa"/>
            </w:tcMar>
          </w:tcPr>
          <w:p>
            <w:pPr>
              <w:spacing w:after="60" w:line="271" w:lineRule="auto"/>
            </w:pPr>
            <w:r>
              <w:rPr>
                <w:b w:val="0"/>
                <w:sz w:val="18"/>
              </w:rPr>
              <w:t>两个案例能证明普适性吗？</w:t>
            </w:r>
          </w:p>
        </w:tc>
        <w:tc>
          <w:tcPr>
            <w:tcW w:type="dxa" w:w="6350"/>
            <w:shd w:fill="F5F7F4"/>
            <w:tcMar>
              <w:top w:w="40" w:type="dxa"/>
              <w:bottom w:w="40" w:type="dxa"/>
              <w:left w:w="90" w:type="dxa"/>
              <w:right w:w="90" w:type="dxa"/>
            </w:tcMar>
          </w:tcPr>
          <w:p>
            <w:pPr>
              <w:spacing w:after="60" w:line="271" w:lineRule="auto"/>
            </w:pPr>
            <w:r>
              <w:rPr>
                <w:b w:val="0"/>
                <w:sz w:val="18"/>
              </w:rPr>
              <w:t>它们支持不同情境中的方法实现与问题分析；普适性需要更广泛、独立的验证。</w:t>
            </w:r>
          </w:p>
        </w:tc>
      </w:tr>
    </w:tbl>
    <w:p>
      <w:pPr>
        <w:spacing w:after="0"/>
      </w:pPr>
    </w:p>
    <w:p>
      <w:pPr>
        <w:pStyle w:val="Heading2"/>
      </w:pPr>
      <w:r>
        <w:t>来源与可追溯记录</w:t>
      </w:r>
    </w:p>
    <w:p>
      <w:r>
        <w:t>本说明前八页的基础说明对应 2026年10月6日展示 v0.6；v0.7 的实质性补充见第九至十二页。基础实现提交 3a1ff65；合并提交 5c8ce59698ce63efa27880936b38612eeb3bd4c3。以下来源用于核对本展示的方法与结果，不构成原创性文献综述。</w:t>
      </w:r>
    </w:p>
    <w:p>
      <w:hyperlink r:id="rId11">
        <w:r>
          <w:rPr>
            <w:color w:val="17665E"/>
          </w:rPr>
          <w:t>[1] Viva 修订方法与两个案例分工</w:t>
        </w:r>
      </w:hyperlink>
    </w:p>
    <w:p>
      <w:hyperlink r:id="rId12">
        <w:r>
          <w:rPr>
            <w:color w:val="17665E"/>
          </w:rPr>
          <w:t>[2] 四数据集范围与模型评价</w:t>
        </w:r>
      </w:hyperlink>
    </w:p>
    <w:p>
      <w:hyperlink r:id="rId13">
        <w:r>
          <w:rPr>
            <w:color w:val="17665E"/>
          </w:rPr>
          <w:t>[3] 九幕叙事与运行机制</w:t>
        </w:r>
      </w:hyperlink>
    </w:p>
    <w:p>
      <w:hyperlink r:id="rId14">
        <w:r>
          <w:rPr>
            <w:color w:val="17665E"/>
          </w:rPr>
          <w:t>[4] 敏感性分析实现</w:t>
        </w:r>
      </w:hyperlink>
    </w:p>
    <w:p>
      <w:hyperlink r:id="rId15">
        <w:r>
          <w:rPr>
            <w:color w:val="17665E"/>
          </w:rPr>
          <w:t>[5] 建议函数与概率近似</w:t>
        </w:r>
      </w:hyperlink>
    </w:p>
    <w:p>
      <w:hyperlink r:id="rId16">
        <w:r>
          <w:rPr>
            <w:color w:val="17665E"/>
          </w:rPr>
          <w:t>[6] 风机研究展示及验证说明</w:t>
        </w:r>
      </w:hyperlink>
    </w:p>
    <w:p>
      <w:hyperlink r:id="rId17">
        <w:r>
          <w:rPr>
            <w:color w:val="17665E"/>
          </w:rPr>
          <w:t>[7] PR 4 修改与公网验收记录</w:t>
        </w:r>
      </w:hyperlink>
    </w:p>
    <w:p>
      <w:r>
        <w:t>工程验收已覆盖自动播放、手动模式、真实语义检查、证据导出、失败重试和窄屏布局。这些检查证明展示按设计工作，不等同于科学假设或运营收益得到验证。</w:t>
      </w:r>
    </w:p>
    <w:p>
      <w:r>
        <w:br w:type="page"/>
      </w:r>
    </w:p>
    <w:p>
      <w:pPr>
        <w:pStyle w:val="Heading1"/>
      </w:pPr>
      <w:r>
        <w:t>8 分离合同因素并定位建议变化</w:t>
      </w:r>
    </w:p>
    <w:p>
      <w:r>
        <w:t>第二轮修改将两种合同卡片扩展为成本与门槛的 2×2 组合。周期 171 的点估计 45.0418、下界 20.139 周期固定；维护成本和等待期倍数均为 1。交叉组合是分析情境，不是新增真实合同。</w:t>
      </w:r>
    </w:p>
    <w:tbl>
      <w:tblPr>
        <w:tblW w:type="auto" w:w="0"/>
        <w:tblLayout w:type="fixed"/>
        <w:tblLook w:firstColumn="1" w:firstRow="1" w:lastColumn="0" w:lastRow="0" w:noHBand="0" w:noVBand="1" w:val="04A0"/>
      </w:tblPr>
      <w:tblGrid>
        <w:gridCol w:w="1984"/>
        <w:gridCol w:w="1984"/>
        <w:gridCol w:w="5556"/>
      </w:tblGrid>
      <w:tr>
        <w:trPr>
          <w:tblHeader/>
          <w:cantSplit/>
        </w:trPr>
        <w:tc>
          <w:tcPr>
            <w:tcW w:type="dxa" w:w="1984"/>
            <w:shd w:fill="E4EEE9"/>
            <w:tcMar>
              <w:top w:w="40" w:type="dxa"/>
              <w:bottom w:w="40" w:type="dxa"/>
              <w:left w:w="90" w:type="dxa"/>
              <w:right w:w="90" w:type="dxa"/>
            </w:tcMar>
          </w:tcPr>
          <w:p>
            <w:pPr>
              <w:spacing w:after="60" w:line="271" w:lineRule="auto"/>
            </w:pPr>
            <w:r>
              <w:rPr>
                <w:b/>
                <w:sz w:val="18"/>
              </w:rPr>
              <w:t>后果成本</w:t>
            </w:r>
          </w:p>
        </w:tc>
        <w:tc>
          <w:tcPr>
            <w:tcW w:type="dxa" w:w="1984"/>
            <w:shd w:fill="E4EEE9"/>
            <w:tcMar>
              <w:top w:w="40" w:type="dxa"/>
              <w:bottom w:w="40" w:type="dxa"/>
              <w:left w:w="90" w:type="dxa"/>
              <w:right w:w="90" w:type="dxa"/>
            </w:tcMar>
          </w:tcPr>
          <w:p>
            <w:pPr>
              <w:spacing w:after="60" w:line="271" w:lineRule="auto"/>
            </w:pPr>
            <w:r>
              <w:rPr>
                <w:b/>
                <w:sz w:val="18"/>
              </w:rPr>
              <w:t>门槛  周期</w:t>
            </w:r>
          </w:p>
        </w:tc>
        <w:tc>
          <w:tcPr>
            <w:tcW w:type="dxa" w:w="5556"/>
            <w:shd w:fill="E4EEE9"/>
            <w:tcMar>
              <w:top w:w="40" w:type="dxa"/>
              <w:bottom w:w="40" w:type="dxa"/>
              <w:left w:w="90" w:type="dxa"/>
              <w:right w:w="90" w:type="dxa"/>
            </w:tcMar>
          </w:tcPr>
          <w:p>
            <w:pPr>
              <w:spacing w:after="60" w:line="271" w:lineRule="auto"/>
            </w:pPr>
            <w:r>
              <w:rPr>
                <w:b/>
                <w:sz w:val="18"/>
              </w:rPr>
              <w:t>计算建议</w:t>
            </w:r>
          </w:p>
        </w:tc>
      </w:tr>
      <w:tr>
        <w:trPr>
          <w:cantSplit/>
        </w:trPr>
        <w:tc>
          <w:tcPr>
            <w:tcW w:type="dxa" w:w="1984"/>
            <w:shd w:fill="F5F7F4"/>
            <w:tcMar>
              <w:top w:w="40" w:type="dxa"/>
              <w:bottom w:w="40" w:type="dxa"/>
              <w:left w:w="90" w:type="dxa"/>
              <w:right w:w="90" w:type="dxa"/>
            </w:tcMar>
          </w:tcPr>
          <w:p>
            <w:pPr>
              <w:spacing w:after="60" w:line="271" w:lineRule="auto"/>
            </w:pPr>
            <w:r>
              <w:rPr>
                <w:b w:val="0"/>
                <w:sz w:val="18"/>
              </w:rPr>
              <w:t>5×</w:t>
            </w:r>
          </w:p>
        </w:tc>
        <w:tc>
          <w:tcPr>
            <w:tcW w:type="dxa" w:w="1984"/>
            <w:shd w:fill="F5F7F4"/>
            <w:tcMar>
              <w:top w:w="40" w:type="dxa"/>
              <w:bottom w:w="40" w:type="dxa"/>
              <w:left w:w="90" w:type="dxa"/>
              <w:right w:w="90" w:type="dxa"/>
            </w:tcMar>
          </w:tcPr>
          <w:p>
            <w:pPr>
              <w:spacing w:after="60" w:line="271" w:lineRule="auto"/>
            </w:pPr>
            <w:r>
              <w:rPr>
                <w:b w:val="0"/>
                <w:sz w:val="18"/>
              </w:rPr>
              <w:t>15</w:t>
            </w:r>
          </w:p>
        </w:tc>
        <w:tc>
          <w:tcPr>
            <w:tcW w:type="dxa" w:w="5556"/>
            <w:shd w:fill="F5F7F4"/>
            <w:tcMar>
              <w:top w:w="40" w:type="dxa"/>
              <w:bottom w:w="40" w:type="dxa"/>
              <w:left w:w="90" w:type="dxa"/>
              <w:right w:w="90" w:type="dxa"/>
            </w:tcMar>
          </w:tcPr>
          <w:p>
            <w:pPr>
              <w:spacing w:after="60" w:line="271" w:lineRule="auto"/>
            </w:pPr>
            <w:r>
              <w:rPr>
                <w:b w:val="0"/>
                <w:sz w:val="18"/>
              </w:rPr>
              <w:t>Enhanced Monitoring</w:t>
            </w:r>
          </w:p>
        </w:tc>
      </w:tr>
      <w:tr>
        <w:trPr>
          <w:cantSplit/>
        </w:trPr>
        <w:tc>
          <w:tcPr>
            <w:tcW w:type="dxa" w:w="1984"/>
            <w:shd w:fill="FFFFFF"/>
            <w:tcMar>
              <w:top w:w="40" w:type="dxa"/>
              <w:bottom w:w="40" w:type="dxa"/>
              <w:left w:w="90" w:type="dxa"/>
              <w:right w:w="90" w:type="dxa"/>
            </w:tcMar>
          </w:tcPr>
          <w:p>
            <w:pPr>
              <w:spacing w:after="60" w:line="271" w:lineRule="auto"/>
            </w:pPr>
            <w:r>
              <w:rPr>
                <w:b w:val="0"/>
                <w:sz w:val="18"/>
              </w:rPr>
              <w:t>20×</w:t>
            </w:r>
          </w:p>
        </w:tc>
        <w:tc>
          <w:tcPr>
            <w:tcW w:type="dxa" w:w="1984"/>
            <w:shd w:fill="FFFFFF"/>
            <w:tcMar>
              <w:top w:w="40" w:type="dxa"/>
              <w:bottom w:w="40" w:type="dxa"/>
              <w:left w:w="90" w:type="dxa"/>
              <w:right w:w="90" w:type="dxa"/>
            </w:tcMar>
          </w:tcPr>
          <w:p>
            <w:pPr>
              <w:spacing w:after="60" w:line="271" w:lineRule="auto"/>
            </w:pPr>
            <w:r>
              <w:rPr>
                <w:b w:val="0"/>
                <w:sz w:val="18"/>
              </w:rPr>
              <w:t>15</w:t>
            </w:r>
          </w:p>
        </w:tc>
        <w:tc>
          <w:tcPr>
            <w:tcW w:type="dxa" w:w="5556"/>
            <w:shd w:fill="FFFFFF"/>
            <w:tcMar>
              <w:top w:w="40" w:type="dxa"/>
              <w:bottom w:w="40" w:type="dxa"/>
              <w:left w:w="90" w:type="dxa"/>
              <w:right w:w="90" w:type="dxa"/>
            </w:tcMar>
          </w:tcPr>
          <w:p>
            <w:pPr>
              <w:spacing w:after="60" w:line="271" w:lineRule="auto"/>
            </w:pPr>
            <w:r>
              <w:rPr>
                <w:b w:val="0"/>
                <w:sz w:val="18"/>
              </w:rPr>
              <w:t>Inspection</w:t>
            </w:r>
          </w:p>
        </w:tc>
      </w:tr>
      <w:tr>
        <w:trPr>
          <w:cantSplit/>
        </w:trPr>
        <w:tc>
          <w:tcPr>
            <w:tcW w:type="dxa" w:w="1984"/>
            <w:shd w:fill="F5F7F4"/>
            <w:tcMar>
              <w:top w:w="40" w:type="dxa"/>
              <w:bottom w:w="40" w:type="dxa"/>
              <w:left w:w="90" w:type="dxa"/>
              <w:right w:w="90" w:type="dxa"/>
            </w:tcMar>
          </w:tcPr>
          <w:p>
            <w:pPr>
              <w:spacing w:after="60" w:line="271" w:lineRule="auto"/>
            </w:pPr>
            <w:r>
              <w:rPr>
                <w:b w:val="0"/>
                <w:sz w:val="18"/>
              </w:rPr>
              <w:t>5×</w:t>
            </w:r>
          </w:p>
        </w:tc>
        <w:tc>
          <w:tcPr>
            <w:tcW w:type="dxa" w:w="1984"/>
            <w:shd w:fill="F5F7F4"/>
            <w:tcMar>
              <w:top w:w="40" w:type="dxa"/>
              <w:bottom w:w="40" w:type="dxa"/>
              <w:left w:w="90" w:type="dxa"/>
              <w:right w:w="90" w:type="dxa"/>
            </w:tcMar>
          </w:tcPr>
          <w:p>
            <w:pPr>
              <w:spacing w:after="60" w:line="271" w:lineRule="auto"/>
            </w:pPr>
            <w:r>
              <w:rPr>
                <w:b w:val="0"/>
                <w:sz w:val="18"/>
              </w:rPr>
              <w:t>25</w:t>
            </w:r>
          </w:p>
        </w:tc>
        <w:tc>
          <w:tcPr>
            <w:tcW w:type="dxa" w:w="5556"/>
            <w:shd w:fill="F5F7F4"/>
            <w:tcMar>
              <w:top w:w="40" w:type="dxa"/>
              <w:bottom w:w="40" w:type="dxa"/>
              <w:left w:w="90" w:type="dxa"/>
              <w:right w:w="90" w:type="dxa"/>
            </w:tcMar>
          </w:tcPr>
          <w:p>
            <w:pPr>
              <w:spacing w:after="60" w:line="271" w:lineRule="auto"/>
            </w:pPr>
            <w:r>
              <w:rPr>
                <w:b w:val="0"/>
                <w:sz w:val="18"/>
              </w:rPr>
              <w:t>Planned Maintenance</w:t>
            </w:r>
          </w:p>
        </w:tc>
      </w:tr>
      <w:tr>
        <w:trPr>
          <w:cantSplit/>
        </w:trPr>
        <w:tc>
          <w:tcPr>
            <w:tcW w:type="dxa" w:w="1984"/>
            <w:shd w:fill="FFFFFF"/>
            <w:tcMar>
              <w:top w:w="40" w:type="dxa"/>
              <w:bottom w:w="40" w:type="dxa"/>
              <w:left w:w="90" w:type="dxa"/>
              <w:right w:w="90" w:type="dxa"/>
            </w:tcMar>
          </w:tcPr>
          <w:p>
            <w:pPr>
              <w:spacing w:after="60" w:line="271" w:lineRule="auto"/>
            </w:pPr>
            <w:r>
              <w:rPr>
                <w:b w:val="0"/>
                <w:sz w:val="18"/>
              </w:rPr>
              <w:t>20×</w:t>
            </w:r>
          </w:p>
        </w:tc>
        <w:tc>
          <w:tcPr>
            <w:tcW w:type="dxa" w:w="1984"/>
            <w:shd w:fill="FFFFFF"/>
            <w:tcMar>
              <w:top w:w="40" w:type="dxa"/>
              <w:bottom w:w="40" w:type="dxa"/>
              <w:left w:w="90" w:type="dxa"/>
              <w:right w:w="90" w:type="dxa"/>
            </w:tcMar>
          </w:tcPr>
          <w:p>
            <w:pPr>
              <w:spacing w:after="60" w:line="271" w:lineRule="auto"/>
            </w:pPr>
            <w:r>
              <w:rPr>
                <w:b w:val="0"/>
                <w:sz w:val="18"/>
              </w:rPr>
              <w:t>25</w:t>
            </w:r>
          </w:p>
        </w:tc>
        <w:tc>
          <w:tcPr>
            <w:tcW w:type="dxa" w:w="5556"/>
            <w:shd w:fill="FFFFFF"/>
            <w:tcMar>
              <w:top w:w="40" w:type="dxa"/>
              <w:bottom w:w="40" w:type="dxa"/>
              <w:left w:w="90" w:type="dxa"/>
              <w:right w:w="90" w:type="dxa"/>
            </w:tcMar>
          </w:tcPr>
          <w:p>
            <w:pPr>
              <w:spacing w:after="60" w:line="271" w:lineRule="auto"/>
            </w:pPr>
            <w:r>
              <w:rPr>
                <w:b w:val="0"/>
                <w:sz w:val="18"/>
              </w:rPr>
              <w:t>Planned Maintenance</w:t>
            </w:r>
          </w:p>
        </w:tc>
      </w:tr>
    </w:tbl>
    <w:p>
      <w:pPr>
        <w:spacing w:after="0"/>
      </w:pPr>
    </w:p>
    <w:p>
      <w:r>
        <w:t>固定门槛 15，提高后果成本使 Monitoring 变为 Inspection；固定成本，提高门槛至 25 使建议变为 Maintenance。这说明规则机制，不是实际服务结果的因果效应。</w:t>
      </w:r>
    </w:p>
    <w:p>
      <w:pPr>
        <w:pStyle w:val="Heading2"/>
      </w:pPr>
      <w:r>
        <w:t>区间放大情境的逐台结果</w:t>
      </w:r>
    </w:p>
    <w:p>
      <w:r>
        <w:t>availability assurance 下区间宽度 ×1.25：150／1,233 个快照变化，快照加权 12.17%，发动机等权平均 10.68%。首次建议周期只在已提供回放范围内识别；负位移表示较早建议。</w:t>
      </w:r>
    </w:p>
    <w:tbl>
      <w:tblPr>
        <w:tblW w:type="auto" w:w="0"/>
        <w:tblLayout w:type="fixed"/>
        <w:tblLook w:firstColumn="1" w:firstRow="1" w:lastColumn="0" w:lastRow="0" w:noHBand="0" w:noVBand="1" w:val="04A0"/>
      </w:tblPr>
      <w:tblGrid>
        <w:gridCol w:w="1134"/>
        <w:gridCol w:w="2324"/>
        <w:gridCol w:w="4025"/>
        <w:gridCol w:w="2041"/>
      </w:tblGrid>
      <w:tr>
        <w:trPr>
          <w:tblHeader/>
          <w:cantSplit/>
        </w:trPr>
        <w:tc>
          <w:tcPr>
            <w:tcW w:type="dxa" w:w="1134"/>
            <w:shd w:fill="E4EEE9"/>
            <w:tcMar>
              <w:top w:w="40" w:type="dxa"/>
              <w:bottom w:w="40" w:type="dxa"/>
              <w:left w:w="90" w:type="dxa"/>
              <w:right w:w="90" w:type="dxa"/>
            </w:tcMar>
          </w:tcPr>
          <w:p>
            <w:pPr>
              <w:spacing w:after="60" w:line="271" w:lineRule="auto"/>
            </w:pPr>
            <w:r>
              <w:rPr>
                <w:b/>
                <w:sz w:val="18"/>
              </w:rPr>
              <w:t>发动机</w:t>
            </w:r>
          </w:p>
        </w:tc>
        <w:tc>
          <w:tcPr>
            <w:tcW w:type="dxa" w:w="2324"/>
            <w:shd w:fill="E4EEE9"/>
            <w:tcMar>
              <w:top w:w="40" w:type="dxa"/>
              <w:bottom w:w="40" w:type="dxa"/>
              <w:left w:w="90" w:type="dxa"/>
              <w:right w:w="90" w:type="dxa"/>
            </w:tcMar>
          </w:tcPr>
          <w:p>
            <w:pPr>
              <w:spacing w:after="60" w:line="271" w:lineRule="auto"/>
            </w:pPr>
            <w:r>
              <w:rPr>
                <w:b/>
                <w:sz w:val="18"/>
              </w:rPr>
              <w:t>改变数／快照数</w:t>
            </w:r>
          </w:p>
        </w:tc>
        <w:tc>
          <w:tcPr>
            <w:tcW w:type="dxa" w:w="4025"/>
            <w:shd w:fill="E4EEE9"/>
            <w:tcMar>
              <w:top w:w="40" w:type="dxa"/>
              <w:bottom w:w="40" w:type="dxa"/>
              <w:left w:w="90" w:type="dxa"/>
              <w:right w:w="90" w:type="dxa"/>
            </w:tcMar>
          </w:tcPr>
          <w:p>
            <w:pPr>
              <w:spacing w:after="60" w:line="271" w:lineRule="auto"/>
            </w:pPr>
            <w:r>
              <w:rPr>
                <w:b/>
                <w:sz w:val="18"/>
              </w:rPr>
              <w:t>首次维护建议  参考 → 扰动</w:t>
            </w:r>
          </w:p>
        </w:tc>
        <w:tc>
          <w:tcPr>
            <w:tcW w:type="dxa" w:w="2041"/>
            <w:shd w:fill="E4EEE9"/>
            <w:tcMar>
              <w:top w:w="40" w:type="dxa"/>
              <w:bottom w:w="40" w:type="dxa"/>
              <w:left w:w="90" w:type="dxa"/>
              <w:right w:w="90" w:type="dxa"/>
            </w:tcMar>
          </w:tcPr>
          <w:p>
            <w:pPr>
              <w:spacing w:after="60" w:line="271" w:lineRule="auto"/>
            </w:pPr>
            <w:r>
              <w:rPr>
                <w:b/>
                <w:sz w:val="18"/>
              </w:rPr>
              <w:t>周期位移</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001</w:t>
            </w:r>
          </w:p>
        </w:tc>
        <w:tc>
          <w:tcPr>
            <w:tcW w:type="dxa" w:w="2324"/>
            <w:shd w:fill="F5F7F4"/>
            <w:tcMar>
              <w:top w:w="40" w:type="dxa"/>
              <w:bottom w:w="40" w:type="dxa"/>
              <w:left w:w="90" w:type="dxa"/>
              <w:right w:w="90" w:type="dxa"/>
            </w:tcMar>
          </w:tcPr>
          <w:p>
            <w:pPr>
              <w:spacing w:after="60" w:line="271" w:lineRule="auto"/>
            </w:pPr>
            <w:r>
              <w:rPr>
                <w:b w:val="0"/>
                <w:sz w:val="18"/>
              </w:rPr>
              <w:t>0 / 2</w:t>
            </w:r>
          </w:p>
        </w:tc>
        <w:tc>
          <w:tcPr>
            <w:tcW w:type="dxa" w:w="4025"/>
            <w:shd w:fill="F5F7F4"/>
            <w:tcMar>
              <w:top w:w="40" w:type="dxa"/>
              <w:bottom w:w="40" w:type="dxa"/>
              <w:left w:w="90" w:type="dxa"/>
              <w:right w:w="90" w:type="dxa"/>
            </w:tcMar>
          </w:tcPr>
          <w:p>
            <w:pPr>
              <w:spacing w:after="60" w:line="271" w:lineRule="auto"/>
            </w:pPr>
            <w:r>
              <w:rPr>
                <w:b w:val="0"/>
                <w:sz w:val="18"/>
              </w:rPr>
              <w:t>未观测到 → 未观测到</w:t>
            </w:r>
          </w:p>
        </w:tc>
        <w:tc>
          <w:tcPr>
            <w:tcW w:type="dxa" w:w="2041"/>
            <w:shd w:fill="F5F7F4"/>
            <w:tcMar>
              <w:top w:w="40" w:type="dxa"/>
              <w:bottom w:w="40" w:type="dxa"/>
              <w:left w:w="90" w:type="dxa"/>
              <w:right w:w="90" w:type="dxa"/>
            </w:tcMar>
          </w:tcPr>
          <w:p>
            <w:pPr>
              <w:spacing w:after="60" w:line="271" w:lineRule="auto"/>
            </w:pPr>
            <w:r>
              <w:rPr>
                <w:b w:val="0"/>
                <w:sz w:val="18"/>
              </w:rPr>
              <w:t>未观测到</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020</w:t>
            </w:r>
          </w:p>
        </w:tc>
        <w:tc>
          <w:tcPr>
            <w:tcW w:type="dxa" w:w="2324"/>
            <w:shd w:fill="FFFFFF"/>
            <w:tcMar>
              <w:top w:w="40" w:type="dxa"/>
              <w:bottom w:w="40" w:type="dxa"/>
              <w:left w:w="90" w:type="dxa"/>
              <w:right w:w="90" w:type="dxa"/>
            </w:tcMar>
          </w:tcPr>
          <w:p>
            <w:pPr>
              <w:spacing w:after="60" w:line="271" w:lineRule="auto"/>
            </w:pPr>
            <w:r>
              <w:rPr>
                <w:b w:val="0"/>
                <w:sz w:val="18"/>
              </w:rPr>
              <w:t>17 / 155</w:t>
            </w:r>
          </w:p>
        </w:tc>
        <w:tc>
          <w:tcPr>
            <w:tcW w:type="dxa" w:w="4025"/>
            <w:shd w:fill="FFFFFF"/>
            <w:tcMar>
              <w:top w:w="40" w:type="dxa"/>
              <w:bottom w:w="40" w:type="dxa"/>
              <w:left w:w="90" w:type="dxa"/>
              <w:right w:w="90" w:type="dxa"/>
            </w:tcMar>
          </w:tcPr>
          <w:p>
            <w:pPr>
              <w:spacing w:after="60" w:line="271" w:lineRule="auto"/>
            </w:pPr>
            <w:r>
              <w:rPr>
                <w:b w:val="0"/>
                <w:sz w:val="18"/>
              </w:rPr>
              <w:t>158 → 156</w:t>
            </w:r>
          </w:p>
        </w:tc>
        <w:tc>
          <w:tcPr>
            <w:tcW w:type="dxa" w:w="2041"/>
            <w:shd w:fill="FFFFFF"/>
            <w:tcMar>
              <w:top w:w="40" w:type="dxa"/>
              <w:bottom w:w="40" w:type="dxa"/>
              <w:left w:w="90" w:type="dxa"/>
              <w:right w:w="90" w:type="dxa"/>
            </w:tcMar>
          </w:tcPr>
          <w:p>
            <w:pPr>
              <w:spacing w:after="60" w:line="271" w:lineRule="auto"/>
            </w:pPr>
            <w:r>
              <w:rPr>
                <w:b w:val="0"/>
                <w:sz w:val="18"/>
              </w:rPr>
              <w:t>-2</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034</w:t>
            </w:r>
          </w:p>
        </w:tc>
        <w:tc>
          <w:tcPr>
            <w:tcW w:type="dxa" w:w="2324"/>
            <w:shd w:fill="F5F7F4"/>
            <w:tcMar>
              <w:top w:w="40" w:type="dxa"/>
              <w:bottom w:w="40" w:type="dxa"/>
              <w:left w:w="90" w:type="dxa"/>
              <w:right w:w="90" w:type="dxa"/>
            </w:tcMar>
          </w:tcPr>
          <w:p>
            <w:pPr>
              <w:spacing w:after="60" w:line="271" w:lineRule="auto"/>
            </w:pPr>
            <w:r>
              <w:rPr>
                <w:b w:val="0"/>
                <w:sz w:val="18"/>
              </w:rPr>
              <w:t>22 / 174</w:t>
            </w:r>
          </w:p>
        </w:tc>
        <w:tc>
          <w:tcPr>
            <w:tcW w:type="dxa" w:w="4025"/>
            <w:shd w:fill="F5F7F4"/>
            <w:tcMar>
              <w:top w:w="40" w:type="dxa"/>
              <w:bottom w:w="40" w:type="dxa"/>
              <w:left w:w="90" w:type="dxa"/>
              <w:right w:w="90" w:type="dxa"/>
            </w:tcMar>
          </w:tcPr>
          <w:p>
            <w:pPr>
              <w:spacing w:after="60" w:line="271" w:lineRule="auto"/>
            </w:pPr>
            <w:r>
              <w:rPr>
                <w:b w:val="0"/>
                <w:sz w:val="18"/>
              </w:rPr>
              <w:t>171 → 162</w:t>
            </w:r>
          </w:p>
        </w:tc>
        <w:tc>
          <w:tcPr>
            <w:tcW w:type="dxa" w:w="2041"/>
            <w:shd w:fill="F5F7F4"/>
            <w:tcMar>
              <w:top w:w="40" w:type="dxa"/>
              <w:bottom w:w="40" w:type="dxa"/>
              <w:left w:w="90" w:type="dxa"/>
              <w:right w:w="90" w:type="dxa"/>
            </w:tcMar>
          </w:tcPr>
          <w:p>
            <w:pPr>
              <w:spacing w:after="60" w:line="271" w:lineRule="auto"/>
            </w:pPr>
            <w:r>
              <w:rPr>
                <w:b w:val="0"/>
                <w:sz w:val="18"/>
              </w:rPr>
              <w:t>-9</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049</w:t>
            </w:r>
          </w:p>
        </w:tc>
        <w:tc>
          <w:tcPr>
            <w:tcW w:type="dxa" w:w="2324"/>
            <w:shd w:fill="FFFFFF"/>
            <w:tcMar>
              <w:top w:w="40" w:type="dxa"/>
              <w:bottom w:w="40" w:type="dxa"/>
              <w:left w:w="90" w:type="dxa"/>
              <w:right w:w="90" w:type="dxa"/>
            </w:tcMar>
          </w:tcPr>
          <w:p>
            <w:pPr>
              <w:spacing w:after="60" w:line="271" w:lineRule="auto"/>
            </w:pPr>
            <w:r>
              <w:rPr>
                <w:b w:val="0"/>
                <w:sz w:val="18"/>
              </w:rPr>
              <w:t>38 / 274</w:t>
            </w:r>
          </w:p>
        </w:tc>
        <w:tc>
          <w:tcPr>
            <w:tcW w:type="dxa" w:w="4025"/>
            <w:shd w:fill="FFFFFF"/>
            <w:tcMar>
              <w:top w:w="40" w:type="dxa"/>
              <w:bottom w:w="40" w:type="dxa"/>
              <w:left w:w="90" w:type="dxa"/>
              <w:right w:w="90" w:type="dxa"/>
            </w:tcMar>
          </w:tcPr>
          <w:p>
            <w:pPr>
              <w:spacing w:after="60" w:line="271" w:lineRule="auto"/>
            </w:pPr>
            <w:r>
              <w:rPr>
                <w:b w:val="0"/>
                <w:sz w:val="18"/>
              </w:rPr>
              <w:t>277 → 260</w:t>
            </w:r>
          </w:p>
        </w:tc>
        <w:tc>
          <w:tcPr>
            <w:tcW w:type="dxa" w:w="2041"/>
            <w:shd w:fill="FFFFFF"/>
            <w:tcMar>
              <w:top w:w="40" w:type="dxa"/>
              <w:bottom w:w="40" w:type="dxa"/>
              <w:left w:w="90" w:type="dxa"/>
              <w:right w:w="90" w:type="dxa"/>
            </w:tcMar>
          </w:tcPr>
          <w:p>
            <w:pPr>
              <w:spacing w:after="60" w:line="271" w:lineRule="auto"/>
            </w:pPr>
            <w:r>
              <w:rPr>
                <w:b w:val="0"/>
                <w:sz w:val="18"/>
              </w:rPr>
              <w:t>-17</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068</w:t>
            </w:r>
          </w:p>
        </w:tc>
        <w:tc>
          <w:tcPr>
            <w:tcW w:type="dxa" w:w="2324"/>
            <w:shd w:fill="F5F7F4"/>
            <w:tcMar>
              <w:top w:w="40" w:type="dxa"/>
              <w:bottom w:w="40" w:type="dxa"/>
              <w:left w:w="90" w:type="dxa"/>
              <w:right w:w="90" w:type="dxa"/>
            </w:tcMar>
          </w:tcPr>
          <w:p>
            <w:pPr>
              <w:spacing w:after="60" w:line="271" w:lineRule="auto"/>
            </w:pPr>
            <w:r>
              <w:rPr>
                <w:b w:val="0"/>
                <w:sz w:val="18"/>
              </w:rPr>
              <w:t>28 / 158</w:t>
            </w:r>
          </w:p>
        </w:tc>
        <w:tc>
          <w:tcPr>
            <w:tcW w:type="dxa" w:w="4025"/>
            <w:shd w:fill="F5F7F4"/>
            <w:tcMar>
              <w:top w:w="40" w:type="dxa"/>
              <w:bottom w:w="40" w:type="dxa"/>
              <w:left w:w="90" w:type="dxa"/>
              <w:right w:w="90" w:type="dxa"/>
            </w:tcMar>
          </w:tcPr>
          <w:p>
            <w:pPr>
              <w:spacing w:after="60" w:line="271" w:lineRule="auto"/>
            </w:pPr>
            <w:r>
              <w:rPr>
                <w:b w:val="0"/>
                <w:sz w:val="18"/>
              </w:rPr>
              <w:t>164 → 161</w:t>
            </w:r>
          </w:p>
        </w:tc>
        <w:tc>
          <w:tcPr>
            <w:tcW w:type="dxa" w:w="2041"/>
            <w:shd w:fill="F5F7F4"/>
            <w:tcMar>
              <w:top w:w="40" w:type="dxa"/>
              <w:bottom w:w="40" w:type="dxa"/>
              <w:left w:w="90" w:type="dxa"/>
              <w:right w:w="90" w:type="dxa"/>
            </w:tcMar>
          </w:tcPr>
          <w:p>
            <w:pPr>
              <w:spacing w:after="60" w:line="271" w:lineRule="auto"/>
            </w:pPr>
            <w:r>
              <w:rPr>
                <w:b w:val="0"/>
                <w:sz w:val="18"/>
              </w:rPr>
              <w:t>-3</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081</w:t>
            </w:r>
          </w:p>
        </w:tc>
        <w:tc>
          <w:tcPr>
            <w:tcW w:type="dxa" w:w="2324"/>
            <w:shd w:fill="FFFFFF"/>
            <w:tcMar>
              <w:top w:w="40" w:type="dxa"/>
              <w:bottom w:w="40" w:type="dxa"/>
              <w:left w:w="90" w:type="dxa"/>
              <w:right w:w="90" w:type="dxa"/>
            </w:tcMar>
          </w:tcPr>
          <w:p>
            <w:pPr>
              <w:spacing w:after="60" w:line="271" w:lineRule="auto"/>
            </w:pPr>
            <w:r>
              <w:rPr>
                <w:b w:val="0"/>
                <w:sz w:val="18"/>
              </w:rPr>
              <w:t>13 / 184</w:t>
            </w:r>
          </w:p>
        </w:tc>
        <w:tc>
          <w:tcPr>
            <w:tcW w:type="dxa" w:w="4025"/>
            <w:shd w:fill="FFFFFF"/>
            <w:tcMar>
              <w:top w:w="40" w:type="dxa"/>
              <w:bottom w:w="40" w:type="dxa"/>
              <w:left w:w="90" w:type="dxa"/>
              <w:right w:w="90" w:type="dxa"/>
            </w:tcMar>
          </w:tcPr>
          <w:p>
            <w:pPr>
              <w:spacing w:after="60" w:line="271" w:lineRule="auto"/>
            </w:pPr>
            <w:r>
              <w:rPr>
                <w:b w:val="0"/>
                <w:sz w:val="18"/>
              </w:rPr>
              <w:t>170 → 170</w:t>
            </w:r>
          </w:p>
        </w:tc>
        <w:tc>
          <w:tcPr>
            <w:tcW w:type="dxa" w:w="2041"/>
            <w:shd w:fill="FFFFFF"/>
            <w:tcMar>
              <w:top w:w="40" w:type="dxa"/>
              <w:bottom w:w="40" w:type="dxa"/>
              <w:left w:w="90" w:type="dxa"/>
              <w:right w:w="90" w:type="dxa"/>
            </w:tcMar>
          </w:tcPr>
          <w:p>
            <w:pPr>
              <w:spacing w:after="60" w:line="271" w:lineRule="auto"/>
            </w:pPr>
            <w:r>
              <w:rPr>
                <w:b w:val="0"/>
                <w:sz w:val="18"/>
              </w:rPr>
              <w:t>0</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090</w:t>
            </w:r>
          </w:p>
        </w:tc>
        <w:tc>
          <w:tcPr>
            <w:tcW w:type="dxa" w:w="2324"/>
            <w:shd w:fill="F5F7F4"/>
            <w:tcMar>
              <w:top w:w="40" w:type="dxa"/>
              <w:bottom w:w="40" w:type="dxa"/>
              <w:left w:w="90" w:type="dxa"/>
              <w:right w:w="90" w:type="dxa"/>
            </w:tcMar>
          </w:tcPr>
          <w:p>
            <w:pPr>
              <w:spacing w:after="60" w:line="271" w:lineRule="auto"/>
            </w:pPr>
            <w:r>
              <w:rPr>
                <w:b w:val="0"/>
                <w:sz w:val="18"/>
              </w:rPr>
              <w:t>16 / 117</w:t>
            </w:r>
          </w:p>
        </w:tc>
        <w:tc>
          <w:tcPr>
            <w:tcW w:type="dxa" w:w="4025"/>
            <w:shd w:fill="F5F7F4"/>
            <w:tcMar>
              <w:top w:w="40" w:type="dxa"/>
              <w:bottom w:w="40" w:type="dxa"/>
              <w:left w:w="90" w:type="dxa"/>
              <w:right w:w="90" w:type="dxa"/>
            </w:tcMar>
          </w:tcPr>
          <w:p>
            <w:pPr>
              <w:spacing w:after="60" w:line="271" w:lineRule="auto"/>
            </w:pPr>
            <w:r>
              <w:rPr>
                <w:b w:val="0"/>
                <w:sz w:val="18"/>
              </w:rPr>
              <w:t>131 → 128</w:t>
            </w:r>
          </w:p>
        </w:tc>
        <w:tc>
          <w:tcPr>
            <w:tcW w:type="dxa" w:w="2041"/>
            <w:shd w:fill="F5F7F4"/>
            <w:tcMar>
              <w:top w:w="40" w:type="dxa"/>
              <w:bottom w:w="40" w:type="dxa"/>
              <w:left w:w="90" w:type="dxa"/>
              <w:right w:w="90" w:type="dxa"/>
            </w:tcMar>
          </w:tcPr>
          <w:p>
            <w:pPr>
              <w:spacing w:after="60" w:line="271" w:lineRule="auto"/>
            </w:pPr>
            <w:r>
              <w:rPr>
                <w:b w:val="0"/>
                <w:sz w:val="18"/>
              </w:rPr>
              <w:t>-3</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100</w:t>
            </w:r>
          </w:p>
        </w:tc>
        <w:tc>
          <w:tcPr>
            <w:tcW w:type="dxa" w:w="2324"/>
            <w:shd w:fill="FFFFFF"/>
            <w:tcMar>
              <w:top w:w="40" w:type="dxa"/>
              <w:bottom w:w="40" w:type="dxa"/>
              <w:left w:w="90" w:type="dxa"/>
              <w:right w:w="90" w:type="dxa"/>
            </w:tcMar>
          </w:tcPr>
          <w:p>
            <w:pPr>
              <w:spacing w:after="60" w:line="271" w:lineRule="auto"/>
            </w:pPr>
            <w:r>
              <w:rPr>
                <w:b w:val="0"/>
                <w:sz w:val="18"/>
              </w:rPr>
              <w:t>16 / 169</w:t>
            </w:r>
          </w:p>
        </w:tc>
        <w:tc>
          <w:tcPr>
            <w:tcW w:type="dxa" w:w="4025"/>
            <w:shd w:fill="FFFFFF"/>
            <w:tcMar>
              <w:top w:w="40" w:type="dxa"/>
              <w:bottom w:w="40" w:type="dxa"/>
              <w:left w:w="90" w:type="dxa"/>
              <w:right w:w="90" w:type="dxa"/>
            </w:tcMar>
          </w:tcPr>
          <w:p>
            <w:pPr>
              <w:spacing w:after="60" w:line="271" w:lineRule="auto"/>
            </w:pPr>
            <w:r>
              <w:rPr>
                <w:b w:val="0"/>
                <w:sz w:val="18"/>
              </w:rPr>
              <w:t>185 → 168</w:t>
            </w:r>
          </w:p>
        </w:tc>
        <w:tc>
          <w:tcPr>
            <w:tcW w:type="dxa" w:w="2041"/>
            <w:shd w:fill="FFFFFF"/>
            <w:tcMar>
              <w:top w:w="40" w:type="dxa"/>
              <w:bottom w:w="40" w:type="dxa"/>
              <w:left w:w="90" w:type="dxa"/>
              <w:right w:w="90" w:type="dxa"/>
            </w:tcMar>
          </w:tcPr>
          <w:p>
            <w:pPr>
              <w:spacing w:after="60" w:line="271" w:lineRule="auto"/>
            </w:pPr>
            <w:r>
              <w:rPr>
                <w:b w:val="0"/>
                <w:sz w:val="18"/>
              </w:rPr>
              <w:t>-17</w:t>
            </w:r>
          </w:p>
        </w:tc>
      </w:tr>
    </w:tbl>
    <w:p>
      <w:pPr>
        <w:spacing w:after="0"/>
      </w:pPr>
    </w:p>
    <w:p>
      <w:r>
        <w:t>改变的行动包括：92 次 Continue → Monitoring，48 次 Monitoring → Maintenance，10 次 Monitoring → Inspection。未改变行动也保留在网页和导出中，全部转移计数合计 1,233。</w:t>
      </w:r>
    </w:p>
    <w:p>
      <w:r>
        <w:t>001 号发动机仅有两个可用快照；等权平均不能消除观测窗口不等长和代表性问题。首次建议不等于已执行维护，“未观测到”不等于之后不会发生。</w:t>
      </w:r>
    </w:p>
    <w:p>
      <w:r>
        <w:br w:type="page"/>
      </w:r>
    </w:p>
    <w:p>
      <w:pPr>
        <w:pStyle w:val="Heading1"/>
      </w:pPr>
      <w:r>
        <w:t>9 常规结构与语义结构的实际对照</w:t>
      </w:r>
    </w:p>
    <w:p>
      <w:r>
        <w:t>对照固定使用 FD001／Engine 034／周期 171 的同一证据。相同标量数据分别进入普通 JSON 规则与独立表达的 SHACL Core 约束；JavaScript 关联查询与 SPARQL 回答同一个来源追溯问题。这个实验独立于完整生产本体。</w:t>
      </w:r>
    </w:p>
    <w:tbl>
      <w:tblPr>
        <w:tblW w:type="auto" w:w="0"/>
        <w:tblLayout w:type="fixed"/>
        <w:tblLook w:firstColumn="1" w:firstRow="1" w:lastColumn="0" w:lastRow="0" w:noHBand="0" w:noVBand="1" w:val="04A0"/>
      </w:tblPr>
      <w:tblGrid>
        <w:gridCol w:w="1134"/>
        <w:gridCol w:w="8391"/>
      </w:tblGrid>
      <w:tr>
        <w:trPr>
          <w:tblHeader/>
          <w:cantSplit/>
        </w:trPr>
        <w:tc>
          <w:tcPr>
            <w:tcW w:type="dxa" w:w="1134"/>
            <w:shd w:fill="E4EEE9"/>
            <w:tcMar>
              <w:top w:w="40" w:type="dxa"/>
              <w:bottom w:w="40" w:type="dxa"/>
              <w:left w:w="90" w:type="dxa"/>
              <w:right w:w="90" w:type="dxa"/>
            </w:tcMar>
          </w:tcPr>
          <w:p>
            <w:pPr>
              <w:spacing w:after="60" w:line="271" w:lineRule="auto"/>
            </w:pPr>
            <w:r>
              <w:rPr>
                <w:b/>
                <w:sz w:val="18"/>
              </w:rPr>
              <w:t>要求</w:t>
            </w:r>
          </w:p>
        </w:tc>
        <w:tc>
          <w:tcPr>
            <w:tcW w:type="dxa" w:w="8391"/>
            <w:shd w:fill="E4EEE9"/>
            <w:tcMar>
              <w:top w:w="40" w:type="dxa"/>
              <w:bottom w:w="40" w:type="dxa"/>
              <w:left w:w="90" w:type="dxa"/>
              <w:right w:w="90" w:type="dxa"/>
            </w:tcMar>
          </w:tcPr>
          <w:p>
            <w:pPr>
              <w:spacing w:after="60" w:line="271" w:lineRule="auto"/>
            </w:pPr>
            <w:r>
              <w:rPr>
                <w:b/>
                <w:sz w:val="18"/>
              </w:rPr>
              <w:t>两条路径共同检查的内容</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R1</w:t>
            </w:r>
          </w:p>
        </w:tc>
        <w:tc>
          <w:tcPr>
            <w:tcW w:type="dxa" w:w="8391"/>
            <w:shd w:fill="F5F7F4"/>
            <w:tcMar>
              <w:top w:w="40" w:type="dxa"/>
              <w:bottom w:w="40" w:type="dxa"/>
              <w:left w:w="90" w:type="dxa"/>
              <w:right w:w="90" w:type="dxa"/>
            </w:tcMar>
          </w:tcPr>
          <w:p>
            <w:pPr>
              <w:spacing w:after="60" w:line="271" w:lineRule="auto"/>
            </w:pPr>
            <w:r>
              <w:rPr>
                <w:b w:val="0"/>
                <w:sz w:val="18"/>
              </w:rPr>
              <w:t>明确使用 cycles 单位</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R2</w:t>
            </w:r>
          </w:p>
        </w:tc>
        <w:tc>
          <w:tcPr>
            <w:tcW w:type="dxa" w:w="8391"/>
            <w:shd w:fill="FFFFFF"/>
            <w:tcMar>
              <w:top w:w="40" w:type="dxa"/>
              <w:bottom w:w="40" w:type="dxa"/>
              <w:left w:w="90" w:type="dxa"/>
              <w:right w:w="90" w:type="dxa"/>
            </w:tcMar>
          </w:tcPr>
          <w:p>
            <w:pPr>
              <w:spacing w:after="60" w:line="271" w:lineRule="auto"/>
            </w:pPr>
            <w:r>
              <w:rPr>
                <w:b w:val="0"/>
                <w:sz w:val="18"/>
              </w:rPr>
              <w:t>估计关联的资产等于快照资产</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R3</w:t>
            </w:r>
          </w:p>
        </w:tc>
        <w:tc>
          <w:tcPr>
            <w:tcW w:type="dxa" w:w="8391"/>
            <w:shd w:fill="F5F7F4"/>
            <w:tcMar>
              <w:top w:w="40" w:type="dxa"/>
              <w:bottom w:w="40" w:type="dxa"/>
              <w:left w:w="90" w:type="dxa"/>
              <w:right w:w="90" w:type="dxa"/>
            </w:tcMar>
          </w:tcPr>
          <w:p>
            <w:pPr>
              <w:spacing w:after="60" w:line="271" w:lineRule="auto"/>
            </w:pPr>
            <w:r>
              <w:rPr>
                <w:b w:val="0"/>
                <w:sz w:val="18"/>
              </w:rPr>
              <w:t>使用的合同版本等于输入的预期版本</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R4</w:t>
            </w:r>
          </w:p>
        </w:tc>
        <w:tc>
          <w:tcPr>
            <w:tcW w:type="dxa" w:w="8391"/>
            <w:shd w:fill="FFFFFF"/>
            <w:tcMar>
              <w:top w:w="40" w:type="dxa"/>
              <w:bottom w:w="40" w:type="dxa"/>
              <w:left w:w="90" w:type="dxa"/>
              <w:right w:w="90" w:type="dxa"/>
            </w:tcMar>
          </w:tcPr>
          <w:p>
            <w:pPr>
              <w:spacing w:after="60" w:line="271" w:lineRule="auto"/>
            </w:pPr>
            <w:r>
              <w:rPr>
                <w:b w:val="0"/>
                <w:sz w:val="18"/>
              </w:rPr>
              <w:t>估计保留 64 位十六进制来源哈希</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R5</w:t>
            </w:r>
          </w:p>
        </w:tc>
        <w:tc>
          <w:tcPr>
            <w:tcW w:type="dxa" w:w="8391"/>
            <w:shd w:fill="F5F7F4"/>
            <w:tcMar>
              <w:top w:w="40" w:type="dxa"/>
              <w:bottom w:w="40" w:type="dxa"/>
              <w:left w:w="90" w:type="dxa"/>
              <w:right w:w="90" w:type="dxa"/>
            </w:tcMar>
          </w:tcPr>
          <w:p>
            <w:pPr>
              <w:spacing w:after="60" w:line="271" w:lineRule="auto"/>
            </w:pPr>
            <w:r>
              <w:rPr>
                <w:b w:val="0"/>
                <w:sz w:val="18"/>
              </w:rPr>
              <w:t>建议指向本快照的估计</w:t>
            </w:r>
          </w:p>
        </w:tc>
      </w:tr>
    </w:tbl>
    <w:p>
      <w:pPr>
        <w:spacing w:after="0"/>
      </w:pPr>
    </w:p>
    <w:tbl>
      <w:tblPr>
        <w:tblW w:type="auto" w:w="0"/>
        <w:tblLayout w:type="fixed"/>
        <w:tblLook w:firstColumn="1" w:firstRow="1" w:lastColumn="0" w:lastRow="0" w:noHBand="0" w:noVBand="1" w:val="04A0"/>
      </w:tblPr>
      <w:tblGrid>
        <w:gridCol w:w="3515"/>
        <w:gridCol w:w="4082"/>
        <w:gridCol w:w="1928"/>
      </w:tblGrid>
      <w:tr>
        <w:trPr>
          <w:tblHeader/>
          <w:cantSplit/>
        </w:trPr>
        <w:tc>
          <w:tcPr>
            <w:tcW w:type="dxa" w:w="3515"/>
            <w:shd w:fill="E4EEE9"/>
            <w:tcMar>
              <w:top w:w="40" w:type="dxa"/>
              <w:bottom w:w="40" w:type="dxa"/>
              <w:left w:w="90" w:type="dxa"/>
              <w:right w:w="90" w:type="dxa"/>
            </w:tcMar>
          </w:tcPr>
          <w:p>
            <w:pPr>
              <w:spacing w:after="60" w:line="271" w:lineRule="auto"/>
            </w:pPr>
            <w:r>
              <w:rPr>
                <w:b/>
                <w:sz w:val="18"/>
              </w:rPr>
              <w:t>共同样例</w:t>
            </w:r>
          </w:p>
        </w:tc>
        <w:tc>
          <w:tcPr>
            <w:tcW w:type="dxa" w:w="4082"/>
            <w:shd w:fill="E4EEE9"/>
            <w:tcMar>
              <w:top w:w="40" w:type="dxa"/>
              <w:bottom w:w="40" w:type="dxa"/>
              <w:left w:w="90" w:type="dxa"/>
              <w:right w:w="90" w:type="dxa"/>
            </w:tcMar>
          </w:tcPr>
          <w:p>
            <w:pPr>
              <w:spacing w:after="60" w:line="271" w:lineRule="auto"/>
            </w:pPr>
            <w:r>
              <w:rPr>
                <w:b/>
                <w:sz w:val="18"/>
              </w:rPr>
              <w:t>JSON 与 SHACL 实际结果</w:t>
            </w:r>
          </w:p>
        </w:tc>
        <w:tc>
          <w:tcPr>
            <w:tcW w:type="dxa" w:w="1928"/>
            <w:shd w:fill="E4EEE9"/>
            <w:tcMar>
              <w:top w:w="40" w:type="dxa"/>
              <w:bottom w:w="40" w:type="dxa"/>
              <w:left w:w="90" w:type="dxa"/>
              <w:right w:w="90" w:type="dxa"/>
            </w:tcMar>
          </w:tcPr>
          <w:p>
            <w:pPr>
              <w:spacing w:after="60" w:line="271" w:lineRule="auto"/>
            </w:pPr>
            <w:r>
              <w:rPr>
                <w:b/>
                <w:sz w:val="18"/>
              </w:rPr>
              <w:t>查询答案一致</w:t>
            </w:r>
          </w:p>
        </w:tc>
      </w:tr>
      <w:tr>
        <w:trPr>
          <w:cantSplit/>
        </w:trPr>
        <w:tc>
          <w:tcPr>
            <w:tcW w:type="dxa" w:w="3515"/>
            <w:shd w:fill="F5F7F4"/>
            <w:tcMar>
              <w:top w:w="40" w:type="dxa"/>
              <w:bottom w:w="40" w:type="dxa"/>
              <w:left w:w="90" w:type="dxa"/>
              <w:right w:w="90" w:type="dxa"/>
            </w:tcMar>
          </w:tcPr>
          <w:p>
            <w:pPr>
              <w:spacing w:after="60" w:line="271" w:lineRule="auto"/>
            </w:pPr>
            <w:r>
              <w:rPr>
                <w:b w:val="0"/>
                <w:sz w:val="18"/>
              </w:rPr>
              <w:t>有效证据</w:t>
            </w:r>
          </w:p>
        </w:tc>
        <w:tc>
          <w:tcPr>
            <w:tcW w:type="dxa" w:w="4082"/>
            <w:shd w:fill="F5F7F4"/>
            <w:tcMar>
              <w:top w:w="40" w:type="dxa"/>
              <w:bottom w:w="40" w:type="dxa"/>
              <w:left w:w="90" w:type="dxa"/>
              <w:right w:w="90" w:type="dxa"/>
            </w:tcMar>
          </w:tcPr>
          <w:p>
            <w:pPr>
              <w:spacing w:after="60" w:line="271" w:lineRule="auto"/>
            </w:pPr>
            <w:r>
              <w:rPr>
                <w:b w:val="0"/>
                <w:sz w:val="18"/>
              </w:rPr>
              <w:t>两者通过</w:t>
            </w:r>
          </w:p>
        </w:tc>
        <w:tc>
          <w:tcPr>
            <w:tcW w:type="dxa" w:w="1928"/>
            <w:shd w:fill="F5F7F4"/>
            <w:tcMar>
              <w:top w:w="40" w:type="dxa"/>
              <w:bottom w:w="40" w:type="dxa"/>
              <w:left w:w="90" w:type="dxa"/>
              <w:right w:w="90" w:type="dxa"/>
            </w:tcMar>
          </w:tcPr>
          <w:p>
            <w:pPr>
              <w:spacing w:after="60" w:line="271" w:lineRule="auto"/>
            </w:pPr>
            <w:r>
              <w:rPr>
                <w:b w:val="0"/>
                <w:sz w:val="18"/>
              </w:rPr>
              <w:t>是</w:t>
            </w:r>
          </w:p>
        </w:tc>
      </w:tr>
      <w:tr>
        <w:trPr>
          <w:cantSplit/>
        </w:trPr>
        <w:tc>
          <w:tcPr>
            <w:tcW w:type="dxa" w:w="3515"/>
            <w:shd w:fill="FFFFFF"/>
            <w:tcMar>
              <w:top w:w="40" w:type="dxa"/>
              <w:bottom w:w="40" w:type="dxa"/>
              <w:left w:w="90" w:type="dxa"/>
              <w:right w:w="90" w:type="dxa"/>
            </w:tcMar>
          </w:tcPr>
          <w:p>
            <w:pPr>
              <w:spacing w:after="60" w:line="271" w:lineRule="auto"/>
            </w:pPr>
            <w:r>
              <w:rPr>
                <w:b w:val="0"/>
                <w:sz w:val="18"/>
              </w:rPr>
              <w:t>缺失单位</w:t>
            </w:r>
          </w:p>
        </w:tc>
        <w:tc>
          <w:tcPr>
            <w:tcW w:type="dxa" w:w="4082"/>
            <w:shd w:fill="FFFFFF"/>
            <w:tcMar>
              <w:top w:w="40" w:type="dxa"/>
              <w:bottom w:w="40" w:type="dxa"/>
              <w:left w:w="90" w:type="dxa"/>
              <w:right w:w="90" w:type="dxa"/>
            </w:tcMar>
          </w:tcPr>
          <w:p>
            <w:pPr>
              <w:spacing w:after="60" w:line="271" w:lineRule="auto"/>
            </w:pPr>
            <w:r>
              <w:rPr>
                <w:b w:val="0"/>
                <w:sz w:val="18"/>
              </w:rPr>
              <w:t>两者报告 R1</w:t>
            </w:r>
          </w:p>
        </w:tc>
        <w:tc>
          <w:tcPr>
            <w:tcW w:type="dxa" w:w="1928"/>
            <w:shd w:fill="FFFFFF"/>
            <w:tcMar>
              <w:top w:w="40" w:type="dxa"/>
              <w:bottom w:w="40" w:type="dxa"/>
              <w:left w:w="90" w:type="dxa"/>
              <w:right w:w="90" w:type="dxa"/>
            </w:tcMar>
          </w:tcPr>
          <w:p>
            <w:pPr>
              <w:spacing w:after="60" w:line="271" w:lineRule="auto"/>
            </w:pPr>
            <w:r>
              <w:rPr>
                <w:b w:val="0"/>
                <w:sz w:val="18"/>
              </w:rPr>
              <w:t>是</w:t>
            </w:r>
          </w:p>
        </w:tc>
      </w:tr>
      <w:tr>
        <w:trPr>
          <w:cantSplit/>
        </w:trPr>
        <w:tc>
          <w:tcPr>
            <w:tcW w:type="dxa" w:w="3515"/>
            <w:shd w:fill="F5F7F4"/>
            <w:tcMar>
              <w:top w:w="40" w:type="dxa"/>
              <w:bottom w:w="40" w:type="dxa"/>
              <w:left w:w="90" w:type="dxa"/>
              <w:right w:w="90" w:type="dxa"/>
            </w:tcMar>
          </w:tcPr>
          <w:p>
            <w:pPr>
              <w:spacing w:after="60" w:line="271" w:lineRule="auto"/>
            </w:pPr>
            <w:r>
              <w:rPr>
                <w:b w:val="0"/>
                <w:sz w:val="18"/>
              </w:rPr>
              <w:t>单位改为 hours</w:t>
            </w:r>
          </w:p>
        </w:tc>
        <w:tc>
          <w:tcPr>
            <w:tcW w:type="dxa" w:w="4082"/>
            <w:shd w:fill="F5F7F4"/>
            <w:tcMar>
              <w:top w:w="40" w:type="dxa"/>
              <w:bottom w:w="40" w:type="dxa"/>
              <w:left w:w="90" w:type="dxa"/>
              <w:right w:w="90" w:type="dxa"/>
            </w:tcMar>
          </w:tcPr>
          <w:p>
            <w:pPr>
              <w:spacing w:after="60" w:line="271" w:lineRule="auto"/>
            </w:pPr>
            <w:r>
              <w:rPr>
                <w:b w:val="0"/>
                <w:sz w:val="18"/>
              </w:rPr>
              <w:t>两者报告 R1</w:t>
            </w:r>
          </w:p>
        </w:tc>
        <w:tc>
          <w:tcPr>
            <w:tcW w:type="dxa" w:w="1928"/>
            <w:shd w:fill="F5F7F4"/>
            <w:tcMar>
              <w:top w:w="40" w:type="dxa"/>
              <w:bottom w:w="40" w:type="dxa"/>
              <w:left w:w="90" w:type="dxa"/>
              <w:right w:w="90" w:type="dxa"/>
            </w:tcMar>
          </w:tcPr>
          <w:p>
            <w:pPr>
              <w:spacing w:after="60" w:line="271" w:lineRule="auto"/>
            </w:pPr>
            <w:r>
              <w:rPr>
                <w:b w:val="0"/>
                <w:sz w:val="18"/>
              </w:rPr>
              <w:t>是</w:t>
            </w:r>
          </w:p>
        </w:tc>
      </w:tr>
      <w:tr>
        <w:trPr>
          <w:cantSplit/>
        </w:trPr>
        <w:tc>
          <w:tcPr>
            <w:tcW w:type="dxa" w:w="3515"/>
            <w:shd w:fill="FFFFFF"/>
            <w:tcMar>
              <w:top w:w="40" w:type="dxa"/>
              <w:bottom w:w="40" w:type="dxa"/>
              <w:left w:w="90" w:type="dxa"/>
              <w:right w:w="90" w:type="dxa"/>
            </w:tcMar>
          </w:tcPr>
          <w:p>
            <w:pPr>
              <w:spacing w:after="60" w:line="271" w:lineRule="auto"/>
            </w:pPr>
            <w:r>
              <w:rPr>
                <w:b w:val="0"/>
                <w:sz w:val="18"/>
              </w:rPr>
              <w:t>错误资产关联</w:t>
            </w:r>
          </w:p>
        </w:tc>
        <w:tc>
          <w:tcPr>
            <w:tcW w:type="dxa" w:w="4082"/>
            <w:shd w:fill="FFFFFF"/>
            <w:tcMar>
              <w:top w:w="40" w:type="dxa"/>
              <w:bottom w:w="40" w:type="dxa"/>
              <w:left w:w="90" w:type="dxa"/>
              <w:right w:w="90" w:type="dxa"/>
            </w:tcMar>
          </w:tcPr>
          <w:p>
            <w:pPr>
              <w:spacing w:after="60" w:line="271" w:lineRule="auto"/>
            </w:pPr>
            <w:r>
              <w:rPr>
                <w:b w:val="0"/>
                <w:sz w:val="18"/>
              </w:rPr>
              <w:t>两者报告 R2</w:t>
            </w:r>
          </w:p>
        </w:tc>
        <w:tc>
          <w:tcPr>
            <w:tcW w:type="dxa" w:w="1928"/>
            <w:shd w:fill="FFFFFF"/>
            <w:tcMar>
              <w:top w:w="40" w:type="dxa"/>
              <w:bottom w:w="40" w:type="dxa"/>
              <w:left w:w="90" w:type="dxa"/>
              <w:right w:w="90" w:type="dxa"/>
            </w:tcMar>
          </w:tcPr>
          <w:p>
            <w:pPr>
              <w:spacing w:after="60" w:line="271" w:lineRule="auto"/>
            </w:pPr>
            <w:r>
              <w:rPr>
                <w:b w:val="0"/>
                <w:sz w:val="18"/>
              </w:rPr>
              <w:t>是</w:t>
            </w:r>
          </w:p>
        </w:tc>
      </w:tr>
      <w:tr>
        <w:trPr>
          <w:cantSplit/>
        </w:trPr>
        <w:tc>
          <w:tcPr>
            <w:tcW w:type="dxa" w:w="3515"/>
            <w:shd w:fill="F5F7F4"/>
            <w:tcMar>
              <w:top w:w="40" w:type="dxa"/>
              <w:bottom w:w="40" w:type="dxa"/>
              <w:left w:w="90" w:type="dxa"/>
              <w:right w:w="90" w:type="dxa"/>
            </w:tcMar>
          </w:tcPr>
          <w:p>
            <w:pPr>
              <w:spacing w:after="60" w:line="271" w:lineRule="auto"/>
            </w:pPr>
            <w:r>
              <w:rPr>
                <w:b w:val="0"/>
                <w:sz w:val="18"/>
              </w:rPr>
              <w:t>过期合同版本</w:t>
            </w:r>
          </w:p>
        </w:tc>
        <w:tc>
          <w:tcPr>
            <w:tcW w:type="dxa" w:w="4082"/>
            <w:shd w:fill="F5F7F4"/>
            <w:tcMar>
              <w:top w:w="40" w:type="dxa"/>
              <w:bottom w:w="40" w:type="dxa"/>
              <w:left w:w="90" w:type="dxa"/>
              <w:right w:w="90" w:type="dxa"/>
            </w:tcMar>
          </w:tcPr>
          <w:p>
            <w:pPr>
              <w:spacing w:after="60" w:line="271" w:lineRule="auto"/>
            </w:pPr>
            <w:r>
              <w:rPr>
                <w:b w:val="0"/>
                <w:sz w:val="18"/>
              </w:rPr>
              <w:t>两者报告 R3</w:t>
            </w:r>
          </w:p>
        </w:tc>
        <w:tc>
          <w:tcPr>
            <w:tcW w:type="dxa" w:w="1928"/>
            <w:shd w:fill="F5F7F4"/>
            <w:tcMar>
              <w:top w:w="40" w:type="dxa"/>
              <w:bottom w:w="40" w:type="dxa"/>
              <w:left w:w="90" w:type="dxa"/>
              <w:right w:w="90" w:type="dxa"/>
            </w:tcMar>
          </w:tcPr>
          <w:p>
            <w:pPr>
              <w:spacing w:after="60" w:line="271" w:lineRule="auto"/>
            </w:pPr>
            <w:r>
              <w:rPr>
                <w:b w:val="0"/>
                <w:sz w:val="18"/>
              </w:rPr>
              <w:t>是</w:t>
            </w:r>
          </w:p>
        </w:tc>
      </w:tr>
      <w:tr>
        <w:trPr>
          <w:cantSplit/>
        </w:trPr>
        <w:tc>
          <w:tcPr>
            <w:tcW w:type="dxa" w:w="3515"/>
            <w:shd w:fill="FFFFFF"/>
            <w:tcMar>
              <w:top w:w="40" w:type="dxa"/>
              <w:bottom w:w="40" w:type="dxa"/>
              <w:left w:w="90" w:type="dxa"/>
              <w:right w:w="90" w:type="dxa"/>
            </w:tcMar>
          </w:tcPr>
          <w:p>
            <w:pPr>
              <w:spacing w:after="60" w:line="271" w:lineRule="auto"/>
            </w:pPr>
            <w:r>
              <w:rPr>
                <w:b w:val="0"/>
                <w:sz w:val="18"/>
              </w:rPr>
              <w:t>缺失来源</w:t>
            </w:r>
          </w:p>
        </w:tc>
        <w:tc>
          <w:tcPr>
            <w:tcW w:type="dxa" w:w="4082"/>
            <w:shd w:fill="FFFFFF"/>
            <w:tcMar>
              <w:top w:w="40" w:type="dxa"/>
              <w:bottom w:w="40" w:type="dxa"/>
              <w:left w:w="90" w:type="dxa"/>
              <w:right w:w="90" w:type="dxa"/>
            </w:tcMar>
          </w:tcPr>
          <w:p>
            <w:pPr>
              <w:spacing w:after="60" w:line="271" w:lineRule="auto"/>
            </w:pPr>
            <w:r>
              <w:rPr>
                <w:b w:val="0"/>
                <w:sz w:val="18"/>
              </w:rPr>
              <w:t>两者报告 R4</w:t>
            </w:r>
          </w:p>
        </w:tc>
        <w:tc>
          <w:tcPr>
            <w:tcW w:type="dxa" w:w="1928"/>
            <w:shd w:fill="FFFFFF"/>
            <w:tcMar>
              <w:top w:w="40" w:type="dxa"/>
              <w:bottom w:w="40" w:type="dxa"/>
              <w:left w:w="90" w:type="dxa"/>
              <w:right w:w="90" w:type="dxa"/>
            </w:tcMar>
          </w:tcPr>
          <w:p>
            <w:pPr>
              <w:spacing w:after="60" w:line="271" w:lineRule="auto"/>
            </w:pPr>
            <w:r>
              <w:rPr>
                <w:b w:val="0"/>
                <w:sz w:val="18"/>
              </w:rPr>
              <w:t>是</w:t>
            </w:r>
          </w:p>
        </w:tc>
      </w:tr>
      <w:tr>
        <w:trPr>
          <w:cantSplit/>
        </w:trPr>
        <w:tc>
          <w:tcPr>
            <w:tcW w:type="dxa" w:w="3515"/>
            <w:shd w:fill="F5F7F4"/>
            <w:tcMar>
              <w:top w:w="40" w:type="dxa"/>
              <w:bottom w:w="40" w:type="dxa"/>
              <w:left w:w="90" w:type="dxa"/>
              <w:right w:w="90" w:type="dxa"/>
            </w:tcMar>
          </w:tcPr>
          <w:p>
            <w:pPr>
              <w:spacing w:after="60" w:line="271" w:lineRule="auto"/>
            </w:pPr>
            <w:r>
              <w:rPr>
                <w:b w:val="0"/>
                <w:sz w:val="18"/>
              </w:rPr>
              <w:t>缺失估计关联</w:t>
            </w:r>
          </w:p>
        </w:tc>
        <w:tc>
          <w:tcPr>
            <w:tcW w:type="dxa" w:w="4082"/>
            <w:shd w:fill="F5F7F4"/>
            <w:tcMar>
              <w:top w:w="40" w:type="dxa"/>
              <w:bottom w:w="40" w:type="dxa"/>
              <w:left w:w="90" w:type="dxa"/>
              <w:right w:w="90" w:type="dxa"/>
            </w:tcMar>
          </w:tcPr>
          <w:p>
            <w:pPr>
              <w:spacing w:after="60" w:line="271" w:lineRule="auto"/>
            </w:pPr>
            <w:r>
              <w:rPr>
                <w:b w:val="0"/>
                <w:sz w:val="18"/>
              </w:rPr>
              <w:t>两者报告 R5</w:t>
            </w:r>
          </w:p>
        </w:tc>
        <w:tc>
          <w:tcPr>
            <w:tcW w:type="dxa" w:w="1928"/>
            <w:shd w:fill="F5F7F4"/>
            <w:tcMar>
              <w:top w:w="40" w:type="dxa"/>
              <w:bottom w:w="40" w:type="dxa"/>
              <w:left w:w="90" w:type="dxa"/>
              <w:right w:w="90" w:type="dxa"/>
            </w:tcMar>
          </w:tcPr>
          <w:p>
            <w:pPr>
              <w:spacing w:after="60" w:line="271" w:lineRule="auto"/>
            </w:pPr>
            <w:r>
              <w:rPr>
                <w:b w:val="0"/>
                <w:sz w:val="18"/>
              </w:rPr>
              <w:t>是</w:t>
            </w:r>
          </w:p>
        </w:tc>
      </w:tr>
    </w:tbl>
    <w:p>
      <w:pPr>
        <w:spacing w:after="0"/>
      </w:pPr>
    </w:p>
    <w:p>
      <w:pPr>
        <w:pStyle w:val="Heading2"/>
      </w:pPr>
      <w:r>
        <w:t>结果支持的结论</w:t>
      </w:r>
    </w:p>
    <w:p>
      <w:r>
        <w:t>两种实现都满足这七个预设样例的要求，并给出等价查询结果。可以主张限定任务上的功能一致性；不能声称 ontology 优越、速度更快或已证明广泛互操作性。测试另覆盖五类缺陷组合及非空错误哈希。</w:t>
      </w:r>
    </w:p>
    <w:p>
      <w:r>
        <w:t>查询与校验相互独立：某些错误记录仍可被查询，不因此成为批准证据。预期合同版本来自情境输入，不是从权威合同系统实时获取。导出包含样例、规则、查询、RDF、实际报告和哈希。</w:t>
      </w:r>
    </w:p>
    <w:p>
      <w:r>
        <w:br w:type="page"/>
      </w:r>
    </w:p>
    <w:p>
      <w:pPr>
        <w:pStyle w:val="Heading1"/>
      </w:pPr>
      <w:r>
        <w:t>10 服务责任链与跨案例综合</w:t>
      </w:r>
    </w:p>
    <w:p>
      <w:pPr>
        <w:pStyle w:val="Heading2"/>
      </w:pPr>
      <w:r>
        <w:t>从服务义务到审查权限</w:t>
      </w:r>
    </w:p>
    <w:tbl>
      <w:tblPr>
        <w:tblW w:type="auto" w:w="0"/>
        <w:tblLayout w:type="fixed"/>
        <w:tblLook w:firstColumn="1" w:firstRow="1" w:lastColumn="0" w:lastRow="0" w:noHBand="0" w:noVBand="1" w:val="04A0"/>
      </w:tblPr>
      <w:tblGrid>
        <w:gridCol w:w="1757"/>
        <w:gridCol w:w="7767"/>
      </w:tblGrid>
      <w:tr>
        <w:trPr>
          <w:tblHeader/>
          <w:cantSplit/>
        </w:trPr>
        <w:tc>
          <w:tcPr>
            <w:tcW w:type="dxa" w:w="1757"/>
            <w:shd w:fill="E4EEE9"/>
            <w:tcMar>
              <w:top w:w="40" w:type="dxa"/>
              <w:bottom w:w="40" w:type="dxa"/>
              <w:left w:w="90" w:type="dxa"/>
              <w:right w:w="90" w:type="dxa"/>
            </w:tcMar>
          </w:tcPr>
          <w:p>
            <w:pPr>
              <w:spacing w:after="60" w:line="271" w:lineRule="auto"/>
            </w:pPr>
            <w:r>
              <w:rPr>
                <w:b/>
                <w:sz w:val="18"/>
              </w:rPr>
              <w:t>环节</w:t>
            </w:r>
          </w:p>
        </w:tc>
        <w:tc>
          <w:tcPr>
            <w:tcW w:type="dxa" w:w="7767"/>
            <w:shd w:fill="E4EEE9"/>
            <w:tcMar>
              <w:top w:w="40" w:type="dxa"/>
              <w:bottom w:w="40" w:type="dxa"/>
              <w:left w:w="90" w:type="dxa"/>
              <w:right w:w="90" w:type="dxa"/>
            </w:tcMar>
          </w:tcPr>
          <w:p>
            <w:pPr>
              <w:spacing w:after="60" w:line="271" w:lineRule="auto"/>
            </w:pPr>
            <w:r>
              <w:rPr>
                <w:b/>
                <w:sz w:val="18"/>
              </w:rPr>
              <w:t>当前解释及实现范围</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运营方要求</w:t>
            </w:r>
          </w:p>
        </w:tc>
        <w:tc>
          <w:tcPr>
            <w:tcW w:type="dxa" w:w="7767"/>
            <w:shd w:fill="F5F7F4"/>
            <w:tcMar>
              <w:top w:w="40" w:type="dxa"/>
              <w:bottom w:w="40" w:type="dxa"/>
              <w:left w:w="90" w:type="dxa"/>
              <w:right w:w="90" w:type="dxa"/>
            </w:tcMar>
          </w:tcPr>
          <w:p>
            <w:pPr>
              <w:spacing w:after="60" w:line="271" w:lineRule="auto"/>
            </w:pPr>
            <w:r>
              <w:rPr>
                <w:b w:val="0"/>
                <w:sz w:val="18"/>
              </w:rPr>
              <w:t>示例为服务连续性；99% 目标及 200 个计划机会是研究假设。</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提供方责任</w:t>
            </w:r>
          </w:p>
        </w:tc>
        <w:tc>
          <w:tcPr>
            <w:tcW w:type="dxa" w:w="7767"/>
            <w:shd w:fill="FFFFFF"/>
            <w:tcMar>
              <w:top w:w="40" w:type="dxa"/>
              <w:bottom w:w="40" w:type="dxa"/>
              <w:left w:w="90" w:type="dxa"/>
              <w:right w:w="90" w:type="dxa"/>
            </w:tcMar>
          </w:tcPr>
          <w:p>
            <w:pPr>
              <w:spacing w:after="60" w:line="271" w:lineRule="auto"/>
            </w:pPr>
            <w:r>
              <w:rPr>
                <w:b w:val="0"/>
                <w:sz w:val="18"/>
              </w:rPr>
              <w:t>以 20× 后果成本与 25 周期门槛表示更大暴露；这些数值不是由 99% 目标推导得出。</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策略应用</w:t>
            </w:r>
          </w:p>
        </w:tc>
        <w:tc>
          <w:tcPr>
            <w:tcW w:type="dxa" w:w="7767"/>
            <w:shd w:fill="F5F7F4"/>
            <w:tcMar>
              <w:top w:w="40" w:type="dxa"/>
              <w:bottom w:w="40" w:type="dxa"/>
              <w:left w:w="90" w:type="dxa"/>
              <w:right w:w="90" w:type="dxa"/>
            </w:tcMar>
          </w:tcPr>
          <w:p>
            <w:pPr>
              <w:spacing w:after="60" w:line="271" w:lineRule="auto"/>
            </w:pPr>
            <w:r>
              <w:rPr>
                <w:b w:val="0"/>
                <w:sz w:val="18"/>
              </w:rPr>
              <w:t>固定估计下执行建议函数；保留合同、策略、估计和建议的来源关系。</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计划人员审查</w:t>
            </w:r>
          </w:p>
        </w:tc>
        <w:tc>
          <w:tcPr>
            <w:tcW w:type="dxa" w:w="7767"/>
            <w:shd w:fill="FFFFFF"/>
            <w:tcMar>
              <w:top w:w="40" w:type="dxa"/>
              <w:bottom w:w="40" w:type="dxa"/>
              <w:left w:w="90" w:type="dxa"/>
              <w:right w:w="90" w:type="dxa"/>
            </w:tcMar>
          </w:tcPr>
          <w:p>
            <w:pPr>
              <w:spacing w:after="60" w:line="271" w:lineRule="auto"/>
            </w:pPr>
            <w:r>
              <w:rPr>
                <w:b w:val="0"/>
                <w:sz w:val="18"/>
              </w:rPr>
              <w:t>应检查证据、校准、候选资格及预算，可接受、拒绝或要求补充；这仍是未来流程，不是已记录批准。</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服务交付</w:t>
            </w:r>
          </w:p>
        </w:tc>
        <w:tc>
          <w:tcPr>
            <w:tcW w:type="dxa" w:w="7767"/>
            <w:shd w:fill="F5F7F4"/>
            <w:tcMar>
              <w:top w:w="40" w:type="dxa"/>
              <w:bottom w:w="40" w:type="dxa"/>
              <w:left w:w="90" w:type="dxa"/>
              <w:right w:w="90" w:type="dxa"/>
            </w:tcMar>
          </w:tcPr>
          <w:p>
            <w:pPr>
              <w:spacing w:after="60" w:line="271" w:lineRule="auto"/>
            </w:pPr>
            <w:r>
              <w:rPr>
                <w:b w:val="0"/>
                <w:sz w:val="18"/>
              </w:rPr>
              <w:t>实际排程、维护执行和结果观察未在 C-MAPSS 中实现；建议状态仍为 proposed。</w:t>
            </w:r>
          </w:p>
        </w:tc>
      </w:tr>
    </w:tbl>
    <w:p>
      <w:pPr>
        <w:spacing w:after="0"/>
      </w:pPr>
    </w:p>
    <w:p>
      <w:pPr>
        <w:pStyle w:val="Heading2"/>
      </w:pPr>
      <w:r>
        <w:t>第二个案例增加了什么认识</w:t>
      </w:r>
    </w:p>
    <w:tbl>
      <w:tblPr>
        <w:tblW w:type="auto" w:w="0"/>
        <w:tblLayout w:type="fixed"/>
        <w:tblLook w:firstColumn="1" w:firstRow="1" w:lastColumn="0" w:lastRow="0" w:noHBand="0" w:noVBand="1" w:val="04A0"/>
      </w:tblPr>
      <w:tblGrid>
        <w:gridCol w:w="1757"/>
        <w:gridCol w:w="7767"/>
      </w:tblGrid>
      <w:tr>
        <w:trPr>
          <w:tblHeader/>
          <w:cantSplit/>
        </w:trPr>
        <w:tc>
          <w:tcPr>
            <w:tcW w:type="dxa" w:w="1757"/>
            <w:shd w:fill="E4EEE9"/>
            <w:tcMar>
              <w:top w:w="40" w:type="dxa"/>
              <w:bottom w:w="40" w:type="dxa"/>
              <w:left w:w="90" w:type="dxa"/>
              <w:right w:w="90" w:type="dxa"/>
            </w:tcMar>
          </w:tcPr>
          <w:p>
            <w:pPr>
              <w:spacing w:after="60" w:line="271" w:lineRule="auto"/>
            </w:pPr>
            <w:r>
              <w:rPr>
                <w:b/>
                <w:sz w:val="18"/>
              </w:rPr>
              <w:t>综合维度</w:t>
            </w:r>
          </w:p>
        </w:tc>
        <w:tc>
          <w:tcPr>
            <w:tcW w:type="dxa" w:w="7767"/>
            <w:shd w:fill="E4EEE9"/>
            <w:tcMar>
              <w:top w:w="40" w:type="dxa"/>
              <w:bottom w:w="40" w:type="dxa"/>
              <w:left w:w="90" w:type="dxa"/>
              <w:right w:w="90" w:type="dxa"/>
            </w:tcMar>
          </w:tcPr>
          <w:p>
            <w:pPr>
              <w:spacing w:after="60" w:line="271" w:lineRule="auto"/>
            </w:pPr>
            <w:r>
              <w:rPr>
                <w:b/>
                <w:sz w:val="18"/>
              </w:rPr>
              <w:t>目前可以支持的解释</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可复用的方法</w:t>
            </w:r>
          </w:p>
        </w:tc>
        <w:tc>
          <w:tcPr>
            <w:tcW w:type="dxa" w:w="7767"/>
            <w:shd w:fill="F5F7F4"/>
            <w:tcMar>
              <w:top w:w="40" w:type="dxa"/>
              <w:bottom w:w="40" w:type="dxa"/>
              <w:left w:w="90" w:type="dxa"/>
              <w:right w:w="90" w:type="dxa"/>
            </w:tcMar>
          </w:tcPr>
          <w:p>
            <w:pPr>
              <w:spacing w:after="60" w:line="271" w:lineRule="auto"/>
            </w:pPr>
            <w:r>
              <w:rPr>
                <w:b w:val="0"/>
                <w:sz w:val="18"/>
              </w:rPr>
              <w:t>框架职责组、拟议建议、模型与来源记录、可执行查询和约束。</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必须适配的对象</w:t>
            </w:r>
          </w:p>
        </w:tc>
        <w:tc>
          <w:tcPr>
            <w:tcW w:type="dxa" w:w="7767"/>
            <w:shd w:fill="FFFFFF"/>
            <w:tcMar>
              <w:top w:w="40" w:type="dxa"/>
              <w:bottom w:w="40" w:type="dxa"/>
              <w:left w:w="90" w:type="dxa"/>
              <w:right w:w="90" w:type="dxa"/>
            </w:tcMar>
          </w:tcPr>
          <w:p>
            <w:pPr>
              <w:spacing w:after="60" w:line="271" w:lineRule="auto"/>
            </w:pPr>
            <w:r>
              <w:rPr>
                <w:b w:val="0"/>
                <w:sz w:val="18"/>
              </w:rPr>
              <w:t>风机 pseudo-h 与模拟修复；C-MAPSS 周期单位、退化回放和缺少维护轨迹。局部估计类型与行动假设必须分开。</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C-MAPSS 的补充</w:t>
            </w:r>
          </w:p>
        </w:tc>
        <w:tc>
          <w:tcPr>
            <w:tcW w:type="dxa" w:w="7767"/>
            <w:shd w:fill="F5F7F4"/>
            <w:tcMar>
              <w:top w:w="40" w:type="dxa"/>
              <w:bottom w:w="40" w:type="dxa"/>
              <w:left w:w="90" w:type="dxa"/>
              <w:right w:w="90" w:type="dxa"/>
            </w:tcMar>
          </w:tcPr>
          <w:p>
            <w:pPr>
              <w:spacing w:after="60" w:line="271" w:lineRule="auto"/>
            </w:pPr>
            <w:r>
              <w:rPr>
                <w:b w:val="0"/>
                <w:sz w:val="18"/>
              </w:rPr>
              <w:t>将技术证据与服务责任假设分开，暴露预测不确定性对建议的影响；不借用风机模拟结果证明运营收益。</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共同未解决部分</w:t>
            </w:r>
          </w:p>
        </w:tc>
        <w:tc>
          <w:tcPr>
            <w:tcW w:type="dxa" w:w="7767"/>
            <w:shd w:fill="FFFFFF"/>
            <w:tcMar>
              <w:top w:w="40" w:type="dxa"/>
              <w:bottom w:w="40" w:type="dxa"/>
              <w:left w:w="90" w:type="dxa"/>
              <w:right w:w="90" w:type="dxa"/>
            </w:tcMar>
          </w:tcPr>
          <w:p>
            <w:pPr>
              <w:spacing w:after="60" w:line="271" w:lineRule="auto"/>
            </w:pPr>
            <w:r>
              <w:rPr>
                <w:b w:val="0"/>
                <w:sz w:val="18"/>
              </w:rPr>
              <w:t>真实合同、异构来源整合、独立现场干预和服务结果，以及与已有研究相比的创新性。</w:t>
            </w:r>
          </w:p>
        </w:tc>
      </w:tr>
    </w:tbl>
    <w:p>
      <w:pPr>
        <w:spacing w:after="0"/>
      </w:pPr>
    </w:p>
    <w:p>
      <w:r>
        <w:t>展示顺序仍建议先风机、后 C-MAPSS。前者帮助理解模拟服务过程如何组织，后者检验建议的依据、假设影响和追溯结构。跨案例实现体现方法的适配过程，不直接证明普遍有效。</w:t>
      </w:r>
    </w:p>
    <w:p>
      <w:r>
        <w:br w:type="page"/>
      </w:r>
    </w:p>
    <w:p>
      <w:pPr>
        <w:pStyle w:val="Heading1"/>
      </w:pPr>
      <w:r>
        <w:t>11 修改后的再次审查</w:t>
      </w:r>
    </w:p>
    <w:p>
      <w:r>
        <w:t>再次审查的结论是：新版已从描述性解释推进到带有可执行对照的研究展示。合同因素能够分离检查，敏感性变化能够定位到发动机与行动，对照实验保留了两种方法表现相同的结果。这些是可防守的实质性进步。</w:t>
      </w:r>
    </w:p>
    <w:tbl>
      <w:tblPr>
        <w:tblW w:type="auto" w:w="0"/>
        <w:tblLayout w:type="fixed"/>
        <w:tblLook w:firstColumn="1" w:firstRow="1" w:lastColumn="0" w:lastRow="0" w:noHBand="0" w:noVBand="1" w:val="04A0"/>
      </w:tblPr>
      <w:tblGrid>
        <w:gridCol w:w="2268"/>
        <w:gridCol w:w="3458"/>
        <w:gridCol w:w="3798"/>
      </w:tblGrid>
      <w:tr>
        <w:trPr>
          <w:tblHeader/>
          <w:cantSplit/>
        </w:trPr>
        <w:tc>
          <w:tcPr>
            <w:tcW w:type="dxa" w:w="2268"/>
            <w:shd w:fill="E4EEE9"/>
            <w:tcMar>
              <w:top w:w="40" w:type="dxa"/>
              <w:bottom w:w="40" w:type="dxa"/>
              <w:left w:w="90" w:type="dxa"/>
              <w:right w:w="90" w:type="dxa"/>
            </w:tcMar>
          </w:tcPr>
          <w:p>
            <w:pPr>
              <w:spacing w:after="60" w:line="271" w:lineRule="auto"/>
            </w:pPr>
            <w:r>
              <w:rPr>
                <w:b/>
                <w:sz w:val="18"/>
              </w:rPr>
              <w:t>仍需改进的问题</w:t>
            </w:r>
          </w:p>
        </w:tc>
        <w:tc>
          <w:tcPr>
            <w:tcW w:type="dxa" w:w="3458"/>
            <w:shd w:fill="E4EEE9"/>
            <w:tcMar>
              <w:top w:w="40" w:type="dxa"/>
              <w:bottom w:w="40" w:type="dxa"/>
              <w:left w:w="90" w:type="dxa"/>
              <w:right w:w="90" w:type="dxa"/>
            </w:tcMar>
          </w:tcPr>
          <w:p>
            <w:pPr>
              <w:spacing w:after="60" w:line="271" w:lineRule="auto"/>
            </w:pPr>
            <w:r>
              <w:rPr>
                <w:b/>
                <w:sz w:val="18"/>
              </w:rPr>
              <w:t>为何重要</w:t>
            </w:r>
          </w:p>
        </w:tc>
        <w:tc>
          <w:tcPr>
            <w:tcW w:type="dxa" w:w="3798"/>
            <w:shd w:fill="E4EEE9"/>
            <w:tcMar>
              <w:top w:w="40" w:type="dxa"/>
              <w:bottom w:w="40" w:type="dxa"/>
              <w:left w:w="90" w:type="dxa"/>
              <w:right w:w="90" w:type="dxa"/>
            </w:tcMar>
          </w:tcPr>
          <w:p>
            <w:pPr>
              <w:spacing w:after="60" w:line="271" w:lineRule="auto"/>
            </w:pPr>
            <w:r>
              <w:rPr>
                <w:b/>
                <w:sz w:val="18"/>
              </w:rPr>
              <w:t>下一步应补什么</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对照样例由本项目设计</w:t>
            </w:r>
          </w:p>
        </w:tc>
        <w:tc>
          <w:tcPr>
            <w:tcW w:type="dxa" w:w="3458"/>
            <w:shd w:fill="F5F7F4"/>
            <w:tcMar>
              <w:top w:w="40" w:type="dxa"/>
              <w:bottom w:w="40" w:type="dxa"/>
              <w:left w:w="90" w:type="dxa"/>
              <w:right w:w="90" w:type="dxa"/>
            </w:tcMar>
          </w:tcPr>
          <w:p>
            <w:pPr>
              <w:spacing w:after="60" w:line="271" w:lineRule="auto"/>
            </w:pPr>
            <w:r>
              <w:rPr>
                <w:b w:val="0"/>
                <w:sz w:val="18"/>
              </w:rPr>
              <w:t>七个样例不能视为通用准确率或完整本体评价。</w:t>
            </w:r>
          </w:p>
        </w:tc>
        <w:tc>
          <w:tcPr>
            <w:tcW w:type="dxa" w:w="3798"/>
            <w:shd w:fill="F5F7F4"/>
            <w:tcMar>
              <w:top w:w="40" w:type="dxa"/>
              <w:bottom w:w="40" w:type="dxa"/>
              <w:left w:w="90" w:type="dxa"/>
              <w:right w:w="90" w:type="dxa"/>
            </w:tcMar>
          </w:tcPr>
          <w:p>
            <w:pPr>
              <w:spacing w:after="60" w:line="271" w:lineRule="auto"/>
            </w:pPr>
            <w:r>
              <w:rPr>
                <w:b w:val="0"/>
                <w:sz w:val="18"/>
              </w:rPr>
              <w:t>独立定义的业务问题、未见缺陷和等要求变更任务。</w:t>
            </w:r>
          </w:p>
        </w:tc>
      </w:tr>
      <w:tr>
        <w:trPr>
          <w:cantSplit/>
        </w:trPr>
        <w:tc>
          <w:tcPr>
            <w:tcW w:type="dxa" w:w="2268"/>
            <w:shd w:fill="FFFFFF"/>
            <w:tcMar>
              <w:top w:w="40" w:type="dxa"/>
              <w:bottom w:w="40" w:type="dxa"/>
              <w:left w:w="90" w:type="dxa"/>
              <w:right w:w="90" w:type="dxa"/>
            </w:tcMar>
          </w:tcPr>
          <w:p>
            <w:pPr>
              <w:spacing w:after="60" w:line="271" w:lineRule="auto"/>
            </w:pPr>
            <w:r>
              <w:rPr>
                <w:b w:val="0"/>
                <w:sz w:val="18"/>
              </w:rPr>
              <w:t>样本与观测范围不均衡</w:t>
            </w:r>
          </w:p>
        </w:tc>
        <w:tc>
          <w:tcPr>
            <w:tcW w:type="dxa" w:w="3458"/>
            <w:shd w:fill="FFFFFF"/>
            <w:tcMar>
              <w:top w:w="40" w:type="dxa"/>
              <w:bottom w:w="40" w:type="dxa"/>
              <w:left w:w="90" w:type="dxa"/>
              <w:right w:w="90" w:type="dxa"/>
            </w:tcMar>
          </w:tcPr>
          <w:p>
            <w:pPr>
              <w:spacing w:after="60" w:line="271" w:lineRule="auto"/>
            </w:pPr>
            <w:r>
              <w:rPr>
                <w:b w:val="0"/>
                <w:sz w:val="18"/>
              </w:rPr>
              <w:t>001 号只有两个快照；两种加权都不能证明代表性。</w:t>
            </w:r>
          </w:p>
        </w:tc>
        <w:tc>
          <w:tcPr>
            <w:tcW w:type="dxa" w:w="3798"/>
            <w:shd w:fill="FFFFFF"/>
            <w:tcMar>
              <w:top w:w="40" w:type="dxa"/>
              <w:bottom w:w="40" w:type="dxa"/>
              <w:left w:w="90" w:type="dxa"/>
              <w:right w:w="90" w:type="dxa"/>
            </w:tcMar>
          </w:tcPr>
          <w:p>
            <w:pPr>
              <w:spacing w:after="60" w:line="271" w:lineRule="auto"/>
            </w:pPr>
            <w:r>
              <w:rPr>
                <w:b w:val="0"/>
                <w:sz w:val="18"/>
              </w:rPr>
              <w:t>预先规定发动机样本与可比较的观测范围，并解释截断。</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区间扰动作用不单一</w:t>
            </w:r>
          </w:p>
        </w:tc>
        <w:tc>
          <w:tcPr>
            <w:tcW w:type="dxa" w:w="3458"/>
            <w:shd w:fill="F5F7F4"/>
            <w:tcMar>
              <w:top w:w="40" w:type="dxa"/>
              <w:bottom w:w="40" w:type="dxa"/>
              <w:left w:w="90" w:type="dxa"/>
              <w:right w:w="90" w:type="dxa"/>
            </w:tcMar>
          </w:tcPr>
          <w:p>
            <w:pPr>
              <w:spacing w:after="60" w:line="271" w:lineRule="auto"/>
            </w:pPr>
            <w:r>
              <w:rPr>
                <w:b w:val="0"/>
                <w:sz w:val="18"/>
              </w:rPr>
              <w:t>改变区间会同时影响风险评分与门槛资格。</w:t>
            </w:r>
          </w:p>
        </w:tc>
        <w:tc>
          <w:tcPr>
            <w:tcW w:type="dxa" w:w="3798"/>
            <w:shd w:fill="F5F7F4"/>
            <w:tcMar>
              <w:top w:w="40" w:type="dxa"/>
              <w:bottom w:w="40" w:type="dxa"/>
              <w:left w:w="90" w:type="dxa"/>
              <w:right w:w="90" w:type="dxa"/>
            </w:tcMar>
          </w:tcPr>
          <w:p>
            <w:pPr>
              <w:spacing w:after="60" w:line="271" w:lineRule="auto"/>
            </w:pPr>
            <w:r>
              <w:rPr>
                <w:b w:val="0"/>
                <w:sz w:val="18"/>
              </w:rPr>
              <w:t>校准评估、因素交互及分机制分析；避免因果归因。</w:t>
            </w:r>
          </w:p>
        </w:tc>
      </w:tr>
      <w:tr>
        <w:trPr>
          <w:cantSplit/>
        </w:trPr>
        <w:tc>
          <w:tcPr>
            <w:tcW w:type="dxa" w:w="2268"/>
            <w:shd w:fill="FFFFFF"/>
            <w:tcMar>
              <w:top w:w="40" w:type="dxa"/>
              <w:bottom w:w="40" w:type="dxa"/>
              <w:left w:w="90" w:type="dxa"/>
              <w:right w:w="90" w:type="dxa"/>
            </w:tcMar>
          </w:tcPr>
          <w:p>
            <w:pPr>
              <w:spacing w:after="60" w:line="271" w:lineRule="auto"/>
            </w:pPr>
            <w:r>
              <w:rPr>
                <w:b w:val="0"/>
                <w:sz w:val="18"/>
              </w:rPr>
              <w:t>服务结果仍缺失</w:t>
            </w:r>
          </w:p>
        </w:tc>
        <w:tc>
          <w:tcPr>
            <w:tcW w:type="dxa" w:w="3458"/>
            <w:shd w:fill="FFFFFF"/>
            <w:tcMar>
              <w:top w:w="40" w:type="dxa"/>
              <w:bottom w:w="40" w:type="dxa"/>
              <w:left w:w="90" w:type="dxa"/>
              <w:right w:w="90" w:type="dxa"/>
            </w:tcMar>
          </w:tcPr>
          <w:p>
            <w:pPr>
              <w:spacing w:after="60" w:line="271" w:lineRule="auto"/>
            </w:pPr>
            <w:r>
              <w:rPr>
                <w:b w:val="0"/>
                <w:sz w:val="18"/>
              </w:rPr>
              <w:t>拟议建议、模拟过程和现场收益不是同一种证据。</w:t>
            </w:r>
          </w:p>
        </w:tc>
        <w:tc>
          <w:tcPr>
            <w:tcW w:type="dxa" w:w="3798"/>
            <w:shd w:fill="FFFFFF"/>
            <w:tcMar>
              <w:top w:w="40" w:type="dxa"/>
              <w:bottom w:w="40" w:type="dxa"/>
              <w:left w:w="90" w:type="dxa"/>
              <w:right w:w="90" w:type="dxa"/>
            </w:tcMar>
          </w:tcPr>
          <w:p>
            <w:pPr>
              <w:spacing w:after="60" w:line="271" w:lineRule="auto"/>
            </w:pPr>
            <w:r>
              <w:rPr>
                <w:b w:val="0"/>
                <w:sz w:val="18"/>
              </w:rPr>
              <w:t>真实责任依据、审批治理及前瞻性干预结果。</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原创性仍需文献比较</w:t>
            </w:r>
          </w:p>
        </w:tc>
        <w:tc>
          <w:tcPr>
            <w:tcW w:type="dxa" w:w="3458"/>
            <w:shd w:fill="F5F7F4"/>
            <w:tcMar>
              <w:top w:w="40" w:type="dxa"/>
              <w:bottom w:w="40" w:type="dxa"/>
              <w:left w:w="90" w:type="dxa"/>
              <w:right w:w="90" w:type="dxa"/>
            </w:tcMar>
          </w:tcPr>
          <w:p>
            <w:pPr>
              <w:spacing w:after="60" w:line="271" w:lineRule="auto"/>
            </w:pPr>
            <w:r>
              <w:rPr>
                <w:b w:val="0"/>
                <w:sz w:val="18"/>
              </w:rPr>
              <w:t>实现可运行和两个案例并不能自动构成新理论。</w:t>
            </w:r>
          </w:p>
        </w:tc>
        <w:tc>
          <w:tcPr>
            <w:tcW w:type="dxa" w:w="3798"/>
            <w:shd w:fill="F5F7F4"/>
            <w:tcMar>
              <w:top w:w="40" w:type="dxa"/>
              <w:bottom w:w="40" w:type="dxa"/>
              <w:left w:w="90" w:type="dxa"/>
              <w:right w:w="90" w:type="dxa"/>
            </w:tcMar>
          </w:tcPr>
          <w:p>
            <w:pPr>
              <w:spacing w:after="60" w:line="271" w:lineRule="auto"/>
            </w:pPr>
            <w:r>
              <w:rPr>
                <w:b w:val="0"/>
                <w:sz w:val="18"/>
              </w:rPr>
              <w:t>将研究问题、设计选择、证据与已有方法逐项对照。</w:t>
            </w:r>
          </w:p>
        </w:tc>
      </w:tr>
    </w:tbl>
    <w:p>
      <w:pPr>
        <w:spacing w:after="0"/>
      </w:pPr>
    </w:p>
    <w:p>
      <w:pPr>
        <w:pStyle w:val="Heading2"/>
      </w:pPr>
      <w:r>
        <w:t>推荐的正面贡献表述</w:t>
      </w:r>
    </w:p>
    <w:p>
      <w:r>
        <w:t>本研究实现了将服务责任映射到数字孪生功能，并以明确单位、身份和来源关系组织建议证据的方法。两个案例呈现不同的过程与证据需求；固定证据实验和限定范围的结构对照使关键假设及能力能够被复核。当前结果支持实现可行性与可检查性，更广泛的优越性与运营效果仍需独立验证。</w:t>
      </w:r>
    </w:p>
    <w:p>
      <w:pPr>
        <w:pStyle w:val="Heading2"/>
      </w:pPr>
      <w:r>
        <w:t>复核材料</w:t>
      </w:r>
    </w:p>
    <w:p>
      <w:hyperlink r:id="rId18">
        <w:r>
          <w:rPr>
            <w:color w:val="17665E"/>
          </w:rPr>
          <w:t>第二轮方法与自审记录</w:t>
        </w:r>
      </w:hyperlink>
    </w:p>
    <w:p>
      <w:hyperlink r:id="rId19">
        <w:r>
          <w:rPr>
            <w:color w:val="17665E"/>
          </w:rPr>
          <w:t>实际 JSON 与 RDF 对照记录</w:t>
        </w:r>
      </w:hyperlink>
    </w:p>
    <w:p>
      <w:hyperlink r:id="rId20">
        <w:r>
          <w:rPr>
            <w:color w:val="17665E"/>
          </w:rPr>
          <w:t>2×2 与逐发动机计算记录</w:t>
        </w:r>
      </w:hyperlink>
    </w:p>
    <w:p>
      <w:r>
        <w:t>网页自动概览保留九幕；新增实验作为手动模式中的展开面板。答辩中应按追问选择证据，不必在三分钟内逐行解释全部表格。</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C-MAPSS 展示说明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rial" w:hAnsi="Arial" w:eastAsia="Arial Unicode MS"/>
      <w:color w:val="202B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cstheme="majorBidi" w:ascii="Arial" w:hAnsi="Arial" w:eastAsia="Arial Unicode MS"/>
      <w:b/>
      <w:bCs/>
      <w:color w:val="202B32"/>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ascii="Arial" w:hAnsi="Arial" w:eastAsia="Arial Unicode MS"/>
      <w:b/>
      <w:bCs/>
      <w:color w:val="20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40"/>
      <w:contextualSpacing/>
    </w:pPr>
    <w:rPr>
      <w:rFonts w:cstheme="majorBidi" w:ascii="Arial" w:hAnsi="Arial" w:eastAsia="Arial Unicode MS"/>
      <w:b/>
      <w:color w:val="202B32"/>
      <w:spacing w:val="5"/>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Arial Unicode MS"/>
      <w:i/>
      <w:iCs/>
      <w:color w:val="202B32"/>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Unicode MS"/>
      <w:b/>
      <w:bCs/>
      <w:color w:val="202B3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erryma619.github.io/wt-servitization-dashboard/cmapss/?story=1" TargetMode="External"/><Relationship Id="rId11" Type="http://schemas.openxmlformats.org/officeDocument/2006/relationships/hyperlink" Target="https://github.com/JerryMa619/wt-servitization-dashboard/blob/5c8ce59698ce63efa27880936b38612eeb3bd4c3/docs/cmapss/VIVA_REVISION.md" TargetMode="External"/><Relationship Id="rId12" Type="http://schemas.openxmlformats.org/officeDocument/2006/relationships/hyperlink" Target="https://github.com/JerryMa619/wt-servitization-dashboard/blob/5c8ce59698ce63efa27880936b38612eeb3bd4c3/docs/cmapss/MULTI_DATASET.md" TargetMode="External"/><Relationship Id="rId13" Type="http://schemas.openxmlformats.org/officeDocument/2006/relationships/hyperlink" Target="https://github.com/JerryMa619/wt-servitization-dashboard/blob/5c8ce59698ce63efa27880936b38612eeb3bd4c3/docs/cmapss/ANIMATED_STORY.md" TargetMode="External"/><Relationship Id="rId14" Type="http://schemas.openxmlformats.org/officeDocument/2006/relationships/hyperlink" Target="https://github.com/JerryMa619/wt-servitization-dashboard/blob/5c8ce59698ce63efa27880936b38612eeb3bd4c3/src/cmapss/viva.ts" TargetMode="External"/><Relationship Id="rId15" Type="http://schemas.openxmlformats.org/officeDocument/2006/relationships/hyperlink" Target="https://github.com/JerryMa619/wt-servitization-dashboard/blob/5c8ce59698ce63efa27880936b38612eeb3bd4c3/src/cmapss/model.ts" TargetMode="External"/><Relationship Id="rId16" Type="http://schemas.openxmlformats.org/officeDocument/2006/relationships/hyperlink" Target="https://github.com/JerryMa619/wt-servitization-dashboard/blob/5c8ce59698ce63efa27880936b38612eeb3bd4c3/docs/research/WT_VIVA_IMPLEMENTATION.md" TargetMode="External"/><Relationship Id="rId17" Type="http://schemas.openxmlformats.org/officeDocument/2006/relationships/hyperlink" Target="https://github.com/JerryMa619/wt-servitization-dashboard/pull/4" TargetMode="External"/><Relationship Id="rId18" Type="http://schemas.openxmlformats.org/officeDocument/2006/relationships/hyperlink" Target="https://github.com/JerryMa619/wt-servitization-dashboard/blob/main/docs/cmapss/VIVA_COMPARISON_REVIEW.md" TargetMode="External"/><Relationship Id="rId19" Type="http://schemas.openxmlformats.org/officeDocument/2006/relationships/hyperlink" Target="https://github.com/JerryMa619/wt-servitization-dashboard/blob/main/docs/cmapss/comparison-evidence/bounded-comparison.json" TargetMode="External"/><Relationship Id="rId20" Type="http://schemas.openxmlformats.org/officeDocument/2006/relationships/hyperlink" Target="https://github.com/JerryMa619/wt-servitization-dashboard/blob/main/docs/cmapss/comparison-evidence/decision-analysi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C-MAPSS 数字孪生服务化展示阐述</dc:title>
  <dc:subject>研究逻辑与VIVA讲解</dc:subject>
  <dc:creator>Digital Twinning Servitization Research</dc:creator>
  <cp:keywords>C-MAPSS, digital twin, servitization, ontology, VIVA</cp:keywords>
  <dc:description>generated by python-docx</dc:description>
  <cp:lastModifiedBy/>
  <cp:revision>1</cp:revision>
  <dcterms:created xsi:type="dcterms:W3CDTF">2013-12-23T23:15:00Z</dcterms:created>
  <dcterms:modified xsi:type="dcterms:W3CDTF">2013-12-23T23:15:00Z</dcterms:modified>
  <cp:category/>
</cp:coreProperties>
</file>