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7.原理图</w:t>
      </w:r>
      <w:bookmarkEnd w:id="20"/>
    </w:p>
    <w:p>
      <w:pPr>
        <w:pStyle w:val="FirstParagraph"/>
      </w:pPr>
      <w:r>
        <w:t xml:space="preserve">这里写下一些pcb的注意事项。</w:t>
      </w:r>
    </w:p>
    <w:p>
      <w:pPr>
        <w:pStyle w:val="BodyText"/>
      </w:pPr>
      <w:r>
        <w:t xml:space="preserve">贴一张单片机框图</w:t>
      </w:r>
      <w:r>
        <w:drawing>
          <wp:inline>
            <wp:extent cx="5334000" cy="519161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www.nxp.com/assets/images/en/block-diagrams/iMX-RT1050-B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注意到内部只有512kb内存和96kbrom，而且这96kbrom保存的是内置的Bootloader。1052支持很多种外置存储器，所以在启动的时候会有相关引脚的电平来觉得从什么存储器启动。在飞凌的核心板上如果什么都不做的话是默认从外接的qspi flash启动，</w:t>
      </w:r>
      <w:r>
        <w:drawing>
          <wp:inline>
            <wp:extent cx="5334000" cy="306095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7616\AppData\Roaming\Typora\typora-user-images\image-202003292220482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如果当前flash中保存的代码会让单片机死机（卡死并且下载不了程序）可以改变以上引脚的电平从启动设备启动，然后再下载程序。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原理图上有很多mos管是因为要控制上电顺序以免</w:t>
      </w:r>
      <w:r>
        <w:rPr>
          <w:b/>
        </w:rPr>
        <w:t xml:space="preserve">闩锁效应</w:t>
      </w:r>
      <w:r>
        <w:t xml:space="preserve">烧毁核心板。同时sd卡也要进行电源切换。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1052引脚不够（lcd已经和矩阵键盘复用同一片引脚了）的话，或者外设不够的话可以通过uart外挂一片stc单片机解决。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2020-03-30T06:28:04Z</dcterms:created>
  <dcterms:modified xsi:type="dcterms:W3CDTF">2020-03-30T06:28:04Z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