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TABUĽKA ZHODY (excerpt for tests)</w:t>
      </w:r>
    </w:p>
    <w:tbl>
      <w:tr>
        <w:tc>
          <w:p>
            <w:r>
              <w:t xml:space="preserve">Právny akt EÚ</w:t>
            </w:r>
          </w:p>
          <w:p>
            <w:r>
              <w:t xml:space="preserve"/>
            </w:r>
          </w:p>
          <w:p>
            <w:r>
              <w:t xml:space="preserve">Smernica Európskeho parlamentu a Rady (EÚ) 2022/2555 zo 14. decembra 2022 o opatreniach na zabezpečenie vysokej spoločnej úrovne kybernetickej bezpečnosti v Únii, ktorou sa mení nariadenie (EÚ) č. 910/2014 a smernica (EÚ) 2018/1972 a zrušuje smernica (EÚ) 2016/1148 (smernica NIS 2) (Ú. v. EÚ L 333, 27.12.2022) v platnom znení</w:t>
            </w:r>
          </w:p>
          <w:p>
            <w:r>
              <w:t xml:space="preserve"/>
            </w:r>
          </w:p>
        </w:tc>
        <w:tc>
          <w:p>
            <w:r>
              <w:t xml:space="preserve">Právne predpisy Slovenskej republiky</w:t>
            </w:r>
          </w:p>
          <w:p>
            <w:r>
              <w:t xml:space="preserve"/>
            </w:r>
          </w:p>
          <w:p>
            <w:r>
              <w:t xml:space="preserve">Návrh zákona, ktorým sa mení a dopĺňa zákon č. 69/2018 Z. z. o kybernetickej bezpečnosti a o zmene a doplnení niektorých zákonov v znení neskorších predpisov a kt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10</w:t>
            </w:r>
          </w:p>
        </w:tc>
      </w:tr>
      <w:tr>
        <w:tc>
          <w:p>
            <w:r>
              <w:t xml:space="preserve">Článok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Spôsob</w:t>
            </w:r>
          </w:p>
        </w:tc>
        <w:tc>
          <w:p>
            <w:r>
              <w:t xml:space="preserve">Číslo</w:t>
            </w:r>
          </w:p>
        </w:tc>
        <w:tc>
          <w:p>
            <w:r>
              <w:t xml:space="preserve">Článok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Zhoda</w:t>
            </w:r>
          </w:p>
        </w:tc>
        <w:tc>
          <w:p>
            <w:r>
              <w:t xml:space="preserve">Poznámky</w:t>
            </w:r>
          </w:p>
        </w:tc>
        <w:tc>
          <w:p>
            <w:r>
              <w:t xml:space="preserve">Identifikácia</w:t>
            </w:r>
          </w:p>
        </w:tc>
        <w:tc>
          <w:p>
            <w:r>
              <w:t xml:space="preserve">Identifikácia</w:t>
            </w:r>
          </w:p>
        </w:tc>
      </w:tr>
      <w:tr>
        <w:tc>
          <w:p>
            <w:r>
              <w:t xml:space="preserve">(Č, O,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transpozície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(Č, §,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goldplatingu</w:t>
            </w:r>
          </w:p>
        </w:tc>
        <w:tc>
          <w:p>
            <w:r>
              <w:t xml:space="preserve">oblasti gold-</w:t>
            </w:r>
          </w:p>
        </w:tc>
      </w:tr>
      <w:tr>
        <w:tc>
          <w:p>
            <w:r>
              <w:t xml:space="preserve">V, P)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O, V,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platingu 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vyjadrenie k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opodstatnenosti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goldplatingu*</w:t>
            </w:r>
          </w:p>
        </w:tc>
      </w:tr>
      <w:tr>
        <w:tc>
          <w:p>
            <w:r>
              <w:t xml:space="preserve">Č:1, O:1</w:t>
            </w:r>
          </w:p>
        </w:tc>
        <w:tc>
          <w:p>
            <w:r>
              <w:t xml:space="preserve">Touto smernicou sa stanovujú opatrenia, ktorých zámerom je dosiahnuť vysokú spoločnú úroveň kybernetickej bezpečnosti v celej Únii na účely lepšieho fungovania vnútorného trhu.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Návrh zákona</w:t>
            </w:r>
          </w:p>
        </w:tc>
        <w:tc>
          <w:p>
            <w:r>
              <w:t xml:space="preserve">Č:I,</w:t>
            </w:r>
          </w:p>
          <w:p>
            <w:r>
              <w:t xml:space="preserve">§:1</w:t>
            </w:r>
          </w:p>
        </w:tc>
        <w:tc>
          <w:p>
            <w:r>
              <w:t xml:space="preserve">Tento zákon upravuje </w:t>
            </w:r>
          </w:p>
          <w:p>
            <w:r>
              <w:t xml:space="preserve">podmienky pre riadenie a zabezpečenie kybernetickej bezpečnosti, najmä </w:t>
            </w:r>
          </w:p>
          <w:p>
            <w:r>
              <w:t xml:space="preserve">postavenie a povinnosti prevádzkovateľa základnej služby,</w:t>
            </w:r>
          </w:p>
          <w:p>
            <w:r>
              <w:t xml:space="preserve">bezpečnostné opatrenia,</w:t>
            </w:r>
          </w:p>
          <w:p>
            <w:r>
              <w:t xml:space="preserve">hlásenie kybernetického </w:t>
            </w:r>
          </w:p>
        </w:tc>
        <w:tc>
          <w:p>
            <w:r>
              <w:t xml:space="preserve">Ú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GP - 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Č:1, O:2</w:t>
            </w:r>
          </w:p>
        </w:tc>
        <w:tc>
          <w:p>
            <w:r>
              <w:t xml:space="preserve">Na uvedený účel sa v tejto smernici stanovujú:</w:t>
            </w:r>
          </w:p>
          <w:p>
            <w:r>
              <w:t xml:space="preserve">a)</w:t>
            </w:r>
          </w:p>
          <w:p>
            <w:r>
              <w:t xml:space="preserve">a) povinnosti, ktorými sa od členských štátov vyžaduje, aby prijali národné stratégie kybernetickej bezpečnosti a určili alebo zriadili príslušné orgá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Návrh zákona</w:t>
            </w:r>
          </w:p>
        </w:tc>
        <w:tc>
          <w:p>
            <w:r>
              <w:t xml:space="preserve">Č:I,</w:t>
            </w:r>
          </w:p>
          <w:p>
            <w:r>
              <w:t xml:space="preserve">§:1</w:t>
            </w:r>
          </w:p>
          <w:p>
            <w:r>
              <w:t xml:space="preserve"/>
            </w:r>
          </w:p>
        </w:tc>
        <w:tc>
          <w:p>
            <w:r>
              <w:t xml:space="preserve">Tento zákon upravuje </w:t>
            </w:r>
          </w:p>
          <w:p>
            <w:r>
              <w:t xml:space="preserve">podmienky pre riadenie a zabezpečenie kybernetickej bezpečnosti, najmä </w:t>
            </w:r>
          </w:p>
          <w:p>
            <w:r>
              <w:t xml:space="preserve">postavenie a povinnosti prevádzkovateľa základnej služby,</w:t>
            </w:r>
          </w:p>
          <w:p>
            <w:r>
              <w:t xml:space="preserve">bezpečnostné opatrenia,</w:t>
            </w:r>
          </w:p>
          <w:p>
            <w:r>
              <w:t xml:space="preserve">hlásenie kybernetického </w:t>
            </w:r>
          </w:p>
        </w:tc>
        <w:tc>
          <w:p>
            <w:r>
              <w:t xml:space="preserve">Ú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GP - 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a)</w:t>
            </w:r>
          </w:p>
        </w:tc>
        <w:tc>
          <w:p>
            <w:r>
              <w:t xml:space="preserve">a) povinnosti, ktorými sa od členských štátov vyžaduje, aby prijali národné stratégie kybernetickej bezpečnosti a určili alebo zriadili príslušné orgány, orgány pre riadenie kybernetických kríz, jedno</w:t>
            </w:r>
          </w:p>
        </w:tc>
      </w:tr>
      <w:tr>
        <w:tc>
          <w:p>
            <w:r>
              <w:t xml:space="preserve">Č:2, O:2, P:a),</w:t>
            </w:r>
          </w:p>
          <w:p>
            <w:r>
              <w:t xml:space="preserve">P:i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p>
            <w:r>
              <w:t xml:space="preserve">Táto smernica sa vzťahuje aj na subjekty typu uvedeného v prílohe I alebo II bez ohľadu na ich veľkosť, ak:</w:t>
            </w:r>
          </w:p>
          <w:p>
            <w:r>
              <w:t xml:space="preserve">a) služby poskytujú:</w:t>
            </w:r>
          </w:p>
          <w:p>
            <w:r>
              <w:t xml:space="preserve">i. poskytovatelia verejných elektronických komunikačných sietí alebo ve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Návrh zákona</w:t>
            </w:r>
          </w:p>
        </w:tc>
        <w:tc>
          <w:p>
            <w:r>
              <w:t xml:space="preserve">Č:I, §:17, O:1, P:c), P:1</w:t>
            </w:r>
          </w:p>
        </w:tc>
        <w:tc>
          <w:p>
            <w:r>
              <w:t xml:space="preserve">Do registra prevádzkovateľov základnej služby sa zapisuje</w:t>
            </w:r>
          </w:p>
          <w:p>
            <w:r>
              <w:t xml:space="preserve">c) osoba bez ohľadu na splnenie podmienok veľkosti pre stredný podnik, ktorá vykonáva činnosť v niektorom zo sektorov podľa prílohy č. 1 alebo</w:t>
            </w:r>
          </w:p>
        </w:tc>
        <w:tc>
          <w:p>
            <w:r>
              <w:t xml:space="preserve">Ú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GP - 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Č:2, O:2, P:b)</w:t>
            </w:r>
          </w:p>
        </w:tc>
        <w:tc>
          <w:p>
            <w:r>
              <w:t xml:space="preserve">Táto smernica sa vzťahuje aj na subjekty typu uvedeného v prílohe I alebo II bez ohľadu na ich veľkosť, ak:</w:t>
            </w:r>
          </w:p>
          <w:p>
            <w:r>
              <w:t xml:space="preserve">b) subjekt je v členskom štáte jediným poskytovateľom služby, ktorá je kľúčovou pre zachovan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Návrh zákona 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Návrh zákona</w:t>
            </w:r>
          </w:p>
        </w:tc>
        <w:tc>
          <w:p>
            <w:r>
              <w:t xml:space="preserve">Č:I, §:17, O:1, P:c), P:5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Č:I, §:3, O:1, P:y)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p>
            <w:r>
              <w:t xml:space="preserve">Do registra prevádzkovateľov základnej služby sa zapisuje</w:t>
            </w:r>
          </w:p>
          <w:p>
            <w:r>
              <w:t xml:space="preserve">c) osoba bez ohľadu na splnenie podmienok veľkosti pre stredný podnik, ktorá vykonáva činnosť v niektorom zo sektorov podľa prílohy č. 1 alebo</w:t>
            </w:r>
          </w:p>
        </w:tc>
        <w:tc>
          <w:p>
            <w:r>
              <w:t xml:space="preserve">Ú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GP - 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Č:2, O:5, P:b)</w:t>
            </w:r>
          </w:p>
        </w:tc>
        <w:tc>
          <w:p>
            <w:r>
              <w:t xml:space="preserve">Členské štáty môžu ustanoviť, že sa táto smernica vzťahuje na:</w:t>
            </w:r>
          </w:p>
          <w:p>
            <w:r>
              <w:t xml:space="preserve">b) vzdelávacie inštitúcie, najmä tie, v ktorých sa vykonávajú kritické výskumné činnosti.</w:t>
            </w:r>
          </w:p>
        </w:tc>
        <w:tc>
          <w:p>
            <w:r>
              <w:t xml:space="preserve">D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Č:2, O:6</w:t>
            </w:r>
          </w:p>
        </w:tc>
        <w:tc>
          <w:p>
            <w:r>
              <w:t xml:space="preserve">Touto smernicou nie je dotknutá zodpovednosť členských štátov za ochranu národnej bezpečnosti ani ich právomoc chrániť iné základné funkcie štátu vrátane zabezpečenia územnej celistvosti štátu a udrži</w:t>
            </w:r>
          </w:p>
        </w:tc>
        <w:tc>
          <w:p>
            <w:r>
              <w:t xml:space="preserve">n.a.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Č:2, O:7</w:t>
            </w:r>
          </w:p>
        </w:tc>
        <w:tc>
          <w:p>
            <w:r>
              <w:t xml:space="preserve">Táto smernica sa nevzťahuje na subjekty verejnej správy, ktoré vykonávajú činnosť v oblasti národnej bezpečnosti, verejnej bezpečnosti, obrany alebo presadzovania práva vrátane prevencie, vyšetrovania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Zákon č. 69/2018 Z. z. v znení návrhu zákona</w:t>
            </w:r>
          </w:p>
        </w:tc>
        <w:tc>
          <w:p>
            <w:r>
              <w:t xml:space="preserve">Č:I, §:2, O:3, P:a)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P:b)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P:c)</w:t>
            </w:r>
          </w:p>
          <w:p>
            <w:r>
              <w:t xml:space="preserve"/>
            </w:r>
          </w:p>
        </w:tc>
        <w:tc>
          <w:p>
            <w:r>
              <w:t xml:space="preserve">Tento zákon sa nevzťahuje na</w:t>
            </w:r>
          </w:p>
          <w:p>
            <w:r>
              <w:t xml:space="preserve"/>
            </w:r>
          </w:p>
          <w:p>
            <w:r>
              <w:t xml:space="preserve">a) požiadavky na zabezpečenie sietí a informačných systémov podľa všeobecného predpisu o ochrane utajovaných skutočností,</w:t>
            </w:r>
          </w:p>
          <w:p>
            <w:r>
              <w:t xml:space="preserve"/>
            </w:r>
          </w:p>
          <w:p>
            <w:r>
              <w:t xml:space="preserve">b) osobitné ustanovenia o úlohách a oprávneniac</w:t>
            </w:r>
          </w:p>
        </w:tc>
        <w:tc>
          <w:p>
            <w:r>
              <w:t xml:space="preserve">Ú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GP - 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Č:6, O:18</w:t>
            </w:r>
          </w:p>
        </w:tc>
        <w:tc>
          <w:p>
            <w:r>
              <w:t xml:space="preserve">„internetový prepojovací uzol“ je sieťové zariadenie, ktoré umožňuje prepojenie viac než dvoch nezávislých autonómnych sietí (autonómnych systémov) najmä na účely sprostredkovania internetového dátové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Návrh zákona</w:t>
            </w:r>
          </w:p>
        </w:tc>
        <w:tc>
          <w:p>
            <w:r>
              <w:t xml:space="preserve">Príloha č. 1</w:t>
            </w:r>
          </w:p>
        </w:tc>
        <w:tc>
          <w:p>
            <w:r>
              <w:t xml:space="preserve">Internetový prepojovací uzol je sieťové zariadenie, ktoré umožňuje prepojenie viac než dvoch nezávislých autonómnych sietí (autonómnych systémov) najmä na účely sprostredkovania internetového dátového</w:t>
            </w:r>
          </w:p>
        </w:tc>
        <w:tc>
          <w:p>
            <w:r>
              <w:t xml:space="preserve">Ú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GP - 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Č:6, O:35</w:t>
            </w:r>
          </w:p>
        </w:tc>
        <w:tc>
          <w:p>
            <w:r>
              <w:t xml:space="preserve">„subjekt verejnej správy“ je subjekt, ktorý je ako taký uznaný v členskom štáte v súlade s vnútroštátnym právom, okrem súdnictva, parlamentov a centrálnych bánk, a ktorý spĺňa tieto kritériá:</w:t>
            </w:r>
          </w:p>
          <w:p>
            <w:r>
              <w:t xml:space="preserve">a) je zr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Zákon č. 523/2004 Z. z.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Návrh zákona</w:t>
            </w:r>
          </w:p>
        </w:tc>
        <w:tc>
          <w:p>
            <w:r>
              <w:t xml:space="preserve">Č:I, §:3, O:1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Č:I, §:2, O:3</w:t>
            </w:r>
          </w:p>
        </w:tc>
        <w:tc>
          <w:p>
            <w:r>
              <w:t xml:space="preserve">Subjektmi verejnej správy sú právnické osoby zapísané v registri organizácií vedenom Štatistickým úradom Slovenskej republiky podľa osobitného predpisu3) a zaradené vo verejnej správe v súlade s jedno</w:t>
            </w:r>
          </w:p>
        </w:tc>
        <w:tc>
          <w:p>
            <w:r>
              <w:t xml:space="preserve">Ú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GP - 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Č:6, O:38</w:t>
            </w:r>
          </w:p>
        </w:tc>
        <w:tc>
          <w:p>
            <w:r>
              <w:t xml:space="preserve">„subjekt“ je fyzická alebo právnická osoba zriadená a uznaná ako taká podľa vnútroštátneho práva v mieste svojho sídla, ktorá môže vo vlastnom mene vykonávať práva a podliehať povinnostiam;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Zákon č. 40/1964 Zb.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Zákon č. 40/1964 Zb.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Zákon č. 40/1964 Zb.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Zákon č. 513/1991 Zb.</w:t>
            </w:r>
          </w:p>
        </w:tc>
        <w:tc>
          <w:p>
            <w:r>
              <w:t xml:space="preserve">§:8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§:18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§:19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§:2,</w:t>
            </w:r>
          </w:p>
          <w:p>
            <w:r>
              <w:t xml:space="preserve">O:2</w:t>
            </w:r>
          </w:p>
        </w:tc>
        <w:tc>
          <w:p>
            <w:r>
              <w:t xml:space="preserve">(1) Spôsobilosť fyzickej osoby vlastnými právnymi úkonmi nadobúdať práva a brať na seba povinnosti (spôsobilosť na právne úkony) vzniká v plnom rozsahu plnoletosťou. </w:t>
            </w:r>
          </w:p>
          <w:p>
            <w:r>
              <w:t xml:space="preserve">(2) Plnoletosť sa nadobúda dovŕše</w:t>
            </w:r>
          </w:p>
        </w:tc>
        <w:tc>
          <w:p>
            <w:r>
              <w:t xml:space="preserve">Ú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GP - 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Č:41, O:1</w:t>
            </w:r>
          </w:p>
        </w:tc>
        <w:tc>
          <w:p>
            <w:r>
              <w:t xml:space="preserve">Členské štáty prijmú a uverejnia do 17. októbra 2024 opatrenia potrebné na dosiahnutie súladu s touto smernicou. Bezodkladne o tom informujú Komisiu.</w:t>
            </w:r>
          </w:p>
          <w:p>
            <w:r>
              <w:t xml:space="preserve">Tieto opatrenia sa uplatňujú od 18. októbra 2024.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Návrh zákona</w:t>
            </w:r>
          </w:p>
          <w:p>
            <w:r>
              <w:t xml:space="preserve"/>
            </w:r>
          </w:p>
          <w:p>
            <w:r>
              <w:t xml:space="preserve">Zákon č. 575/2001 Z. z.</w:t>
            </w:r>
          </w:p>
        </w:tc>
        <w:tc>
          <w:p>
            <w:r>
              <w:t xml:space="preserve">Č:VII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§:35, O:7</w:t>
            </w:r>
          </w:p>
        </w:tc>
        <w:tc>
          <w:p>
            <w:r>
              <w:t xml:space="preserve">Tento zákon nadobúda účinnosť 1. januára 2025.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Ministerstvá a ostatné ústredné orgány štátnej správy v rozsahu vymedzenej pôsobnosti plnia voči orgánom Európskej únie informačnú a oznamovaciu povinn</w:t>
            </w:r>
          </w:p>
        </w:tc>
        <w:tc>
          <w:p>
            <w:r>
              <w:t xml:space="preserve">Ú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GP - 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Č:43</w:t>
            </w:r>
          </w:p>
        </w:tc>
        <w:tc>
          <w:p>
            <w:r>
              <w:t xml:space="preserve">V smernici (EÚ) 2018/1972 sa vypúšťajú články 40 a 41 s účinnosťou od 18. októbra 2024.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Návrh zákona </w:t>
            </w:r>
          </w:p>
        </w:tc>
        <w:tc>
          <w:p>
            <w:r>
              <w:t xml:space="preserve">Č:VI,</w:t>
            </w:r>
          </w:p>
          <w:p>
            <w:r>
              <w:t xml:space="preserve">Bod 5 </w:t>
            </w:r>
          </w:p>
        </w:tc>
        <w:tc>
          <w:p>
            <w:r>
              <w:t xml:space="preserve">5. § 103 až 107 sa vypúšťajú.</w:t>
            </w:r>
          </w:p>
          <w:p>
            <w:r>
              <w:t xml:space="preserve">Poznámky pod čiarou k odkazom 116 až 118 sa vypúšťajú.</w:t>
            </w:r>
          </w:p>
        </w:tc>
        <w:tc>
          <w:p>
            <w:r>
              <w:t xml:space="preserve">Ú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GP - 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Č:46</w:t>
            </w:r>
          </w:p>
        </w:tc>
        <w:tc>
          <w:p>
            <w:r>
              <w:t xml:space="preserve">Táto smernica je určená členským štátom.</w:t>
            </w:r>
          </w:p>
        </w:tc>
        <w:tc>
          <w:p>
            <w:r>
              <w:t xml:space="preserve">n.a.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Príloha č. 1</w:t>
            </w:r>
          </w:p>
        </w:tc>
        <w:tc>
          <w:p>
            <w:r>
              <w:t xml:space="preserve">viď nižšie tabuľka s prílohou č. I k smernici NIS2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Návrh zákona</w:t>
            </w:r>
          </w:p>
        </w:tc>
        <w:tc>
          <w:p>
            <w:r>
              <w:t xml:space="preserve">Č:I, Príloha č. 1</w:t>
            </w:r>
          </w:p>
        </w:tc>
        <w:tc>
          <w:p>
            <w:r>
              <w:t xml:space="preserve">viď nižšie tabuľka s prílohou č. 1 k zákonu č. 69/2018 Z. z.</w:t>
            </w:r>
          </w:p>
        </w:tc>
        <w:tc>
          <w:p>
            <w:r>
              <w:t xml:space="preserve">Ú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GP - 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1.</w:t>
            </w:r>
          </w:p>
        </w:tc>
        <w:tc>
          <w:p>
            <w:r>
              <w:t xml:space="preserve">Energetika</w:t>
            </w:r>
          </w:p>
        </w:tc>
        <w:tc>
          <w:p>
            <w:r>
              <w:t xml:space="preserve">a) elektrická energia</w:t>
            </w:r>
          </w:p>
        </w:tc>
        <w:tc>
          <w:p>
            <w:r>
              <w:t xml:space="preserve">— elektroenergetické podniky, ako sú vymedzené v článku 2 bode 57 smernice Európskeho parlamentu a Rady (EÚ) 2019/944 (1), ktoré vykonávajú funkciu „dodávky“, ako je vymedzená v článku 2 bode 12 uvedenej smernice</w:t>
            </w:r>
          </w:p>
        </w:tc>
      </w:tr>
    </w:tbl>
  </w:body>
</w:document>
</file>