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F75A11" w14:textId="77777777" w:rsidR="00D96F31" w:rsidRDefault="00D96F31">
      <w:pPr>
        <w:spacing w:before="6000"/>
      </w:pPr>
    </w:p>
    <w:p w14:paraId="46471DA2" w14:textId="77777777" w:rsidR="00D96F31" w:rsidRDefault="00000000">
      <w:pPr>
        <w:jc w:val="center"/>
      </w:pPr>
      <w:r>
        <w:rPr>
          <w:rFonts w:ascii="黑体" w:eastAsia="黑体" w:hAnsi="黑体" w:cs="黑体"/>
          <w:b/>
          <w:bCs/>
          <w:color w:val="1A365D"/>
          <w:sz w:val="56"/>
          <w:szCs w:val="56"/>
        </w:rPr>
        <w:t>数据表结构设计</w:t>
      </w:r>
    </w:p>
    <w:p w14:paraId="3148B96D" w14:textId="77777777" w:rsidR="00D96F31" w:rsidRDefault="00000000">
      <w:pPr>
        <w:spacing w:before="400"/>
        <w:jc w:val="center"/>
      </w:pPr>
      <w:r>
        <w:rPr>
          <w:rFonts w:ascii="黑体" w:eastAsia="黑体" w:hAnsi="黑体" w:cs="黑体"/>
          <w:color w:val="4A5568"/>
          <w:sz w:val="32"/>
          <w:szCs w:val="32"/>
        </w:rPr>
        <w:t>strategy_data.csv 宽表设计方案</w:t>
      </w:r>
    </w:p>
    <w:p w14:paraId="4DFE61D0" w14:textId="77777777" w:rsidR="00D96F31" w:rsidRDefault="00000000">
      <w:pPr>
        <w:spacing w:before="800"/>
        <w:jc w:val="center"/>
      </w:pPr>
      <w:r>
        <w:rPr>
          <w:color w:val="3182CE"/>
          <w:sz w:val="28"/>
          <w:szCs w:val="28"/>
        </w:rPr>
        <w:t>14 字段策略数据总表</w:t>
      </w:r>
    </w:p>
    <w:p w14:paraId="32FB52E3" w14:textId="77777777" w:rsidR="00D96F31" w:rsidRDefault="00000000">
      <w:pPr>
        <w:spacing w:before="600"/>
        <w:jc w:val="center"/>
      </w:pPr>
      <w:r>
        <w:rPr>
          <w:color w:val="2D3748"/>
        </w:rPr>
        <w:t>主键：trade_date（交易日）</w:t>
      </w:r>
    </w:p>
    <w:p w14:paraId="6EA79EA3" w14:textId="77777777" w:rsidR="00D96F31" w:rsidRDefault="00000000">
      <w:r>
        <w:br w:type="page"/>
      </w:r>
    </w:p>
    <w:p w14:paraId="2F7DBAB1" w14:textId="77777777" w:rsidR="00D96F31" w:rsidRDefault="00D96F31">
      <w:pPr>
        <w:sectPr w:rsidR="00D96F31">
          <w:pgSz w:w="11906" w:h="16838"/>
          <w:pgMar w:top="0" w:right="0" w:bottom="0" w:left="0" w:header="708" w:footer="708" w:gutter="0"/>
          <w:cols w:space="720"/>
          <w:docGrid w:linePitch="360"/>
        </w:sectPr>
      </w:pPr>
    </w:p>
    <w:p w14:paraId="056FEC4D" w14:textId="77777777" w:rsidR="00D96F31" w:rsidRDefault="00000000">
      <w:pPr>
        <w:pStyle w:val="1"/>
      </w:pPr>
      <w:bookmarkStart w:id="0" w:name="_Toc222617837"/>
      <w:r>
        <w:lastRenderedPageBreak/>
        <w:t>目录</w:t>
      </w:r>
      <w:bookmarkEnd w:id="0"/>
    </w:p>
    <w:sdt>
      <w:sdtPr>
        <w:alias w:val="目录"/>
        <w:id w:val="802124801"/>
      </w:sdtPr>
      <w:sdtContent>
        <w:p w14:paraId="31C8EAD7" w14:textId="77777777" w:rsidR="006D5C69" w:rsidRDefault="00000000">
          <w:pPr>
            <w:pStyle w:val="TOC1"/>
            <w:tabs>
              <w:tab w:val="right" w:leader="dot" w:pos="9016"/>
            </w:tabs>
            <w:rPr>
              <w:noProof/>
            </w:rPr>
          </w:pPr>
          <w:r>
            <w:fldChar w:fldCharType="begin"/>
          </w:r>
          <w:r>
            <w:instrText>TOC \h \o "1-3"</w:instrText>
          </w:r>
          <w:r>
            <w:fldChar w:fldCharType="separate"/>
          </w:r>
          <w:hyperlink w:anchor="_Toc222617837" w:history="1">
            <w:r w:rsidR="006D5C69" w:rsidRPr="000277CC">
              <w:rPr>
                <w:rStyle w:val="a5"/>
                <w:noProof/>
              </w:rPr>
              <w:t>目录</w:t>
            </w:r>
            <w:r w:rsidR="006D5C69">
              <w:rPr>
                <w:noProof/>
              </w:rPr>
              <w:tab/>
            </w:r>
            <w:r w:rsidR="006D5C69">
              <w:rPr>
                <w:noProof/>
              </w:rPr>
              <w:fldChar w:fldCharType="begin"/>
            </w:r>
            <w:r w:rsidR="006D5C69">
              <w:rPr>
                <w:noProof/>
              </w:rPr>
              <w:instrText xml:space="preserve"> PAGEREF _Toc222617837 \h </w:instrText>
            </w:r>
            <w:r w:rsidR="006D5C69">
              <w:rPr>
                <w:noProof/>
              </w:rPr>
            </w:r>
            <w:r w:rsidR="006D5C69">
              <w:rPr>
                <w:noProof/>
              </w:rPr>
              <w:fldChar w:fldCharType="separate"/>
            </w:r>
            <w:r w:rsidR="006D5C69">
              <w:rPr>
                <w:noProof/>
              </w:rPr>
              <w:t>2</w:t>
            </w:r>
            <w:r w:rsidR="006D5C69">
              <w:rPr>
                <w:noProof/>
              </w:rPr>
              <w:fldChar w:fldCharType="end"/>
            </w:r>
          </w:hyperlink>
        </w:p>
        <w:p w14:paraId="03E5FBAC" w14:textId="77777777" w:rsidR="006D5C69" w:rsidRDefault="006D5C69">
          <w:pPr>
            <w:pStyle w:val="TOC1"/>
            <w:tabs>
              <w:tab w:val="right" w:leader="dot" w:pos="9016"/>
            </w:tabs>
            <w:rPr>
              <w:noProof/>
            </w:rPr>
          </w:pPr>
          <w:hyperlink w:anchor="_Toc222617838" w:history="1">
            <w:r w:rsidRPr="000277CC">
              <w:rPr>
                <w:rStyle w:val="a5"/>
                <w:noProof/>
              </w:rPr>
              <w:t>一、设计概述</w:t>
            </w:r>
            <w:r>
              <w:rPr>
                <w:noProof/>
              </w:rPr>
              <w:tab/>
            </w:r>
            <w:r>
              <w:rPr>
                <w:noProof/>
              </w:rPr>
              <w:fldChar w:fldCharType="begin"/>
            </w:r>
            <w:r>
              <w:rPr>
                <w:noProof/>
              </w:rPr>
              <w:instrText xml:space="preserve"> PAGEREF _Toc222617838 \h </w:instrText>
            </w:r>
            <w:r>
              <w:rPr>
                <w:noProof/>
              </w:rPr>
            </w:r>
            <w:r>
              <w:rPr>
                <w:noProof/>
              </w:rPr>
              <w:fldChar w:fldCharType="separate"/>
            </w:r>
            <w:r>
              <w:rPr>
                <w:noProof/>
              </w:rPr>
              <w:t>3</w:t>
            </w:r>
            <w:r>
              <w:rPr>
                <w:noProof/>
              </w:rPr>
              <w:fldChar w:fldCharType="end"/>
            </w:r>
          </w:hyperlink>
        </w:p>
        <w:p w14:paraId="28F4A67D" w14:textId="77777777" w:rsidR="006D5C69" w:rsidRDefault="006D5C69">
          <w:pPr>
            <w:pStyle w:val="TOC1"/>
            <w:tabs>
              <w:tab w:val="right" w:leader="dot" w:pos="9016"/>
            </w:tabs>
            <w:rPr>
              <w:noProof/>
            </w:rPr>
          </w:pPr>
          <w:hyperlink w:anchor="_Toc222617839" w:history="1">
            <w:r w:rsidRPr="000277CC">
              <w:rPr>
                <w:rStyle w:val="a5"/>
                <w:noProof/>
              </w:rPr>
              <w:t>二、字段定义</w:t>
            </w:r>
            <w:r>
              <w:rPr>
                <w:noProof/>
              </w:rPr>
              <w:tab/>
            </w:r>
            <w:r>
              <w:rPr>
                <w:noProof/>
              </w:rPr>
              <w:fldChar w:fldCharType="begin"/>
            </w:r>
            <w:r>
              <w:rPr>
                <w:noProof/>
              </w:rPr>
              <w:instrText xml:space="preserve"> PAGEREF _Toc222617839 \h </w:instrText>
            </w:r>
            <w:r>
              <w:rPr>
                <w:noProof/>
              </w:rPr>
            </w:r>
            <w:r>
              <w:rPr>
                <w:noProof/>
              </w:rPr>
              <w:fldChar w:fldCharType="separate"/>
            </w:r>
            <w:r>
              <w:rPr>
                <w:noProof/>
              </w:rPr>
              <w:t>3</w:t>
            </w:r>
            <w:r>
              <w:rPr>
                <w:noProof/>
              </w:rPr>
              <w:fldChar w:fldCharType="end"/>
            </w:r>
          </w:hyperlink>
        </w:p>
        <w:p w14:paraId="4CA3DB4E" w14:textId="77777777" w:rsidR="006D5C69" w:rsidRDefault="006D5C69">
          <w:pPr>
            <w:pStyle w:val="TOC2"/>
            <w:tabs>
              <w:tab w:val="right" w:leader="dot" w:pos="9016"/>
            </w:tabs>
            <w:ind w:left="480"/>
            <w:rPr>
              <w:noProof/>
            </w:rPr>
          </w:pPr>
          <w:hyperlink w:anchor="_Toc222617840" w:history="1">
            <w:r w:rsidRPr="000277CC">
              <w:rPr>
                <w:rStyle w:val="a5"/>
                <w:noProof/>
              </w:rPr>
              <w:t>2.1 换手率计算说明</w:t>
            </w:r>
            <w:r>
              <w:rPr>
                <w:noProof/>
              </w:rPr>
              <w:tab/>
            </w:r>
            <w:r>
              <w:rPr>
                <w:noProof/>
              </w:rPr>
              <w:fldChar w:fldCharType="begin"/>
            </w:r>
            <w:r>
              <w:rPr>
                <w:noProof/>
              </w:rPr>
              <w:instrText xml:space="preserve"> PAGEREF _Toc222617840 \h </w:instrText>
            </w:r>
            <w:r>
              <w:rPr>
                <w:noProof/>
              </w:rPr>
            </w:r>
            <w:r>
              <w:rPr>
                <w:noProof/>
              </w:rPr>
              <w:fldChar w:fldCharType="separate"/>
            </w:r>
            <w:r>
              <w:rPr>
                <w:noProof/>
              </w:rPr>
              <w:t>3</w:t>
            </w:r>
            <w:r>
              <w:rPr>
                <w:noProof/>
              </w:rPr>
              <w:fldChar w:fldCharType="end"/>
            </w:r>
          </w:hyperlink>
        </w:p>
        <w:p w14:paraId="45212DA1" w14:textId="77777777" w:rsidR="006D5C69" w:rsidRDefault="006D5C69">
          <w:pPr>
            <w:pStyle w:val="TOC1"/>
            <w:tabs>
              <w:tab w:val="right" w:leader="dot" w:pos="9016"/>
            </w:tabs>
            <w:rPr>
              <w:noProof/>
            </w:rPr>
          </w:pPr>
          <w:hyperlink w:anchor="_Toc222617841" w:history="1">
            <w:r w:rsidRPr="000277CC">
              <w:rPr>
                <w:rStyle w:val="a5"/>
                <w:noProof/>
              </w:rPr>
              <w:t>三、设计优点</w:t>
            </w:r>
            <w:r>
              <w:rPr>
                <w:noProof/>
              </w:rPr>
              <w:tab/>
            </w:r>
            <w:r>
              <w:rPr>
                <w:noProof/>
              </w:rPr>
              <w:fldChar w:fldCharType="begin"/>
            </w:r>
            <w:r>
              <w:rPr>
                <w:noProof/>
              </w:rPr>
              <w:instrText xml:space="preserve"> PAGEREF _Toc222617841 \h </w:instrText>
            </w:r>
            <w:r>
              <w:rPr>
                <w:noProof/>
              </w:rPr>
            </w:r>
            <w:r>
              <w:rPr>
                <w:noProof/>
              </w:rPr>
              <w:fldChar w:fldCharType="separate"/>
            </w:r>
            <w:r>
              <w:rPr>
                <w:noProof/>
              </w:rPr>
              <w:t>4</w:t>
            </w:r>
            <w:r>
              <w:rPr>
                <w:noProof/>
              </w:rPr>
              <w:fldChar w:fldCharType="end"/>
            </w:r>
          </w:hyperlink>
        </w:p>
        <w:p w14:paraId="24E061B7" w14:textId="77777777" w:rsidR="006D5C69" w:rsidRDefault="006D5C69">
          <w:pPr>
            <w:pStyle w:val="TOC2"/>
            <w:tabs>
              <w:tab w:val="right" w:leader="dot" w:pos="9016"/>
            </w:tabs>
            <w:ind w:left="480"/>
            <w:rPr>
              <w:noProof/>
            </w:rPr>
          </w:pPr>
          <w:hyperlink w:anchor="_Toc222617842" w:history="1">
            <w:r w:rsidRPr="000277CC">
              <w:rPr>
                <w:rStyle w:val="a5"/>
                <w:noProof/>
              </w:rPr>
              <w:t>3.1 易于回测</w:t>
            </w:r>
            <w:r>
              <w:rPr>
                <w:noProof/>
              </w:rPr>
              <w:tab/>
            </w:r>
            <w:r>
              <w:rPr>
                <w:noProof/>
              </w:rPr>
              <w:fldChar w:fldCharType="begin"/>
            </w:r>
            <w:r>
              <w:rPr>
                <w:noProof/>
              </w:rPr>
              <w:instrText xml:space="preserve"> PAGEREF _Toc222617842 \h </w:instrText>
            </w:r>
            <w:r>
              <w:rPr>
                <w:noProof/>
              </w:rPr>
            </w:r>
            <w:r>
              <w:rPr>
                <w:noProof/>
              </w:rPr>
              <w:fldChar w:fldCharType="separate"/>
            </w:r>
            <w:r>
              <w:rPr>
                <w:noProof/>
              </w:rPr>
              <w:t>4</w:t>
            </w:r>
            <w:r>
              <w:rPr>
                <w:noProof/>
              </w:rPr>
              <w:fldChar w:fldCharType="end"/>
            </w:r>
          </w:hyperlink>
        </w:p>
        <w:p w14:paraId="4F11765B" w14:textId="77777777" w:rsidR="006D5C69" w:rsidRDefault="006D5C69">
          <w:pPr>
            <w:pStyle w:val="TOC2"/>
            <w:tabs>
              <w:tab w:val="right" w:leader="dot" w:pos="9016"/>
            </w:tabs>
            <w:ind w:left="480"/>
            <w:rPr>
              <w:noProof/>
            </w:rPr>
          </w:pPr>
          <w:hyperlink w:anchor="_Toc222617843" w:history="1">
            <w:r w:rsidRPr="000277CC">
              <w:rPr>
                <w:rStyle w:val="a5"/>
                <w:noProof/>
              </w:rPr>
              <w:t>3.2 高性能</w:t>
            </w:r>
            <w:r>
              <w:rPr>
                <w:noProof/>
              </w:rPr>
              <w:tab/>
            </w:r>
            <w:r>
              <w:rPr>
                <w:noProof/>
              </w:rPr>
              <w:fldChar w:fldCharType="begin"/>
            </w:r>
            <w:r>
              <w:rPr>
                <w:noProof/>
              </w:rPr>
              <w:instrText xml:space="preserve"> PAGEREF _Toc222617843 \h </w:instrText>
            </w:r>
            <w:r>
              <w:rPr>
                <w:noProof/>
              </w:rPr>
            </w:r>
            <w:r>
              <w:rPr>
                <w:noProof/>
              </w:rPr>
              <w:fldChar w:fldCharType="separate"/>
            </w:r>
            <w:r>
              <w:rPr>
                <w:noProof/>
              </w:rPr>
              <w:t>4</w:t>
            </w:r>
            <w:r>
              <w:rPr>
                <w:noProof/>
              </w:rPr>
              <w:fldChar w:fldCharType="end"/>
            </w:r>
          </w:hyperlink>
        </w:p>
        <w:p w14:paraId="6BF668D5" w14:textId="77777777" w:rsidR="006D5C69" w:rsidRDefault="006D5C69">
          <w:pPr>
            <w:pStyle w:val="TOC2"/>
            <w:tabs>
              <w:tab w:val="right" w:leader="dot" w:pos="9016"/>
            </w:tabs>
            <w:ind w:left="480"/>
            <w:rPr>
              <w:noProof/>
            </w:rPr>
          </w:pPr>
          <w:hyperlink w:anchor="_Toc222617844" w:history="1">
            <w:r w:rsidRPr="000277CC">
              <w:rPr>
                <w:rStyle w:val="a5"/>
                <w:noProof/>
              </w:rPr>
              <w:t>3.3 清晰可读</w:t>
            </w:r>
            <w:r>
              <w:rPr>
                <w:noProof/>
              </w:rPr>
              <w:tab/>
            </w:r>
            <w:r>
              <w:rPr>
                <w:noProof/>
              </w:rPr>
              <w:fldChar w:fldCharType="begin"/>
            </w:r>
            <w:r>
              <w:rPr>
                <w:noProof/>
              </w:rPr>
              <w:instrText xml:space="preserve"> PAGEREF _Toc222617844 \h </w:instrText>
            </w:r>
            <w:r>
              <w:rPr>
                <w:noProof/>
              </w:rPr>
            </w:r>
            <w:r>
              <w:rPr>
                <w:noProof/>
              </w:rPr>
              <w:fldChar w:fldCharType="separate"/>
            </w:r>
            <w:r>
              <w:rPr>
                <w:noProof/>
              </w:rPr>
              <w:t>4</w:t>
            </w:r>
            <w:r>
              <w:rPr>
                <w:noProof/>
              </w:rPr>
              <w:fldChar w:fldCharType="end"/>
            </w:r>
          </w:hyperlink>
        </w:p>
        <w:p w14:paraId="6720A32B" w14:textId="77777777" w:rsidR="006D5C69" w:rsidRDefault="006D5C69">
          <w:pPr>
            <w:pStyle w:val="TOC1"/>
            <w:tabs>
              <w:tab w:val="right" w:leader="dot" w:pos="9016"/>
            </w:tabs>
            <w:rPr>
              <w:noProof/>
            </w:rPr>
          </w:pPr>
          <w:hyperlink w:anchor="_Toc222617845" w:history="1">
            <w:r w:rsidRPr="000277CC">
              <w:rPr>
                <w:rStyle w:val="a5"/>
                <w:noProof/>
              </w:rPr>
              <w:t>四、实施步骤</w:t>
            </w:r>
            <w:r>
              <w:rPr>
                <w:noProof/>
              </w:rPr>
              <w:tab/>
            </w:r>
            <w:r>
              <w:rPr>
                <w:noProof/>
              </w:rPr>
              <w:fldChar w:fldCharType="begin"/>
            </w:r>
            <w:r>
              <w:rPr>
                <w:noProof/>
              </w:rPr>
              <w:instrText xml:space="preserve"> PAGEREF _Toc222617845 \h </w:instrText>
            </w:r>
            <w:r>
              <w:rPr>
                <w:noProof/>
              </w:rPr>
            </w:r>
            <w:r>
              <w:rPr>
                <w:noProof/>
              </w:rPr>
              <w:fldChar w:fldCharType="separate"/>
            </w:r>
            <w:r>
              <w:rPr>
                <w:noProof/>
              </w:rPr>
              <w:t>4</w:t>
            </w:r>
            <w:r>
              <w:rPr>
                <w:noProof/>
              </w:rPr>
              <w:fldChar w:fldCharType="end"/>
            </w:r>
          </w:hyperlink>
        </w:p>
        <w:p w14:paraId="6A20A91F" w14:textId="77777777" w:rsidR="006D5C69" w:rsidRDefault="006D5C69">
          <w:pPr>
            <w:pStyle w:val="TOC2"/>
            <w:tabs>
              <w:tab w:val="right" w:leader="dot" w:pos="9016"/>
            </w:tabs>
            <w:ind w:left="480"/>
            <w:rPr>
              <w:noProof/>
            </w:rPr>
          </w:pPr>
          <w:hyperlink w:anchor="_Toc222617846" w:history="1">
            <w:r w:rsidRPr="000277CC">
              <w:rPr>
                <w:rStyle w:val="a5"/>
                <w:noProof/>
              </w:rPr>
              <w:t>4.1 Data Fetcher（数据获取模块）</w:t>
            </w:r>
            <w:r>
              <w:rPr>
                <w:noProof/>
              </w:rPr>
              <w:tab/>
            </w:r>
            <w:r>
              <w:rPr>
                <w:noProof/>
              </w:rPr>
              <w:fldChar w:fldCharType="begin"/>
            </w:r>
            <w:r>
              <w:rPr>
                <w:noProof/>
              </w:rPr>
              <w:instrText xml:space="preserve"> PAGEREF _Toc222617846 \h </w:instrText>
            </w:r>
            <w:r>
              <w:rPr>
                <w:noProof/>
              </w:rPr>
            </w:r>
            <w:r>
              <w:rPr>
                <w:noProof/>
              </w:rPr>
              <w:fldChar w:fldCharType="separate"/>
            </w:r>
            <w:r>
              <w:rPr>
                <w:noProof/>
              </w:rPr>
              <w:t>4</w:t>
            </w:r>
            <w:r>
              <w:rPr>
                <w:noProof/>
              </w:rPr>
              <w:fldChar w:fldCharType="end"/>
            </w:r>
          </w:hyperlink>
        </w:p>
        <w:p w14:paraId="0204F7D0" w14:textId="77777777" w:rsidR="006D5C69" w:rsidRDefault="006D5C69">
          <w:pPr>
            <w:pStyle w:val="TOC2"/>
            <w:tabs>
              <w:tab w:val="right" w:leader="dot" w:pos="9016"/>
            </w:tabs>
            <w:ind w:left="480"/>
            <w:rPr>
              <w:noProof/>
            </w:rPr>
          </w:pPr>
          <w:hyperlink w:anchor="_Toc222617847" w:history="1">
            <w:r w:rsidRPr="000277CC">
              <w:rPr>
                <w:rStyle w:val="a5"/>
                <w:noProof/>
              </w:rPr>
              <w:t>4.2 Data Processor（数据处理模块）</w:t>
            </w:r>
            <w:r>
              <w:rPr>
                <w:noProof/>
              </w:rPr>
              <w:tab/>
            </w:r>
            <w:r>
              <w:rPr>
                <w:noProof/>
              </w:rPr>
              <w:fldChar w:fldCharType="begin"/>
            </w:r>
            <w:r>
              <w:rPr>
                <w:noProof/>
              </w:rPr>
              <w:instrText xml:space="preserve"> PAGEREF _Toc222617847 \h </w:instrText>
            </w:r>
            <w:r>
              <w:rPr>
                <w:noProof/>
              </w:rPr>
            </w:r>
            <w:r>
              <w:rPr>
                <w:noProof/>
              </w:rPr>
              <w:fldChar w:fldCharType="separate"/>
            </w:r>
            <w:r>
              <w:rPr>
                <w:noProof/>
              </w:rPr>
              <w:t>5</w:t>
            </w:r>
            <w:r>
              <w:rPr>
                <w:noProof/>
              </w:rPr>
              <w:fldChar w:fldCharType="end"/>
            </w:r>
          </w:hyperlink>
        </w:p>
        <w:p w14:paraId="13A3891C" w14:textId="77777777" w:rsidR="006D5C69" w:rsidRDefault="006D5C69">
          <w:pPr>
            <w:pStyle w:val="TOC2"/>
            <w:tabs>
              <w:tab w:val="right" w:leader="dot" w:pos="9016"/>
            </w:tabs>
            <w:ind w:left="480"/>
            <w:rPr>
              <w:noProof/>
            </w:rPr>
          </w:pPr>
          <w:hyperlink w:anchor="_Toc222617848" w:history="1">
            <w:r w:rsidRPr="000277CC">
              <w:rPr>
                <w:rStyle w:val="a5"/>
                <w:noProof/>
              </w:rPr>
              <w:t>4.3 Data Merger（数据合并模块）</w:t>
            </w:r>
            <w:r>
              <w:rPr>
                <w:noProof/>
              </w:rPr>
              <w:tab/>
            </w:r>
            <w:r>
              <w:rPr>
                <w:noProof/>
              </w:rPr>
              <w:fldChar w:fldCharType="begin"/>
            </w:r>
            <w:r>
              <w:rPr>
                <w:noProof/>
              </w:rPr>
              <w:instrText xml:space="preserve"> PAGEREF _Toc222617848 \h </w:instrText>
            </w:r>
            <w:r>
              <w:rPr>
                <w:noProof/>
              </w:rPr>
            </w:r>
            <w:r>
              <w:rPr>
                <w:noProof/>
              </w:rPr>
              <w:fldChar w:fldCharType="separate"/>
            </w:r>
            <w:r>
              <w:rPr>
                <w:noProof/>
              </w:rPr>
              <w:t>5</w:t>
            </w:r>
            <w:r>
              <w:rPr>
                <w:noProof/>
              </w:rPr>
              <w:fldChar w:fldCharType="end"/>
            </w:r>
          </w:hyperlink>
        </w:p>
        <w:p w14:paraId="03CFA08A" w14:textId="77777777" w:rsidR="006D5C69" w:rsidRDefault="006D5C69">
          <w:pPr>
            <w:pStyle w:val="TOC1"/>
            <w:tabs>
              <w:tab w:val="right" w:leader="dot" w:pos="9016"/>
            </w:tabs>
            <w:rPr>
              <w:noProof/>
            </w:rPr>
          </w:pPr>
          <w:hyperlink w:anchor="_Toc222617849" w:history="1">
            <w:r w:rsidRPr="000277CC">
              <w:rPr>
                <w:rStyle w:val="a5"/>
                <w:noProof/>
              </w:rPr>
              <w:t>五、数据流程总结</w:t>
            </w:r>
            <w:r>
              <w:rPr>
                <w:noProof/>
              </w:rPr>
              <w:tab/>
            </w:r>
            <w:r>
              <w:rPr>
                <w:noProof/>
              </w:rPr>
              <w:fldChar w:fldCharType="begin"/>
            </w:r>
            <w:r>
              <w:rPr>
                <w:noProof/>
              </w:rPr>
              <w:instrText xml:space="preserve"> PAGEREF _Toc222617849 \h </w:instrText>
            </w:r>
            <w:r>
              <w:rPr>
                <w:noProof/>
              </w:rPr>
            </w:r>
            <w:r>
              <w:rPr>
                <w:noProof/>
              </w:rPr>
              <w:fldChar w:fldCharType="separate"/>
            </w:r>
            <w:r>
              <w:rPr>
                <w:noProof/>
              </w:rPr>
              <w:t>5</w:t>
            </w:r>
            <w:r>
              <w:rPr>
                <w:noProof/>
              </w:rPr>
              <w:fldChar w:fldCharType="end"/>
            </w:r>
          </w:hyperlink>
        </w:p>
        <w:p w14:paraId="4F4E7C70" w14:textId="77777777" w:rsidR="006D5C69" w:rsidRDefault="006D5C69">
          <w:pPr>
            <w:pStyle w:val="TOC1"/>
            <w:tabs>
              <w:tab w:val="right" w:leader="dot" w:pos="9016"/>
            </w:tabs>
            <w:rPr>
              <w:noProof/>
            </w:rPr>
          </w:pPr>
          <w:hyperlink w:anchor="_Toc222617850" w:history="1">
            <w:r w:rsidRPr="000277CC">
              <w:rPr>
                <w:rStyle w:val="a5"/>
                <w:noProof/>
              </w:rPr>
              <w:t>六、字段分类汇总</w:t>
            </w:r>
            <w:r>
              <w:rPr>
                <w:noProof/>
              </w:rPr>
              <w:tab/>
            </w:r>
            <w:r>
              <w:rPr>
                <w:noProof/>
              </w:rPr>
              <w:fldChar w:fldCharType="begin"/>
            </w:r>
            <w:r>
              <w:rPr>
                <w:noProof/>
              </w:rPr>
              <w:instrText xml:space="preserve"> PAGEREF _Toc222617850 \h </w:instrText>
            </w:r>
            <w:r>
              <w:rPr>
                <w:noProof/>
              </w:rPr>
            </w:r>
            <w:r>
              <w:rPr>
                <w:noProof/>
              </w:rPr>
              <w:fldChar w:fldCharType="separate"/>
            </w:r>
            <w:r>
              <w:rPr>
                <w:noProof/>
              </w:rPr>
              <w:t>5</w:t>
            </w:r>
            <w:r>
              <w:rPr>
                <w:noProof/>
              </w:rPr>
              <w:fldChar w:fldCharType="end"/>
            </w:r>
          </w:hyperlink>
        </w:p>
        <w:p w14:paraId="1108B845" w14:textId="77777777" w:rsidR="006D5C69" w:rsidRDefault="006D5C69">
          <w:pPr>
            <w:pStyle w:val="TOC2"/>
            <w:tabs>
              <w:tab w:val="right" w:leader="dot" w:pos="9016"/>
            </w:tabs>
            <w:ind w:left="480"/>
            <w:rPr>
              <w:noProof/>
            </w:rPr>
          </w:pPr>
          <w:hyperlink w:anchor="_Toc222617851" w:history="1">
            <w:r w:rsidRPr="000277CC">
              <w:rPr>
                <w:rStyle w:val="a5"/>
                <w:noProof/>
              </w:rPr>
              <w:t>6.1 基础行情字段（7 个）</w:t>
            </w:r>
            <w:r>
              <w:rPr>
                <w:noProof/>
              </w:rPr>
              <w:tab/>
            </w:r>
            <w:r>
              <w:rPr>
                <w:noProof/>
              </w:rPr>
              <w:fldChar w:fldCharType="begin"/>
            </w:r>
            <w:r>
              <w:rPr>
                <w:noProof/>
              </w:rPr>
              <w:instrText xml:space="preserve"> PAGEREF _Toc222617851 \h </w:instrText>
            </w:r>
            <w:r>
              <w:rPr>
                <w:noProof/>
              </w:rPr>
            </w:r>
            <w:r>
              <w:rPr>
                <w:noProof/>
              </w:rPr>
              <w:fldChar w:fldCharType="separate"/>
            </w:r>
            <w:r>
              <w:rPr>
                <w:noProof/>
              </w:rPr>
              <w:t>5</w:t>
            </w:r>
            <w:r>
              <w:rPr>
                <w:noProof/>
              </w:rPr>
              <w:fldChar w:fldCharType="end"/>
            </w:r>
          </w:hyperlink>
        </w:p>
        <w:p w14:paraId="1691F1E8" w14:textId="77777777" w:rsidR="006D5C69" w:rsidRDefault="006D5C69">
          <w:pPr>
            <w:pStyle w:val="TOC2"/>
            <w:tabs>
              <w:tab w:val="right" w:leader="dot" w:pos="9016"/>
            </w:tabs>
            <w:ind w:left="480"/>
            <w:rPr>
              <w:noProof/>
            </w:rPr>
          </w:pPr>
          <w:hyperlink w:anchor="_Toc222617852" w:history="1">
            <w:r w:rsidRPr="000277CC">
              <w:rPr>
                <w:rStyle w:val="a5"/>
                <w:noProof/>
              </w:rPr>
              <w:t>6.2 技术指标字段（4 个）</w:t>
            </w:r>
            <w:r>
              <w:rPr>
                <w:noProof/>
              </w:rPr>
              <w:tab/>
            </w:r>
            <w:r>
              <w:rPr>
                <w:noProof/>
              </w:rPr>
              <w:fldChar w:fldCharType="begin"/>
            </w:r>
            <w:r>
              <w:rPr>
                <w:noProof/>
              </w:rPr>
              <w:instrText xml:space="preserve"> PAGEREF _Toc222617852 \h </w:instrText>
            </w:r>
            <w:r>
              <w:rPr>
                <w:noProof/>
              </w:rPr>
            </w:r>
            <w:r>
              <w:rPr>
                <w:noProof/>
              </w:rPr>
              <w:fldChar w:fldCharType="separate"/>
            </w:r>
            <w:r>
              <w:rPr>
                <w:noProof/>
              </w:rPr>
              <w:t>5</w:t>
            </w:r>
            <w:r>
              <w:rPr>
                <w:noProof/>
              </w:rPr>
              <w:fldChar w:fldCharType="end"/>
            </w:r>
          </w:hyperlink>
        </w:p>
        <w:p w14:paraId="77FA05A7" w14:textId="77777777" w:rsidR="006D5C69" w:rsidRDefault="006D5C69">
          <w:pPr>
            <w:pStyle w:val="TOC2"/>
            <w:tabs>
              <w:tab w:val="right" w:leader="dot" w:pos="9016"/>
            </w:tabs>
            <w:ind w:left="480"/>
            <w:rPr>
              <w:noProof/>
            </w:rPr>
          </w:pPr>
          <w:hyperlink w:anchor="_Toc222617853" w:history="1">
            <w:r w:rsidRPr="000277CC">
              <w:rPr>
                <w:rStyle w:val="a5"/>
                <w:noProof/>
              </w:rPr>
              <w:t>6.3 策略指标字段（3 个）</w:t>
            </w:r>
            <w:r>
              <w:rPr>
                <w:noProof/>
              </w:rPr>
              <w:tab/>
            </w:r>
            <w:r>
              <w:rPr>
                <w:noProof/>
              </w:rPr>
              <w:fldChar w:fldCharType="begin"/>
            </w:r>
            <w:r>
              <w:rPr>
                <w:noProof/>
              </w:rPr>
              <w:instrText xml:space="preserve"> PAGEREF _Toc222617853 \h </w:instrText>
            </w:r>
            <w:r>
              <w:rPr>
                <w:noProof/>
              </w:rPr>
            </w:r>
            <w:r>
              <w:rPr>
                <w:noProof/>
              </w:rPr>
              <w:fldChar w:fldCharType="separate"/>
            </w:r>
            <w:r>
              <w:rPr>
                <w:noProof/>
              </w:rPr>
              <w:t>6</w:t>
            </w:r>
            <w:r>
              <w:rPr>
                <w:noProof/>
              </w:rPr>
              <w:fldChar w:fldCharType="end"/>
            </w:r>
          </w:hyperlink>
        </w:p>
        <w:p w14:paraId="4DB7D699" w14:textId="77777777" w:rsidR="00D96F31" w:rsidRDefault="00000000">
          <w:r>
            <w:fldChar w:fldCharType="end"/>
          </w:r>
        </w:p>
      </w:sdtContent>
    </w:sdt>
    <w:p w14:paraId="20B07A09" w14:textId="77777777" w:rsidR="00D96F31" w:rsidRDefault="00000000">
      <w:pPr>
        <w:spacing w:before="200"/>
        <w:jc w:val="center"/>
      </w:pPr>
      <w:r>
        <w:rPr>
          <w:color w:val="999999"/>
          <w:sz w:val="18"/>
          <w:szCs w:val="18"/>
        </w:rPr>
        <w:t>提示：右键点击目录，选择“更新域”以刷新页码</w:t>
      </w:r>
    </w:p>
    <w:p w14:paraId="2D466591" w14:textId="77777777" w:rsidR="00D96F31" w:rsidRDefault="00000000">
      <w:r>
        <w:br w:type="page"/>
      </w:r>
    </w:p>
    <w:p w14:paraId="00B32B4B" w14:textId="77777777" w:rsidR="00D96F31" w:rsidRDefault="00000000">
      <w:pPr>
        <w:pStyle w:val="1"/>
      </w:pPr>
      <w:bookmarkStart w:id="1" w:name="_Toc222617838"/>
      <w:r>
        <w:lastRenderedPageBreak/>
        <w:t>一、设计概述</w:t>
      </w:r>
      <w:bookmarkEnd w:id="1"/>
    </w:p>
    <w:p w14:paraId="749097E3" w14:textId="77777777" w:rsidR="00D96F31" w:rsidRDefault="00000000">
      <w:pPr>
        <w:spacing w:line="312" w:lineRule="auto"/>
        <w:ind w:firstLine="480"/>
      </w:pPr>
      <w:r>
        <w:t>本方案将所有核心数据整合为一张“宽表”（Wide Table），命名为 strategy_data.csv。这种设计理念的核心是将策略决策所需的所有数据字段整合到单一数据表中，以日期（trade_date）为主键，每一行包含该日期的所有决策所需数据。</w:t>
      </w:r>
    </w:p>
    <w:p w14:paraId="6A1FCFC8" w14:textId="77777777" w:rsidR="00D96F31" w:rsidRDefault="00000000">
      <w:pPr>
        <w:spacing w:line="312" w:lineRule="auto"/>
        <w:ind w:firstLine="480"/>
      </w:pPr>
      <w:r>
        <w:t>宽表设计的优势在于简化数据管理和策略回测流程。通过预先计算并存储技术指标和情绪指标，避免了每次运行策略时重复计算的开销，同时确保了数据的一致性和可追溯性。这种设计特别适合量化策略的回测和实盘运行场景。</w:t>
      </w:r>
    </w:p>
    <w:p w14:paraId="61731BD2" w14:textId="77777777" w:rsidR="00D96F31" w:rsidRDefault="00000000">
      <w:pPr>
        <w:pStyle w:val="1"/>
      </w:pPr>
      <w:bookmarkStart w:id="2" w:name="_Toc222617839"/>
      <w:r>
        <w:t>二、字段定义</w:t>
      </w:r>
      <w:bookmarkEnd w:id="2"/>
    </w:p>
    <w:p w14:paraId="17FF4446" w14:textId="77777777" w:rsidR="00D96F31" w:rsidRDefault="00000000">
      <w:pPr>
        <w:spacing w:line="312" w:lineRule="auto"/>
        <w:ind w:firstLine="480"/>
      </w:pPr>
      <w:r>
        <w:t>strategy_data.csv 共包含 14 个字段，分为基础行情字段、技术指标字段和策略指标字段三类。以下是各字段的详细定义：</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80" w:type="dxa"/>
          <w:bottom w:w="100" w:type="dxa"/>
          <w:right w:w="180" w:type="dxa"/>
        </w:tblCellMar>
        <w:tblLook w:val="0000" w:firstRow="0" w:lastRow="0" w:firstColumn="0" w:lastColumn="0" w:noHBand="0" w:noVBand="0"/>
      </w:tblPr>
      <w:tblGrid>
        <w:gridCol w:w="1382"/>
        <w:gridCol w:w="1394"/>
        <w:gridCol w:w="2766"/>
        <w:gridCol w:w="3482"/>
      </w:tblGrid>
      <w:tr w:rsidR="00D96F31" w14:paraId="79AB4F8B" w14:textId="77777777">
        <w:trPr>
          <w:tblHeader/>
        </w:trPr>
        <w:tc>
          <w:tcPr>
            <w:tcW w:w="1400" w:type="dxa"/>
            <w:tcBorders>
              <w:top w:val="single" w:sz="1" w:space="0" w:color="CBD5E0"/>
              <w:left w:val="single" w:sz="1" w:space="0" w:color="CBD5E0"/>
              <w:bottom w:val="single" w:sz="1" w:space="0" w:color="CBD5E0"/>
              <w:right w:val="single" w:sz="1" w:space="0" w:color="CBD5E0"/>
            </w:tcBorders>
            <w:shd w:val="clear" w:color="auto" w:fill="EDF2F7"/>
            <w:vAlign w:val="center"/>
          </w:tcPr>
          <w:p w14:paraId="36EAE402" w14:textId="77777777" w:rsidR="00D96F31" w:rsidRDefault="00000000">
            <w:pPr>
              <w:jc w:val="center"/>
            </w:pPr>
            <w:r>
              <w:rPr>
                <w:rFonts w:ascii="黑体" w:eastAsia="黑体" w:hAnsi="黑体" w:cs="黑体"/>
                <w:b/>
                <w:bCs/>
                <w:sz w:val="20"/>
                <w:szCs w:val="20"/>
              </w:rPr>
              <w:t>字段名</w:t>
            </w:r>
          </w:p>
        </w:tc>
        <w:tc>
          <w:tcPr>
            <w:tcW w:w="1400" w:type="dxa"/>
            <w:tcBorders>
              <w:top w:val="single" w:sz="1" w:space="0" w:color="CBD5E0"/>
              <w:left w:val="single" w:sz="1" w:space="0" w:color="CBD5E0"/>
              <w:bottom w:val="single" w:sz="1" w:space="0" w:color="CBD5E0"/>
              <w:right w:val="single" w:sz="1" w:space="0" w:color="CBD5E0"/>
            </w:tcBorders>
            <w:shd w:val="clear" w:color="auto" w:fill="EDF2F7"/>
            <w:vAlign w:val="center"/>
          </w:tcPr>
          <w:p w14:paraId="6C39EB81" w14:textId="77777777" w:rsidR="00D96F31" w:rsidRDefault="00000000">
            <w:pPr>
              <w:jc w:val="center"/>
            </w:pPr>
            <w:r>
              <w:rPr>
                <w:rFonts w:ascii="黑体" w:eastAsia="黑体" w:hAnsi="黑体" w:cs="黑体"/>
                <w:b/>
                <w:bCs/>
                <w:sz w:val="20"/>
                <w:szCs w:val="20"/>
              </w:rPr>
              <w:t>数据类型</w:t>
            </w:r>
          </w:p>
        </w:tc>
        <w:tc>
          <w:tcPr>
            <w:tcW w:w="2800" w:type="dxa"/>
            <w:tcBorders>
              <w:top w:val="single" w:sz="1" w:space="0" w:color="CBD5E0"/>
              <w:left w:val="single" w:sz="1" w:space="0" w:color="CBD5E0"/>
              <w:bottom w:val="single" w:sz="1" w:space="0" w:color="CBD5E0"/>
              <w:right w:val="single" w:sz="1" w:space="0" w:color="CBD5E0"/>
            </w:tcBorders>
            <w:shd w:val="clear" w:color="auto" w:fill="EDF2F7"/>
            <w:vAlign w:val="center"/>
          </w:tcPr>
          <w:p w14:paraId="050C9859" w14:textId="77777777" w:rsidR="00D96F31" w:rsidRDefault="00000000">
            <w:pPr>
              <w:jc w:val="center"/>
            </w:pPr>
            <w:r>
              <w:rPr>
                <w:rFonts w:ascii="黑体" w:eastAsia="黑体" w:hAnsi="黑体" w:cs="黑体"/>
                <w:b/>
                <w:bCs/>
                <w:sz w:val="20"/>
                <w:szCs w:val="20"/>
              </w:rPr>
              <w:t>来源/计算逻辑</w:t>
            </w:r>
          </w:p>
        </w:tc>
        <w:tc>
          <w:tcPr>
            <w:tcW w:w="3760" w:type="dxa"/>
            <w:tcBorders>
              <w:top w:val="single" w:sz="1" w:space="0" w:color="CBD5E0"/>
              <w:left w:val="single" w:sz="1" w:space="0" w:color="CBD5E0"/>
              <w:bottom w:val="single" w:sz="1" w:space="0" w:color="CBD5E0"/>
              <w:right w:val="single" w:sz="1" w:space="0" w:color="CBD5E0"/>
            </w:tcBorders>
            <w:shd w:val="clear" w:color="auto" w:fill="EDF2F7"/>
            <w:vAlign w:val="center"/>
          </w:tcPr>
          <w:p w14:paraId="4F3D31C6" w14:textId="77777777" w:rsidR="00D96F31" w:rsidRDefault="00000000">
            <w:pPr>
              <w:jc w:val="center"/>
            </w:pPr>
            <w:r>
              <w:rPr>
                <w:rFonts w:ascii="黑体" w:eastAsia="黑体" w:hAnsi="黑体" w:cs="黑体"/>
                <w:b/>
                <w:bCs/>
                <w:sz w:val="20"/>
                <w:szCs w:val="20"/>
              </w:rPr>
              <w:t>对应策略用途</w:t>
            </w:r>
          </w:p>
        </w:tc>
      </w:tr>
      <w:tr w:rsidR="00D96F31" w14:paraId="72CB146C" w14:textId="77777777">
        <w:tc>
          <w:tcPr>
            <w:tcW w:w="1400" w:type="dxa"/>
            <w:tcBorders>
              <w:top w:val="single" w:sz="1" w:space="0" w:color="CBD5E0"/>
              <w:left w:val="single" w:sz="1" w:space="0" w:color="CBD5E0"/>
              <w:bottom w:val="single" w:sz="1" w:space="0" w:color="CBD5E0"/>
              <w:right w:val="single" w:sz="1" w:space="0" w:color="CBD5E0"/>
            </w:tcBorders>
            <w:vAlign w:val="center"/>
          </w:tcPr>
          <w:p w14:paraId="3C1786CD" w14:textId="77777777" w:rsidR="00D96F31" w:rsidRDefault="00000000">
            <w:pPr>
              <w:jc w:val="center"/>
            </w:pPr>
            <w:r>
              <w:rPr>
                <w:rFonts w:ascii="Times New Roman" w:eastAsia="Times New Roman" w:hAnsi="Times New Roman" w:cs="Times New Roman"/>
                <w:sz w:val="18"/>
                <w:szCs w:val="18"/>
              </w:rPr>
              <w:t>trade_date</w:t>
            </w:r>
          </w:p>
        </w:tc>
        <w:tc>
          <w:tcPr>
            <w:tcW w:w="1400" w:type="dxa"/>
            <w:tcBorders>
              <w:top w:val="single" w:sz="1" w:space="0" w:color="CBD5E0"/>
              <w:left w:val="single" w:sz="1" w:space="0" w:color="CBD5E0"/>
              <w:bottom w:val="single" w:sz="1" w:space="0" w:color="CBD5E0"/>
              <w:right w:val="single" w:sz="1" w:space="0" w:color="CBD5E0"/>
            </w:tcBorders>
            <w:vAlign w:val="center"/>
          </w:tcPr>
          <w:p w14:paraId="6D9B3153" w14:textId="77777777" w:rsidR="00D96F31" w:rsidRDefault="00000000">
            <w:pPr>
              <w:jc w:val="center"/>
            </w:pPr>
            <w:r>
              <w:rPr>
                <w:sz w:val="18"/>
                <w:szCs w:val="18"/>
              </w:rPr>
              <w:t>String/Date</w:t>
            </w:r>
          </w:p>
        </w:tc>
        <w:tc>
          <w:tcPr>
            <w:tcW w:w="2800" w:type="dxa"/>
            <w:tcBorders>
              <w:top w:val="single" w:sz="1" w:space="0" w:color="CBD5E0"/>
              <w:left w:val="single" w:sz="1" w:space="0" w:color="CBD5E0"/>
              <w:bottom w:val="single" w:sz="1" w:space="0" w:color="CBD5E0"/>
              <w:right w:val="single" w:sz="1" w:space="0" w:color="CBD5E0"/>
            </w:tcBorders>
            <w:vAlign w:val="center"/>
          </w:tcPr>
          <w:p w14:paraId="75C02899" w14:textId="77777777" w:rsidR="00D96F31" w:rsidRDefault="00000000">
            <w:r>
              <w:rPr>
                <w:sz w:val="18"/>
                <w:szCs w:val="18"/>
              </w:rPr>
              <w:t>Tushare 日历</w:t>
            </w:r>
          </w:p>
        </w:tc>
        <w:tc>
          <w:tcPr>
            <w:tcW w:w="3760" w:type="dxa"/>
            <w:tcBorders>
              <w:top w:val="single" w:sz="1" w:space="0" w:color="CBD5E0"/>
              <w:left w:val="single" w:sz="1" w:space="0" w:color="CBD5E0"/>
              <w:bottom w:val="single" w:sz="1" w:space="0" w:color="CBD5E0"/>
              <w:right w:val="single" w:sz="1" w:space="0" w:color="CBD5E0"/>
            </w:tcBorders>
            <w:vAlign w:val="center"/>
          </w:tcPr>
          <w:p w14:paraId="67E261B4" w14:textId="77777777" w:rsidR="00D96F31" w:rsidRDefault="00000000">
            <w:r>
              <w:rPr>
                <w:sz w:val="18"/>
                <w:szCs w:val="18"/>
              </w:rPr>
              <w:t>时间对齐（主键）</w:t>
            </w:r>
          </w:p>
        </w:tc>
      </w:tr>
      <w:tr w:rsidR="00D96F31" w14:paraId="119CFCB0" w14:textId="77777777">
        <w:tc>
          <w:tcPr>
            <w:tcW w:w="1400" w:type="dxa"/>
            <w:tcBorders>
              <w:top w:val="single" w:sz="1" w:space="0" w:color="CBD5E0"/>
              <w:left w:val="single" w:sz="1" w:space="0" w:color="CBD5E0"/>
              <w:bottom w:val="single" w:sz="1" w:space="0" w:color="CBD5E0"/>
              <w:right w:val="single" w:sz="1" w:space="0" w:color="CBD5E0"/>
            </w:tcBorders>
            <w:vAlign w:val="center"/>
          </w:tcPr>
          <w:p w14:paraId="73DB71DC" w14:textId="77777777" w:rsidR="00D96F31" w:rsidRDefault="00000000">
            <w:pPr>
              <w:jc w:val="center"/>
            </w:pPr>
            <w:r>
              <w:rPr>
                <w:rFonts w:ascii="Times New Roman" w:eastAsia="Times New Roman" w:hAnsi="Times New Roman" w:cs="Times New Roman"/>
                <w:sz w:val="18"/>
                <w:szCs w:val="18"/>
              </w:rPr>
              <w:t>open</w:t>
            </w:r>
          </w:p>
        </w:tc>
        <w:tc>
          <w:tcPr>
            <w:tcW w:w="1400" w:type="dxa"/>
            <w:tcBorders>
              <w:top w:val="single" w:sz="1" w:space="0" w:color="CBD5E0"/>
              <w:left w:val="single" w:sz="1" w:space="0" w:color="CBD5E0"/>
              <w:bottom w:val="single" w:sz="1" w:space="0" w:color="CBD5E0"/>
              <w:right w:val="single" w:sz="1" w:space="0" w:color="CBD5E0"/>
            </w:tcBorders>
            <w:vAlign w:val="center"/>
          </w:tcPr>
          <w:p w14:paraId="44AC043A" w14:textId="77777777" w:rsidR="00D96F31" w:rsidRDefault="00000000">
            <w:pPr>
              <w:jc w:val="center"/>
            </w:pPr>
            <w:r>
              <w:rPr>
                <w:sz w:val="18"/>
                <w:szCs w:val="18"/>
              </w:rPr>
              <w:t>Float</w:t>
            </w:r>
          </w:p>
        </w:tc>
        <w:tc>
          <w:tcPr>
            <w:tcW w:w="2800" w:type="dxa"/>
            <w:tcBorders>
              <w:top w:val="single" w:sz="1" w:space="0" w:color="CBD5E0"/>
              <w:left w:val="single" w:sz="1" w:space="0" w:color="CBD5E0"/>
              <w:bottom w:val="single" w:sz="1" w:space="0" w:color="CBD5E0"/>
              <w:right w:val="single" w:sz="1" w:space="0" w:color="CBD5E0"/>
            </w:tcBorders>
            <w:vAlign w:val="center"/>
          </w:tcPr>
          <w:p w14:paraId="162AEFED" w14:textId="77777777" w:rsidR="00D96F31" w:rsidRDefault="00000000">
            <w:r>
              <w:rPr>
                <w:sz w:val="18"/>
                <w:szCs w:val="18"/>
              </w:rPr>
              <w:t>中证500ETF 510500</w:t>
            </w:r>
          </w:p>
        </w:tc>
        <w:tc>
          <w:tcPr>
            <w:tcW w:w="3760" w:type="dxa"/>
            <w:tcBorders>
              <w:top w:val="single" w:sz="1" w:space="0" w:color="CBD5E0"/>
              <w:left w:val="single" w:sz="1" w:space="0" w:color="CBD5E0"/>
              <w:bottom w:val="single" w:sz="1" w:space="0" w:color="CBD5E0"/>
              <w:right w:val="single" w:sz="1" w:space="0" w:color="CBD5E0"/>
            </w:tcBorders>
            <w:vAlign w:val="center"/>
          </w:tcPr>
          <w:p w14:paraId="08431C2F" w14:textId="77777777" w:rsidR="00D96F31" w:rsidRDefault="00000000">
            <w:r>
              <w:rPr>
                <w:sz w:val="18"/>
                <w:szCs w:val="18"/>
              </w:rPr>
              <w:t>基础K线</w:t>
            </w:r>
          </w:p>
        </w:tc>
      </w:tr>
      <w:tr w:rsidR="00D96F31" w14:paraId="1161FBE8" w14:textId="77777777">
        <w:tc>
          <w:tcPr>
            <w:tcW w:w="1400" w:type="dxa"/>
            <w:tcBorders>
              <w:top w:val="single" w:sz="1" w:space="0" w:color="CBD5E0"/>
              <w:left w:val="single" w:sz="1" w:space="0" w:color="CBD5E0"/>
              <w:bottom w:val="single" w:sz="1" w:space="0" w:color="CBD5E0"/>
              <w:right w:val="single" w:sz="1" w:space="0" w:color="CBD5E0"/>
            </w:tcBorders>
            <w:vAlign w:val="center"/>
          </w:tcPr>
          <w:p w14:paraId="4E969599" w14:textId="77777777" w:rsidR="00D96F31" w:rsidRDefault="00000000">
            <w:pPr>
              <w:jc w:val="center"/>
            </w:pPr>
            <w:r>
              <w:rPr>
                <w:rFonts w:ascii="Times New Roman" w:eastAsia="Times New Roman" w:hAnsi="Times New Roman" w:cs="Times New Roman"/>
                <w:sz w:val="18"/>
                <w:szCs w:val="18"/>
              </w:rPr>
              <w:t>high</w:t>
            </w:r>
          </w:p>
        </w:tc>
        <w:tc>
          <w:tcPr>
            <w:tcW w:w="1400" w:type="dxa"/>
            <w:tcBorders>
              <w:top w:val="single" w:sz="1" w:space="0" w:color="CBD5E0"/>
              <w:left w:val="single" w:sz="1" w:space="0" w:color="CBD5E0"/>
              <w:bottom w:val="single" w:sz="1" w:space="0" w:color="CBD5E0"/>
              <w:right w:val="single" w:sz="1" w:space="0" w:color="CBD5E0"/>
            </w:tcBorders>
            <w:vAlign w:val="center"/>
          </w:tcPr>
          <w:p w14:paraId="01F5E820" w14:textId="77777777" w:rsidR="00D96F31" w:rsidRDefault="00000000">
            <w:pPr>
              <w:jc w:val="center"/>
            </w:pPr>
            <w:r>
              <w:rPr>
                <w:sz w:val="18"/>
                <w:szCs w:val="18"/>
              </w:rPr>
              <w:t>Float</w:t>
            </w:r>
          </w:p>
        </w:tc>
        <w:tc>
          <w:tcPr>
            <w:tcW w:w="2800" w:type="dxa"/>
            <w:tcBorders>
              <w:top w:val="single" w:sz="1" w:space="0" w:color="CBD5E0"/>
              <w:left w:val="single" w:sz="1" w:space="0" w:color="CBD5E0"/>
              <w:bottom w:val="single" w:sz="1" w:space="0" w:color="CBD5E0"/>
              <w:right w:val="single" w:sz="1" w:space="0" w:color="CBD5E0"/>
            </w:tcBorders>
            <w:vAlign w:val="center"/>
          </w:tcPr>
          <w:p w14:paraId="51D6C96C" w14:textId="77777777" w:rsidR="00D96F31" w:rsidRDefault="00000000">
            <w:r>
              <w:rPr>
                <w:sz w:val="18"/>
                <w:szCs w:val="18"/>
              </w:rPr>
              <w:t>中证500ETF 510500</w:t>
            </w:r>
          </w:p>
        </w:tc>
        <w:tc>
          <w:tcPr>
            <w:tcW w:w="3760" w:type="dxa"/>
            <w:tcBorders>
              <w:top w:val="single" w:sz="1" w:space="0" w:color="CBD5E0"/>
              <w:left w:val="single" w:sz="1" w:space="0" w:color="CBD5E0"/>
              <w:bottom w:val="single" w:sz="1" w:space="0" w:color="CBD5E0"/>
              <w:right w:val="single" w:sz="1" w:space="0" w:color="CBD5E0"/>
            </w:tcBorders>
            <w:vAlign w:val="center"/>
          </w:tcPr>
          <w:p w14:paraId="37FA1E1C" w14:textId="77777777" w:rsidR="00D96F31" w:rsidRDefault="00000000">
            <w:r>
              <w:rPr>
                <w:sz w:val="18"/>
                <w:szCs w:val="18"/>
              </w:rPr>
              <w:t>止损判断 (entry_high)</w:t>
            </w:r>
          </w:p>
        </w:tc>
      </w:tr>
      <w:tr w:rsidR="00D96F31" w14:paraId="66CE1F53" w14:textId="77777777">
        <w:tc>
          <w:tcPr>
            <w:tcW w:w="1400" w:type="dxa"/>
            <w:tcBorders>
              <w:top w:val="single" w:sz="1" w:space="0" w:color="CBD5E0"/>
              <w:left w:val="single" w:sz="1" w:space="0" w:color="CBD5E0"/>
              <w:bottom w:val="single" w:sz="1" w:space="0" w:color="CBD5E0"/>
              <w:right w:val="single" w:sz="1" w:space="0" w:color="CBD5E0"/>
            </w:tcBorders>
            <w:vAlign w:val="center"/>
          </w:tcPr>
          <w:p w14:paraId="77099DB0" w14:textId="77777777" w:rsidR="00D96F31" w:rsidRDefault="00000000">
            <w:pPr>
              <w:jc w:val="center"/>
            </w:pPr>
            <w:r>
              <w:rPr>
                <w:rFonts w:ascii="Times New Roman" w:eastAsia="Times New Roman" w:hAnsi="Times New Roman" w:cs="Times New Roman"/>
                <w:sz w:val="18"/>
                <w:szCs w:val="18"/>
              </w:rPr>
              <w:t>low</w:t>
            </w:r>
          </w:p>
        </w:tc>
        <w:tc>
          <w:tcPr>
            <w:tcW w:w="1400" w:type="dxa"/>
            <w:tcBorders>
              <w:top w:val="single" w:sz="1" w:space="0" w:color="CBD5E0"/>
              <w:left w:val="single" w:sz="1" w:space="0" w:color="CBD5E0"/>
              <w:bottom w:val="single" w:sz="1" w:space="0" w:color="CBD5E0"/>
              <w:right w:val="single" w:sz="1" w:space="0" w:color="CBD5E0"/>
            </w:tcBorders>
            <w:vAlign w:val="center"/>
          </w:tcPr>
          <w:p w14:paraId="46F361CC" w14:textId="77777777" w:rsidR="00D96F31" w:rsidRDefault="00000000">
            <w:pPr>
              <w:jc w:val="center"/>
            </w:pPr>
            <w:r>
              <w:rPr>
                <w:sz w:val="18"/>
                <w:szCs w:val="18"/>
              </w:rPr>
              <w:t>Float</w:t>
            </w:r>
          </w:p>
        </w:tc>
        <w:tc>
          <w:tcPr>
            <w:tcW w:w="2800" w:type="dxa"/>
            <w:tcBorders>
              <w:top w:val="single" w:sz="1" w:space="0" w:color="CBD5E0"/>
              <w:left w:val="single" w:sz="1" w:space="0" w:color="CBD5E0"/>
              <w:bottom w:val="single" w:sz="1" w:space="0" w:color="CBD5E0"/>
              <w:right w:val="single" w:sz="1" w:space="0" w:color="CBD5E0"/>
            </w:tcBorders>
            <w:vAlign w:val="center"/>
          </w:tcPr>
          <w:p w14:paraId="01FBA881" w14:textId="77777777" w:rsidR="00D96F31" w:rsidRDefault="00000000">
            <w:r>
              <w:rPr>
                <w:sz w:val="18"/>
                <w:szCs w:val="18"/>
              </w:rPr>
              <w:t>中证500ETF 510500</w:t>
            </w:r>
          </w:p>
        </w:tc>
        <w:tc>
          <w:tcPr>
            <w:tcW w:w="3760" w:type="dxa"/>
            <w:tcBorders>
              <w:top w:val="single" w:sz="1" w:space="0" w:color="CBD5E0"/>
              <w:left w:val="single" w:sz="1" w:space="0" w:color="CBD5E0"/>
              <w:bottom w:val="single" w:sz="1" w:space="0" w:color="CBD5E0"/>
              <w:right w:val="single" w:sz="1" w:space="0" w:color="CBD5E0"/>
            </w:tcBorders>
            <w:vAlign w:val="center"/>
          </w:tcPr>
          <w:p w14:paraId="2E7C04BA" w14:textId="77777777" w:rsidR="00D96F31" w:rsidRDefault="00000000">
            <w:r>
              <w:rPr>
                <w:sz w:val="18"/>
                <w:szCs w:val="18"/>
              </w:rPr>
              <w:t>基础K线</w:t>
            </w:r>
          </w:p>
        </w:tc>
      </w:tr>
      <w:tr w:rsidR="00D96F31" w14:paraId="41BC3F15" w14:textId="77777777">
        <w:tc>
          <w:tcPr>
            <w:tcW w:w="1400" w:type="dxa"/>
            <w:tcBorders>
              <w:top w:val="single" w:sz="1" w:space="0" w:color="CBD5E0"/>
              <w:left w:val="single" w:sz="1" w:space="0" w:color="CBD5E0"/>
              <w:bottom w:val="single" w:sz="1" w:space="0" w:color="CBD5E0"/>
              <w:right w:val="single" w:sz="1" w:space="0" w:color="CBD5E0"/>
            </w:tcBorders>
            <w:vAlign w:val="center"/>
          </w:tcPr>
          <w:p w14:paraId="0C949623" w14:textId="77777777" w:rsidR="00D96F31" w:rsidRDefault="00000000">
            <w:pPr>
              <w:jc w:val="center"/>
            </w:pPr>
            <w:r>
              <w:rPr>
                <w:rFonts w:ascii="Times New Roman" w:eastAsia="Times New Roman" w:hAnsi="Times New Roman" w:cs="Times New Roman"/>
                <w:sz w:val="18"/>
                <w:szCs w:val="18"/>
              </w:rPr>
              <w:t>close</w:t>
            </w:r>
          </w:p>
        </w:tc>
        <w:tc>
          <w:tcPr>
            <w:tcW w:w="1400" w:type="dxa"/>
            <w:tcBorders>
              <w:top w:val="single" w:sz="1" w:space="0" w:color="CBD5E0"/>
              <w:left w:val="single" w:sz="1" w:space="0" w:color="CBD5E0"/>
              <w:bottom w:val="single" w:sz="1" w:space="0" w:color="CBD5E0"/>
              <w:right w:val="single" w:sz="1" w:space="0" w:color="CBD5E0"/>
            </w:tcBorders>
            <w:vAlign w:val="center"/>
          </w:tcPr>
          <w:p w14:paraId="3B506E2B" w14:textId="77777777" w:rsidR="00D96F31" w:rsidRDefault="00000000">
            <w:pPr>
              <w:jc w:val="center"/>
            </w:pPr>
            <w:r>
              <w:rPr>
                <w:sz w:val="18"/>
                <w:szCs w:val="18"/>
              </w:rPr>
              <w:t>Float</w:t>
            </w:r>
          </w:p>
        </w:tc>
        <w:tc>
          <w:tcPr>
            <w:tcW w:w="2800" w:type="dxa"/>
            <w:tcBorders>
              <w:top w:val="single" w:sz="1" w:space="0" w:color="CBD5E0"/>
              <w:left w:val="single" w:sz="1" w:space="0" w:color="CBD5E0"/>
              <w:bottom w:val="single" w:sz="1" w:space="0" w:color="CBD5E0"/>
              <w:right w:val="single" w:sz="1" w:space="0" w:color="CBD5E0"/>
            </w:tcBorders>
            <w:vAlign w:val="center"/>
          </w:tcPr>
          <w:p w14:paraId="179F3CF8" w14:textId="77777777" w:rsidR="00D96F31" w:rsidRDefault="00000000">
            <w:r>
              <w:rPr>
                <w:sz w:val="18"/>
                <w:szCs w:val="18"/>
              </w:rPr>
              <w:t>中证500ETF 510500</w:t>
            </w:r>
          </w:p>
        </w:tc>
        <w:tc>
          <w:tcPr>
            <w:tcW w:w="3760" w:type="dxa"/>
            <w:tcBorders>
              <w:top w:val="single" w:sz="1" w:space="0" w:color="CBD5E0"/>
              <w:left w:val="single" w:sz="1" w:space="0" w:color="CBD5E0"/>
              <w:bottom w:val="single" w:sz="1" w:space="0" w:color="CBD5E0"/>
              <w:right w:val="single" w:sz="1" w:space="0" w:color="CBD5E0"/>
            </w:tcBorders>
            <w:vAlign w:val="center"/>
          </w:tcPr>
          <w:p w14:paraId="52F2A54C" w14:textId="77777777" w:rsidR="00D96F31" w:rsidRDefault="00000000">
            <w:r>
              <w:rPr>
                <w:sz w:val="18"/>
                <w:szCs w:val="18"/>
              </w:rPr>
              <w:t>均线计算、收益计算</w:t>
            </w:r>
          </w:p>
        </w:tc>
      </w:tr>
      <w:tr w:rsidR="00D96F31" w14:paraId="66CDD897" w14:textId="77777777">
        <w:tc>
          <w:tcPr>
            <w:tcW w:w="1400" w:type="dxa"/>
            <w:tcBorders>
              <w:top w:val="single" w:sz="1" w:space="0" w:color="CBD5E0"/>
              <w:left w:val="single" w:sz="1" w:space="0" w:color="CBD5E0"/>
              <w:bottom w:val="single" w:sz="1" w:space="0" w:color="CBD5E0"/>
              <w:right w:val="single" w:sz="1" w:space="0" w:color="CBD5E0"/>
            </w:tcBorders>
            <w:vAlign w:val="center"/>
          </w:tcPr>
          <w:p w14:paraId="6DCCE6BD" w14:textId="77777777" w:rsidR="00D96F31" w:rsidRDefault="00000000">
            <w:pPr>
              <w:jc w:val="center"/>
            </w:pPr>
            <w:r>
              <w:rPr>
                <w:rFonts w:ascii="Times New Roman" w:eastAsia="Times New Roman" w:hAnsi="Times New Roman" w:cs="Times New Roman"/>
                <w:sz w:val="18"/>
                <w:szCs w:val="18"/>
              </w:rPr>
              <w:t>volume</w:t>
            </w:r>
          </w:p>
        </w:tc>
        <w:tc>
          <w:tcPr>
            <w:tcW w:w="1400" w:type="dxa"/>
            <w:tcBorders>
              <w:top w:val="single" w:sz="1" w:space="0" w:color="CBD5E0"/>
              <w:left w:val="single" w:sz="1" w:space="0" w:color="CBD5E0"/>
              <w:bottom w:val="single" w:sz="1" w:space="0" w:color="CBD5E0"/>
              <w:right w:val="single" w:sz="1" w:space="0" w:color="CBD5E0"/>
            </w:tcBorders>
            <w:vAlign w:val="center"/>
          </w:tcPr>
          <w:p w14:paraId="68BCBFE4" w14:textId="77777777" w:rsidR="00D96F31" w:rsidRDefault="00000000">
            <w:pPr>
              <w:jc w:val="center"/>
            </w:pPr>
            <w:r>
              <w:rPr>
                <w:sz w:val="18"/>
                <w:szCs w:val="18"/>
              </w:rPr>
              <w:t>Float</w:t>
            </w:r>
          </w:p>
        </w:tc>
        <w:tc>
          <w:tcPr>
            <w:tcW w:w="2800" w:type="dxa"/>
            <w:tcBorders>
              <w:top w:val="single" w:sz="1" w:space="0" w:color="CBD5E0"/>
              <w:left w:val="single" w:sz="1" w:space="0" w:color="CBD5E0"/>
              <w:bottom w:val="single" w:sz="1" w:space="0" w:color="CBD5E0"/>
              <w:right w:val="single" w:sz="1" w:space="0" w:color="CBD5E0"/>
            </w:tcBorders>
            <w:vAlign w:val="center"/>
          </w:tcPr>
          <w:p w14:paraId="2C1A88F0" w14:textId="77777777" w:rsidR="00D96F31" w:rsidRDefault="00000000">
            <w:r>
              <w:rPr>
                <w:sz w:val="18"/>
                <w:szCs w:val="18"/>
              </w:rPr>
              <w:t>中证500ETF 510500</w:t>
            </w:r>
          </w:p>
        </w:tc>
        <w:tc>
          <w:tcPr>
            <w:tcW w:w="3760" w:type="dxa"/>
            <w:tcBorders>
              <w:top w:val="single" w:sz="1" w:space="0" w:color="CBD5E0"/>
              <w:left w:val="single" w:sz="1" w:space="0" w:color="CBD5E0"/>
              <w:bottom w:val="single" w:sz="1" w:space="0" w:color="CBD5E0"/>
              <w:right w:val="single" w:sz="1" w:space="0" w:color="CBD5E0"/>
            </w:tcBorders>
            <w:vAlign w:val="center"/>
          </w:tcPr>
          <w:p w14:paraId="11042360" w14:textId="77777777" w:rsidR="00D96F31" w:rsidRDefault="00000000">
            <w:r>
              <w:rPr>
                <w:sz w:val="18"/>
                <w:szCs w:val="18"/>
              </w:rPr>
              <w:t>成交量（辅助）</w:t>
            </w:r>
          </w:p>
        </w:tc>
      </w:tr>
      <w:tr w:rsidR="00D96F31" w14:paraId="093AD597" w14:textId="77777777">
        <w:tc>
          <w:tcPr>
            <w:tcW w:w="1400" w:type="dxa"/>
            <w:tcBorders>
              <w:top w:val="single" w:sz="1" w:space="0" w:color="CBD5E0"/>
              <w:left w:val="single" w:sz="1" w:space="0" w:color="CBD5E0"/>
              <w:bottom w:val="single" w:sz="1" w:space="0" w:color="CBD5E0"/>
              <w:right w:val="single" w:sz="1" w:space="0" w:color="CBD5E0"/>
            </w:tcBorders>
            <w:vAlign w:val="center"/>
          </w:tcPr>
          <w:p w14:paraId="01FAF3F9" w14:textId="77777777" w:rsidR="00D96F31" w:rsidRDefault="00000000">
            <w:pPr>
              <w:jc w:val="center"/>
            </w:pPr>
            <w:r>
              <w:rPr>
                <w:rFonts w:ascii="Times New Roman" w:eastAsia="Times New Roman" w:hAnsi="Times New Roman" w:cs="Times New Roman"/>
                <w:sz w:val="18"/>
                <w:szCs w:val="18"/>
              </w:rPr>
              <w:t>amount</w:t>
            </w:r>
          </w:p>
        </w:tc>
        <w:tc>
          <w:tcPr>
            <w:tcW w:w="1400" w:type="dxa"/>
            <w:tcBorders>
              <w:top w:val="single" w:sz="1" w:space="0" w:color="CBD5E0"/>
              <w:left w:val="single" w:sz="1" w:space="0" w:color="CBD5E0"/>
              <w:bottom w:val="single" w:sz="1" w:space="0" w:color="CBD5E0"/>
              <w:right w:val="single" w:sz="1" w:space="0" w:color="CBD5E0"/>
            </w:tcBorders>
            <w:vAlign w:val="center"/>
          </w:tcPr>
          <w:p w14:paraId="136E4624" w14:textId="77777777" w:rsidR="00D96F31" w:rsidRDefault="00000000">
            <w:pPr>
              <w:jc w:val="center"/>
            </w:pPr>
            <w:r>
              <w:rPr>
                <w:sz w:val="18"/>
                <w:szCs w:val="18"/>
              </w:rPr>
              <w:t>Float</w:t>
            </w:r>
          </w:p>
        </w:tc>
        <w:tc>
          <w:tcPr>
            <w:tcW w:w="2800" w:type="dxa"/>
            <w:tcBorders>
              <w:top w:val="single" w:sz="1" w:space="0" w:color="CBD5E0"/>
              <w:left w:val="single" w:sz="1" w:space="0" w:color="CBD5E0"/>
              <w:bottom w:val="single" w:sz="1" w:space="0" w:color="CBD5E0"/>
              <w:right w:val="single" w:sz="1" w:space="0" w:color="CBD5E0"/>
            </w:tcBorders>
            <w:vAlign w:val="center"/>
          </w:tcPr>
          <w:p w14:paraId="08858CC7" w14:textId="77777777" w:rsidR="00D96F31" w:rsidRDefault="00000000">
            <w:r>
              <w:rPr>
                <w:sz w:val="18"/>
                <w:szCs w:val="18"/>
              </w:rPr>
              <w:t>中证500ETF 510500</w:t>
            </w:r>
          </w:p>
        </w:tc>
        <w:tc>
          <w:tcPr>
            <w:tcW w:w="3760" w:type="dxa"/>
            <w:tcBorders>
              <w:top w:val="single" w:sz="1" w:space="0" w:color="CBD5E0"/>
              <w:left w:val="single" w:sz="1" w:space="0" w:color="CBD5E0"/>
              <w:bottom w:val="single" w:sz="1" w:space="0" w:color="CBD5E0"/>
              <w:right w:val="single" w:sz="1" w:space="0" w:color="CBD5E0"/>
            </w:tcBorders>
            <w:vAlign w:val="center"/>
          </w:tcPr>
          <w:p w14:paraId="06767388" w14:textId="77777777" w:rsidR="00D96F31" w:rsidRDefault="00000000">
            <w:r>
              <w:rPr>
                <w:sz w:val="18"/>
                <w:szCs w:val="18"/>
              </w:rPr>
              <w:t>Heat_Z 热度计算</w:t>
            </w:r>
          </w:p>
        </w:tc>
      </w:tr>
      <w:tr w:rsidR="00D96F31" w14:paraId="36618917" w14:textId="77777777">
        <w:tc>
          <w:tcPr>
            <w:tcW w:w="1400" w:type="dxa"/>
            <w:tcBorders>
              <w:top w:val="single" w:sz="1" w:space="0" w:color="CBD5E0"/>
              <w:left w:val="single" w:sz="1" w:space="0" w:color="CBD5E0"/>
              <w:bottom w:val="single" w:sz="1" w:space="0" w:color="CBD5E0"/>
              <w:right w:val="single" w:sz="1" w:space="0" w:color="CBD5E0"/>
            </w:tcBorders>
            <w:vAlign w:val="center"/>
          </w:tcPr>
          <w:p w14:paraId="3120C9A3" w14:textId="77777777" w:rsidR="00D96F31" w:rsidRDefault="00000000">
            <w:pPr>
              <w:jc w:val="center"/>
            </w:pPr>
            <w:r>
              <w:rPr>
                <w:rFonts w:ascii="Times New Roman" w:eastAsia="Times New Roman" w:hAnsi="Times New Roman" w:cs="Times New Roman"/>
                <w:sz w:val="18"/>
                <w:szCs w:val="18"/>
              </w:rPr>
              <w:t>ma_5</w:t>
            </w:r>
          </w:p>
        </w:tc>
        <w:tc>
          <w:tcPr>
            <w:tcW w:w="1400" w:type="dxa"/>
            <w:tcBorders>
              <w:top w:val="single" w:sz="1" w:space="0" w:color="CBD5E0"/>
              <w:left w:val="single" w:sz="1" w:space="0" w:color="CBD5E0"/>
              <w:bottom w:val="single" w:sz="1" w:space="0" w:color="CBD5E0"/>
              <w:right w:val="single" w:sz="1" w:space="0" w:color="CBD5E0"/>
            </w:tcBorders>
            <w:vAlign w:val="center"/>
          </w:tcPr>
          <w:p w14:paraId="51E44C81" w14:textId="77777777" w:rsidR="00D96F31" w:rsidRDefault="00000000">
            <w:pPr>
              <w:jc w:val="center"/>
            </w:pPr>
            <w:r>
              <w:rPr>
                <w:sz w:val="18"/>
                <w:szCs w:val="18"/>
              </w:rPr>
              <w:t>Float</w:t>
            </w:r>
          </w:p>
        </w:tc>
        <w:tc>
          <w:tcPr>
            <w:tcW w:w="2800" w:type="dxa"/>
            <w:tcBorders>
              <w:top w:val="single" w:sz="1" w:space="0" w:color="CBD5E0"/>
              <w:left w:val="single" w:sz="1" w:space="0" w:color="CBD5E0"/>
              <w:bottom w:val="single" w:sz="1" w:space="0" w:color="CBD5E0"/>
              <w:right w:val="single" w:sz="1" w:space="0" w:color="CBD5E0"/>
            </w:tcBorders>
            <w:vAlign w:val="center"/>
          </w:tcPr>
          <w:p w14:paraId="3E57C5FB" w14:textId="77777777" w:rsidR="00D96F31" w:rsidRDefault="00000000">
            <w:r>
              <w:rPr>
                <w:sz w:val="18"/>
                <w:szCs w:val="18"/>
              </w:rPr>
              <w:t>close.rolling(5).mean()</w:t>
            </w:r>
          </w:p>
        </w:tc>
        <w:tc>
          <w:tcPr>
            <w:tcW w:w="3760" w:type="dxa"/>
            <w:tcBorders>
              <w:top w:val="single" w:sz="1" w:space="0" w:color="CBD5E0"/>
              <w:left w:val="single" w:sz="1" w:space="0" w:color="CBD5E0"/>
              <w:bottom w:val="single" w:sz="1" w:space="0" w:color="CBD5E0"/>
              <w:right w:val="single" w:sz="1" w:space="0" w:color="CBD5E0"/>
            </w:tcBorders>
            <w:vAlign w:val="center"/>
          </w:tcPr>
          <w:p w14:paraId="48531536" w14:textId="77777777" w:rsidR="00D96F31" w:rsidRDefault="00000000">
            <w:r>
              <w:rPr>
                <w:sz w:val="18"/>
                <w:szCs w:val="18"/>
              </w:rPr>
              <w:t>支撑线 (MA_Support)</w:t>
            </w:r>
          </w:p>
        </w:tc>
      </w:tr>
      <w:tr w:rsidR="00D96F31" w14:paraId="43D5CC04" w14:textId="77777777">
        <w:tc>
          <w:tcPr>
            <w:tcW w:w="1400" w:type="dxa"/>
            <w:tcBorders>
              <w:top w:val="single" w:sz="1" w:space="0" w:color="CBD5E0"/>
              <w:left w:val="single" w:sz="1" w:space="0" w:color="CBD5E0"/>
              <w:bottom w:val="single" w:sz="1" w:space="0" w:color="CBD5E0"/>
              <w:right w:val="single" w:sz="1" w:space="0" w:color="CBD5E0"/>
            </w:tcBorders>
            <w:vAlign w:val="center"/>
          </w:tcPr>
          <w:p w14:paraId="56D51457" w14:textId="77777777" w:rsidR="00D96F31" w:rsidRDefault="00000000">
            <w:pPr>
              <w:jc w:val="center"/>
            </w:pPr>
            <w:r>
              <w:rPr>
                <w:rFonts w:ascii="Times New Roman" w:eastAsia="Times New Roman" w:hAnsi="Times New Roman" w:cs="Times New Roman"/>
                <w:sz w:val="18"/>
                <w:szCs w:val="18"/>
              </w:rPr>
              <w:t>ma_10</w:t>
            </w:r>
          </w:p>
        </w:tc>
        <w:tc>
          <w:tcPr>
            <w:tcW w:w="1400" w:type="dxa"/>
            <w:tcBorders>
              <w:top w:val="single" w:sz="1" w:space="0" w:color="CBD5E0"/>
              <w:left w:val="single" w:sz="1" w:space="0" w:color="CBD5E0"/>
              <w:bottom w:val="single" w:sz="1" w:space="0" w:color="CBD5E0"/>
              <w:right w:val="single" w:sz="1" w:space="0" w:color="CBD5E0"/>
            </w:tcBorders>
            <w:vAlign w:val="center"/>
          </w:tcPr>
          <w:p w14:paraId="477A3767" w14:textId="77777777" w:rsidR="00D96F31" w:rsidRDefault="00000000">
            <w:pPr>
              <w:jc w:val="center"/>
            </w:pPr>
            <w:r>
              <w:rPr>
                <w:sz w:val="18"/>
                <w:szCs w:val="18"/>
              </w:rPr>
              <w:t>Float</w:t>
            </w:r>
          </w:p>
        </w:tc>
        <w:tc>
          <w:tcPr>
            <w:tcW w:w="2800" w:type="dxa"/>
            <w:tcBorders>
              <w:top w:val="single" w:sz="1" w:space="0" w:color="CBD5E0"/>
              <w:left w:val="single" w:sz="1" w:space="0" w:color="CBD5E0"/>
              <w:bottom w:val="single" w:sz="1" w:space="0" w:color="CBD5E0"/>
              <w:right w:val="single" w:sz="1" w:space="0" w:color="CBD5E0"/>
            </w:tcBorders>
            <w:vAlign w:val="center"/>
          </w:tcPr>
          <w:p w14:paraId="36AC568A" w14:textId="77777777" w:rsidR="00D96F31" w:rsidRDefault="00000000">
            <w:r>
              <w:rPr>
                <w:sz w:val="18"/>
                <w:szCs w:val="18"/>
              </w:rPr>
              <w:t>close.rolling(10).mean()</w:t>
            </w:r>
          </w:p>
        </w:tc>
        <w:tc>
          <w:tcPr>
            <w:tcW w:w="3760" w:type="dxa"/>
            <w:tcBorders>
              <w:top w:val="single" w:sz="1" w:space="0" w:color="CBD5E0"/>
              <w:left w:val="single" w:sz="1" w:space="0" w:color="CBD5E0"/>
              <w:bottom w:val="single" w:sz="1" w:space="0" w:color="CBD5E0"/>
              <w:right w:val="single" w:sz="1" w:space="0" w:color="CBD5E0"/>
            </w:tcBorders>
            <w:vAlign w:val="center"/>
          </w:tcPr>
          <w:p w14:paraId="0C80CA19" w14:textId="77777777" w:rsidR="00D96F31" w:rsidRDefault="00000000">
            <w:r>
              <w:rPr>
                <w:sz w:val="18"/>
                <w:szCs w:val="18"/>
              </w:rPr>
              <w:t>趋势线 (MA_Trend)</w:t>
            </w:r>
          </w:p>
        </w:tc>
      </w:tr>
      <w:tr w:rsidR="00D96F31" w14:paraId="2B595FF3" w14:textId="77777777">
        <w:tc>
          <w:tcPr>
            <w:tcW w:w="1400" w:type="dxa"/>
            <w:tcBorders>
              <w:top w:val="single" w:sz="1" w:space="0" w:color="CBD5E0"/>
              <w:left w:val="single" w:sz="1" w:space="0" w:color="CBD5E0"/>
              <w:bottom w:val="single" w:sz="1" w:space="0" w:color="CBD5E0"/>
              <w:right w:val="single" w:sz="1" w:space="0" w:color="CBD5E0"/>
            </w:tcBorders>
            <w:vAlign w:val="center"/>
          </w:tcPr>
          <w:p w14:paraId="7C00925C" w14:textId="77777777" w:rsidR="00D96F31" w:rsidRDefault="00000000">
            <w:pPr>
              <w:jc w:val="center"/>
            </w:pPr>
            <w:r>
              <w:rPr>
                <w:rFonts w:ascii="Times New Roman" w:eastAsia="Times New Roman" w:hAnsi="Times New Roman" w:cs="Times New Roman"/>
                <w:sz w:val="18"/>
                <w:szCs w:val="18"/>
              </w:rPr>
              <w:t>ma_20</w:t>
            </w:r>
          </w:p>
        </w:tc>
        <w:tc>
          <w:tcPr>
            <w:tcW w:w="1400" w:type="dxa"/>
            <w:tcBorders>
              <w:top w:val="single" w:sz="1" w:space="0" w:color="CBD5E0"/>
              <w:left w:val="single" w:sz="1" w:space="0" w:color="CBD5E0"/>
              <w:bottom w:val="single" w:sz="1" w:space="0" w:color="CBD5E0"/>
              <w:right w:val="single" w:sz="1" w:space="0" w:color="CBD5E0"/>
            </w:tcBorders>
            <w:vAlign w:val="center"/>
          </w:tcPr>
          <w:p w14:paraId="3CFBDC9E" w14:textId="77777777" w:rsidR="00D96F31" w:rsidRDefault="00000000">
            <w:pPr>
              <w:jc w:val="center"/>
            </w:pPr>
            <w:r>
              <w:rPr>
                <w:sz w:val="18"/>
                <w:szCs w:val="18"/>
              </w:rPr>
              <w:t>Float</w:t>
            </w:r>
          </w:p>
        </w:tc>
        <w:tc>
          <w:tcPr>
            <w:tcW w:w="2800" w:type="dxa"/>
            <w:tcBorders>
              <w:top w:val="single" w:sz="1" w:space="0" w:color="CBD5E0"/>
              <w:left w:val="single" w:sz="1" w:space="0" w:color="CBD5E0"/>
              <w:bottom w:val="single" w:sz="1" w:space="0" w:color="CBD5E0"/>
              <w:right w:val="single" w:sz="1" w:space="0" w:color="CBD5E0"/>
            </w:tcBorders>
            <w:vAlign w:val="center"/>
          </w:tcPr>
          <w:p w14:paraId="254B635B" w14:textId="77777777" w:rsidR="00D96F31" w:rsidRDefault="00000000">
            <w:r>
              <w:rPr>
                <w:sz w:val="18"/>
                <w:szCs w:val="18"/>
              </w:rPr>
              <w:t>close.rolling(20).mean()</w:t>
            </w:r>
          </w:p>
        </w:tc>
        <w:tc>
          <w:tcPr>
            <w:tcW w:w="3760" w:type="dxa"/>
            <w:tcBorders>
              <w:top w:val="single" w:sz="1" w:space="0" w:color="CBD5E0"/>
              <w:left w:val="single" w:sz="1" w:space="0" w:color="CBD5E0"/>
              <w:bottom w:val="single" w:sz="1" w:space="0" w:color="CBD5E0"/>
              <w:right w:val="single" w:sz="1" w:space="0" w:color="CBD5E0"/>
            </w:tcBorders>
            <w:vAlign w:val="center"/>
          </w:tcPr>
          <w:p w14:paraId="582F583F" w14:textId="77777777" w:rsidR="00D96F31" w:rsidRDefault="00000000">
            <w:r>
              <w:rPr>
                <w:sz w:val="18"/>
                <w:szCs w:val="18"/>
              </w:rPr>
              <w:t>中期趋势</w:t>
            </w:r>
          </w:p>
        </w:tc>
      </w:tr>
      <w:tr w:rsidR="00D96F31" w14:paraId="6C3540B6" w14:textId="77777777">
        <w:tc>
          <w:tcPr>
            <w:tcW w:w="1400" w:type="dxa"/>
            <w:tcBorders>
              <w:top w:val="single" w:sz="1" w:space="0" w:color="CBD5E0"/>
              <w:left w:val="single" w:sz="1" w:space="0" w:color="CBD5E0"/>
              <w:bottom w:val="single" w:sz="1" w:space="0" w:color="CBD5E0"/>
              <w:right w:val="single" w:sz="1" w:space="0" w:color="CBD5E0"/>
            </w:tcBorders>
            <w:vAlign w:val="center"/>
          </w:tcPr>
          <w:p w14:paraId="1EC2B8CF" w14:textId="77777777" w:rsidR="00D96F31" w:rsidRDefault="00000000">
            <w:pPr>
              <w:jc w:val="center"/>
            </w:pPr>
            <w:r>
              <w:rPr>
                <w:rFonts w:ascii="Times New Roman" w:eastAsia="Times New Roman" w:hAnsi="Times New Roman" w:cs="Times New Roman"/>
                <w:sz w:val="18"/>
                <w:szCs w:val="18"/>
              </w:rPr>
              <w:t>ma_30</w:t>
            </w:r>
          </w:p>
        </w:tc>
        <w:tc>
          <w:tcPr>
            <w:tcW w:w="1400" w:type="dxa"/>
            <w:tcBorders>
              <w:top w:val="single" w:sz="1" w:space="0" w:color="CBD5E0"/>
              <w:left w:val="single" w:sz="1" w:space="0" w:color="CBD5E0"/>
              <w:bottom w:val="single" w:sz="1" w:space="0" w:color="CBD5E0"/>
              <w:right w:val="single" w:sz="1" w:space="0" w:color="CBD5E0"/>
            </w:tcBorders>
            <w:vAlign w:val="center"/>
          </w:tcPr>
          <w:p w14:paraId="2F389446" w14:textId="77777777" w:rsidR="00D96F31" w:rsidRDefault="00000000">
            <w:pPr>
              <w:jc w:val="center"/>
            </w:pPr>
            <w:r>
              <w:rPr>
                <w:sz w:val="18"/>
                <w:szCs w:val="18"/>
              </w:rPr>
              <w:t>Float</w:t>
            </w:r>
          </w:p>
        </w:tc>
        <w:tc>
          <w:tcPr>
            <w:tcW w:w="2800" w:type="dxa"/>
            <w:tcBorders>
              <w:top w:val="single" w:sz="1" w:space="0" w:color="CBD5E0"/>
              <w:left w:val="single" w:sz="1" w:space="0" w:color="CBD5E0"/>
              <w:bottom w:val="single" w:sz="1" w:space="0" w:color="CBD5E0"/>
              <w:right w:val="single" w:sz="1" w:space="0" w:color="CBD5E0"/>
            </w:tcBorders>
            <w:vAlign w:val="center"/>
          </w:tcPr>
          <w:p w14:paraId="289D0850" w14:textId="77777777" w:rsidR="00D96F31" w:rsidRDefault="00000000">
            <w:r>
              <w:rPr>
                <w:sz w:val="18"/>
                <w:szCs w:val="18"/>
              </w:rPr>
              <w:t>close.rolling(30).mean()</w:t>
            </w:r>
          </w:p>
        </w:tc>
        <w:tc>
          <w:tcPr>
            <w:tcW w:w="3760" w:type="dxa"/>
            <w:tcBorders>
              <w:top w:val="single" w:sz="1" w:space="0" w:color="CBD5E0"/>
              <w:left w:val="single" w:sz="1" w:space="0" w:color="CBD5E0"/>
              <w:bottom w:val="single" w:sz="1" w:space="0" w:color="CBD5E0"/>
              <w:right w:val="single" w:sz="1" w:space="0" w:color="CBD5E0"/>
            </w:tcBorders>
            <w:vAlign w:val="center"/>
          </w:tcPr>
          <w:p w14:paraId="2B54B876" w14:textId="77777777" w:rsidR="00D96F31" w:rsidRDefault="00000000">
            <w:r>
              <w:rPr>
                <w:sz w:val="18"/>
                <w:szCs w:val="18"/>
              </w:rPr>
              <w:t>长期防守线 (MA_Filter)</w:t>
            </w:r>
          </w:p>
        </w:tc>
      </w:tr>
      <w:tr w:rsidR="00D96F31" w14:paraId="2E91DF77" w14:textId="77777777">
        <w:tc>
          <w:tcPr>
            <w:tcW w:w="1400" w:type="dxa"/>
            <w:tcBorders>
              <w:top w:val="single" w:sz="1" w:space="0" w:color="CBD5E0"/>
              <w:left w:val="single" w:sz="1" w:space="0" w:color="CBD5E0"/>
              <w:bottom w:val="single" w:sz="1" w:space="0" w:color="CBD5E0"/>
              <w:right w:val="single" w:sz="1" w:space="0" w:color="CBD5E0"/>
            </w:tcBorders>
            <w:vAlign w:val="center"/>
          </w:tcPr>
          <w:p w14:paraId="520068A6" w14:textId="77777777" w:rsidR="00D96F31" w:rsidRDefault="00000000">
            <w:pPr>
              <w:jc w:val="center"/>
            </w:pPr>
            <w:r>
              <w:rPr>
                <w:rFonts w:ascii="Times New Roman" w:eastAsia="Times New Roman" w:hAnsi="Times New Roman" w:cs="Times New Roman"/>
                <w:sz w:val="18"/>
                <w:szCs w:val="18"/>
              </w:rPr>
              <w:t>breadth</w:t>
            </w:r>
          </w:p>
        </w:tc>
        <w:tc>
          <w:tcPr>
            <w:tcW w:w="1400" w:type="dxa"/>
            <w:tcBorders>
              <w:top w:val="single" w:sz="1" w:space="0" w:color="CBD5E0"/>
              <w:left w:val="single" w:sz="1" w:space="0" w:color="CBD5E0"/>
              <w:bottom w:val="single" w:sz="1" w:space="0" w:color="CBD5E0"/>
              <w:right w:val="single" w:sz="1" w:space="0" w:color="CBD5E0"/>
            </w:tcBorders>
            <w:vAlign w:val="center"/>
          </w:tcPr>
          <w:p w14:paraId="74BB7CBF" w14:textId="77777777" w:rsidR="00D96F31" w:rsidRDefault="00000000">
            <w:pPr>
              <w:jc w:val="center"/>
            </w:pPr>
            <w:r>
              <w:rPr>
                <w:sz w:val="18"/>
                <w:szCs w:val="18"/>
              </w:rPr>
              <w:t>Float (0-100)</w:t>
            </w:r>
          </w:p>
        </w:tc>
        <w:tc>
          <w:tcPr>
            <w:tcW w:w="2800" w:type="dxa"/>
            <w:tcBorders>
              <w:top w:val="single" w:sz="1" w:space="0" w:color="CBD5E0"/>
              <w:left w:val="single" w:sz="1" w:space="0" w:color="CBD5E0"/>
              <w:bottom w:val="single" w:sz="1" w:space="0" w:color="CBD5E0"/>
              <w:right w:val="single" w:sz="1" w:space="0" w:color="CBD5E0"/>
            </w:tcBorders>
            <w:vAlign w:val="center"/>
          </w:tcPr>
          <w:p w14:paraId="57ADA06C" w14:textId="77777777" w:rsidR="00D96F31" w:rsidRDefault="00000000">
            <w:r>
              <w:rPr>
                <w:sz w:val="18"/>
                <w:szCs w:val="18"/>
              </w:rPr>
              <w:t>每日统计(&gt;MA20成分股占比)</w:t>
            </w:r>
          </w:p>
        </w:tc>
        <w:tc>
          <w:tcPr>
            <w:tcW w:w="3760" w:type="dxa"/>
            <w:tcBorders>
              <w:top w:val="single" w:sz="1" w:space="0" w:color="CBD5E0"/>
              <w:left w:val="single" w:sz="1" w:space="0" w:color="CBD5E0"/>
              <w:bottom w:val="single" w:sz="1" w:space="0" w:color="CBD5E0"/>
              <w:right w:val="single" w:sz="1" w:space="0" w:color="CBD5E0"/>
            </w:tcBorders>
            <w:vAlign w:val="center"/>
          </w:tcPr>
          <w:p w14:paraId="3AF044F3" w14:textId="77777777" w:rsidR="00D96F31" w:rsidRDefault="00000000">
            <w:r>
              <w:rPr>
                <w:sz w:val="18"/>
                <w:szCs w:val="18"/>
              </w:rPr>
              <w:t>抄底/逃顶核心指标</w:t>
            </w:r>
          </w:p>
        </w:tc>
      </w:tr>
      <w:tr w:rsidR="00D96F31" w14:paraId="63ACB4B5" w14:textId="77777777">
        <w:tc>
          <w:tcPr>
            <w:tcW w:w="1400" w:type="dxa"/>
            <w:tcBorders>
              <w:top w:val="single" w:sz="1" w:space="0" w:color="CBD5E0"/>
              <w:left w:val="single" w:sz="1" w:space="0" w:color="CBD5E0"/>
              <w:bottom w:val="single" w:sz="1" w:space="0" w:color="CBD5E0"/>
              <w:right w:val="single" w:sz="1" w:space="0" w:color="CBD5E0"/>
            </w:tcBorders>
            <w:vAlign w:val="center"/>
          </w:tcPr>
          <w:p w14:paraId="2D36B31F" w14:textId="77777777" w:rsidR="00D96F31" w:rsidRDefault="00000000">
            <w:pPr>
              <w:jc w:val="center"/>
            </w:pPr>
            <w:r>
              <w:rPr>
                <w:rFonts w:ascii="Times New Roman" w:eastAsia="Times New Roman" w:hAnsi="Times New Roman" w:cs="Times New Roman"/>
                <w:sz w:val="18"/>
                <w:szCs w:val="18"/>
              </w:rPr>
              <w:t>heat_z</w:t>
            </w:r>
          </w:p>
        </w:tc>
        <w:tc>
          <w:tcPr>
            <w:tcW w:w="1400" w:type="dxa"/>
            <w:tcBorders>
              <w:top w:val="single" w:sz="1" w:space="0" w:color="CBD5E0"/>
              <w:left w:val="single" w:sz="1" w:space="0" w:color="CBD5E0"/>
              <w:bottom w:val="single" w:sz="1" w:space="0" w:color="CBD5E0"/>
              <w:right w:val="single" w:sz="1" w:space="0" w:color="CBD5E0"/>
            </w:tcBorders>
            <w:vAlign w:val="center"/>
          </w:tcPr>
          <w:p w14:paraId="26826C67" w14:textId="77777777" w:rsidR="00D96F31" w:rsidRDefault="00000000">
            <w:pPr>
              <w:jc w:val="center"/>
            </w:pPr>
            <w:r>
              <w:rPr>
                <w:sz w:val="18"/>
                <w:szCs w:val="18"/>
              </w:rPr>
              <w:t>Float</w:t>
            </w:r>
          </w:p>
        </w:tc>
        <w:tc>
          <w:tcPr>
            <w:tcW w:w="2800" w:type="dxa"/>
            <w:tcBorders>
              <w:top w:val="single" w:sz="1" w:space="0" w:color="CBD5E0"/>
              <w:left w:val="single" w:sz="1" w:space="0" w:color="CBD5E0"/>
              <w:bottom w:val="single" w:sz="1" w:space="0" w:color="CBD5E0"/>
              <w:right w:val="single" w:sz="1" w:space="0" w:color="CBD5E0"/>
            </w:tcBorders>
            <w:vAlign w:val="center"/>
          </w:tcPr>
          <w:p w14:paraId="74857179" w14:textId="77777777" w:rsidR="00D96F31" w:rsidRDefault="00000000">
            <w:r>
              <w:rPr>
                <w:sz w:val="18"/>
                <w:szCs w:val="18"/>
              </w:rPr>
              <w:t>(当日交易额-过去20天均值)/标准差</w:t>
            </w:r>
          </w:p>
        </w:tc>
        <w:tc>
          <w:tcPr>
            <w:tcW w:w="3760" w:type="dxa"/>
            <w:tcBorders>
              <w:top w:val="single" w:sz="1" w:space="0" w:color="CBD5E0"/>
              <w:left w:val="single" w:sz="1" w:space="0" w:color="CBD5E0"/>
              <w:bottom w:val="single" w:sz="1" w:space="0" w:color="CBD5E0"/>
              <w:right w:val="single" w:sz="1" w:space="0" w:color="CBD5E0"/>
            </w:tcBorders>
            <w:vAlign w:val="center"/>
          </w:tcPr>
          <w:p w14:paraId="3E5F28CA" w14:textId="77777777" w:rsidR="00D96F31" w:rsidRDefault="00000000">
            <w:r>
              <w:rPr>
                <w:sz w:val="18"/>
                <w:szCs w:val="18"/>
              </w:rPr>
              <w:t>资金热度（过热卖出）</w:t>
            </w:r>
          </w:p>
        </w:tc>
      </w:tr>
      <w:tr w:rsidR="00D96F31" w14:paraId="66EEF5C5" w14:textId="77777777">
        <w:tc>
          <w:tcPr>
            <w:tcW w:w="1400" w:type="dxa"/>
            <w:tcBorders>
              <w:top w:val="single" w:sz="1" w:space="0" w:color="CBD5E0"/>
              <w:left w:val="single" w:sz="1" w:space="0" w:color="CBD5E0"/>
              <w:bottom w:val="single" w:sz="1" w:space="0" w:color="CBD5E0"/>
              <w:right w:val="single" w:sz="1" w:space="0" w:color="CBD5E0"/>
            </w:tcBorders>
            <w:vAlign w:val="center"/>
          </w:tcPr>
          <w:p w14:paraId="739D7019" w14:textId="77777777" w:rsidR="00D96F31" w:rsidRDefault="00000000">
            <w:pPr>
              <w:jc w:val="center"/>
            </w:pPr>
            <w:r>
              <w:rPr>
                <w:rFonts w:ascii="Times New Roman" w:eastAsia="Times New Roman" w:hAnsi="Times New Roman" w:cs="Times New Roman"/>
                <w:sz w:val="18"/>
                <w:szCs w:val="18"/>
              </w:rPr>
              <w:t>etf_turnover</w:t>
            </w:r>
          </w:p>
        </w:tc>
        <w:tc>
          <w:tcPr>
            <w:tcW w:w="1400" w:type="dxa"/>
            <w:tcBorders>
              <w:top w:val="single" w:sz="1" w:space="0" w:color="CBD5E0"/>
              <w:left w:val="single" w:sz="1" w:space="0" w:color="CBD5E0"/>
              <w:bottom w:val="single" w:sz="1" w:space="0" w:color="CBD5E0"/>
              <w:right w:val="single" w:sz="1" w:space="0" w:color="CBD5E0"/>
            </w:tcBorders>
            <w:vAlign w:val="center"/>
          </w:tcPr>
          <w:p w14:paraId="79E261F2" w14:textId="77777777" w:rsidR="00D96F31" w:rsidRDefault="00000000">
            <w:pPr>
              <w:jc w:val="center"/>
            </w:pPr>
            <w:r>
              <w:rPr>
                <w:sz w:val="18"/>
                <w:szCs w:val="18"/>
              </w:rPr>
              <w:t>Float (%)</w:t>
            </w:r>
          </w:p>
        </w:tc>
        <w:tc>
          <w:tcPr>
            <w:tcW w:w="2800" w:type="dxa"/>
            <w:tcBorders>
              <w:top w:val="single" w:sz="1" w:space="0" w:color="CBD5E0"/>
              <w:left w:val="single" w:sz="1" w:space="0" w:color="CBD5E0"/>
              <w:bottom w:val="single" w:sz="1" w:space="0" w:color="CBD5E0"/>
              <w:right w:val="single" w:sz="1" w:space="0" w:color="CBD5E0"/>
            </w:tcBorders>
            <w:vAlign w:val="center"/>
          </w:tcPr>
          <w:p w14:paraId="7CD46C48" w14:textId="77777777" w:rsidR="00D96F31" w:rsidRDefault="00000000">
            <w:r>
              <w:rPr>
                <w:sz w:val="18"/>
                <w:szCs w:val="18"/>
              </w:rPr>
              <w:t>(ETF_Vol / ETF_Share)</w:t>
            </w:r>
          </w:p>
        </w:tc>
        <w:tc>
          <w:tcPr>
            <w:tcW w:w="3760" w:type="dxa"/>
            <w:tcBorders>
              <w:top w:val="single" w:sz="1" w:space="0" w:color="CBD5E0"/>
              <w:left w:val="single" w:sz="1" w:space="0" w:color="CBD5E0"/>
              <w:bottom w:val="single" w:sz="1" w:space="0" w:color="CBD5E0"/>
              <w:right w:val="single" w:sz="1" w:space="0" w:color="CBD5E0"/>
            </w:tcBorders>
            <w:vAlign w:val="center"/>
          </w:tcPr>
          <w:p w14:paraId="7C4B1198" w14:textId="77777777" w:rsidR="00D96F31" w:rsidRDefault="00000000">
            <w:r>
              <w:rPr>
                <w:sz w:val="18"/>
                <w:szCs w:val="18"/>
              </w:rPr>
              <w:t>首阴低吸过滤器 (&gt;1.0%)</w:t>
            </w:r>
          </w:p>
        </w:tc>
      </w:tr>
    </w:tbl>
    <w:p w14:paraId="785762A6" w14:textId="77777777" w:rsidR="00D96F31" w:rsidRDefault="00000000">
      <w:pPr>
        <w:spacing w:before="100"/>
        <w:jc w:val="center"/>
      </w:pPr>
      <w:r>
        <w:rPr>
          <w:color w:val="4A5568"/>
          <w:sz w:val="20"/>
          <w:szCs w:val="20"/>
        </w:rPr>
        <w:t>表 1：字段定义汇总（14 字段）</w:t>
      </w:r>
    </w:p>
    <w:p w14:paraId="4B708393" w14:textId="77777777" w:rsidR="00D96F31" w:rsidRDefault="00000000">
      <w:pPr>
        <w:pStyle w:val="2"/>
      </w:pPr>
      <w:bookmarkStart w:id="3" w:name="_Toc222617840"/>
      <w:r>
        <w:t>2.1 换手率计算说明</w:t>
      </w:r>
      <w:bookmarkEnd w:id="3"/>
    </w:p>
    <w:p w14:paraId="36746F40" w14:textId="77777777" w:rsidR="00D96F31" w:rsidRDefault="00000000">
      <w:pPr>
        <w:spacing w:line="312" w:lineRule="auto"/>
        <w:ind w:firstLine="480"/>
      </w:pPr>
      <w:r>
        <w:lastRenderedPageBreak/>
        <w:t>换手率（%）= (成交量 vol / 基金流通额 fd_share) × 100%。总份额在 fund_share 接口的 fd_share 字段中获取。</w:t>
      </w:r>
    </w:p>
    <w:p w14:paraId="2BDCC3B7" w14:textId="77777777" w:rsidR="00D96F31" w:rsidRDefault="00000000">
      <w:pPr>
        <w:spacing w:line="312" w:lineRule="auto"/>
        <w:ind w:firstLine="480"/>
      </w:pPr>
      <w:r>
        <w:rPr>
          <w:i/>
          <w:iCs/>
        </w:rPr>
        <w:t>重要提示：行情软件计算换手率时使用前一个交易日（T-1）的总份额作为分母，因为份额变动是在盘后公布。因此在计算时需要先将 fd_share 前向填充，再 shift(1) 作为分母。</w:t>
      </w:r>
    </w:p>
    <w:p w14:paraId="4F4D18AC" w14:textId="77777777" w:rsidR="00D96F31" w:rsidRDefault="00000000">
      <w:pPr>
        <w:pStyle w:val="1"/>
      </w:pPr>
      <w:bookmarkStart w:id="4" w:name="_Toc222617841"/>
      <w:r>
        <w:t>三、设计优点</w:t>
      </w:r>
      <w:bookmarkEnd w:id="4"/>
    </w:p>
    <w:p w14:paraId="5BB86C7A" w14:textId="77777777" w:rsidR="00D96F31" w:rsidRDefault="00000000">
      <w:pPr>
        <w:spacing w:line="312" w:lineRule="auto"/>
        <w:ind w:firstLine="480"/>
      </w:pPr>
      <w:r>
        <w:t>宽表设计方案具有以下三大核心优势：</w:t>
      </w:r>
    </w:p>
    <w:p w14:paraId="4D267709" w14:textId="77777777" w:rsidR="00D96F31" w:rsidRDefault="00000000">
      <w:pPr>
        <w:pStyle w:val="2"/>
      </w:pPr>
      <w:bookmarkStart w:id="5" w:name="_Toc222617842"/>
      <w:r>
        <w:t>3.1 易于回测</w:t>
      </w:r>
      <w:bookmarkEnd w:id="5"/>
    </w:p>
    <w:p w14:paraId="57B171A1" w14:textId="77777777" w:rsidR="00D96F31" w:rsidRDefault="00000000">
      <w:pPr>
        <w:spacing w:line="312" w:lineRule="auto"/>
        <w:ind w:firstLine="480"/>
      </w:pPr>
      <w:r>
        <w:t>可以直接将这张表提供给回测引擎（如 Backtrader 或简单的 Pandas 循环），一行行遍历即可，无需关心数据对齐问题。所有字段已经按照交易日对齐，避免了多表关联带来的复杂性和潜在错误。这种设计大大简化了回测代码的编写，使策略开发者能够专注于交易逻辑本身。</w:t>
      </w:r>
    </w:p>
    <w:p w14:paraId="4D6113C4" w14:textId="77777777" w:rsidR="00D96F31" w:rsidRDefault="00000000">
      <w:pPr>
        <w:pStyle w:val="2"/>
      </w:pPr>
      <w:bookmarkStart w:id="6" w:name="_Toc222617843"/>
      <w:r>
        <w:t>3.2 高性能</w:t>
      </w:r>
      <w:bookmarkEnd w:id="6"/>
    </w:p>
    <w:p w14:paraId="20401DB9" w14:textId="77777777" w:rsidR="00D96F31" w:rsidRDefault="00000000">
      <w:pPr>
        <w:spacing w:line="312" w:lineRule="auto"/>
        <w:ind w:firstLine="480"/>
      </w:pPr>
      <w:r>
        <w:t>预先计算好 MA（均线）和 Heat_Z（热度）等指标并存储，运行时直接读取，避免每次运行策略都重复计算，显著提升回测速度。对于需要频繁运行的参数优化和敏感性分析场景，这种预计算设计能够节省大量计算时间，提高研发效率。</w:t>
      </w:r>
    </w:p>
    <w:p w14:paraId="56C0FBAD" w14:textId="77777777" w:rsidR="00D96F31" w:rsidRDefault="00000000">
      <w:pPr>
        <w:pStyle w:val="2"/>
      </w:pPr>
      <w:bookmarkStart w:id="7" w:name="_Toc222617844"/>
      <w:r>
        <w:t>3.3 清晰可读</w:t>
      </w:r>
      <w:bookmarkEnd w:id="7"/>
    </w:p>
    <w:p w14:paraId="448401E6" w14:textId="77777777" w:rsidR="00D96F31" w:rsidRDefault="00000000">
      <w:pPr>
        <w:spacing w:line="312" w:lineRule="auto"/>
        <w:ind w:firstLine="480"/>
      </w:pPr>
      <w:r>
        <w:t>打开 CSV 一眼就能看到每一天的所有状态：指数多少点？情绪多少分？资金热不热？非常直观。这种设计便于数据检查和问题排查，当策略出现异常时，可以快速定位到具体日期的数据进行验证。同时，清晰的数据结构也有利于团队协作和知识传承。</w:t>
      </w:r>
    </w:p>
    <w:p w14:paraId="1749BD88" w14:textId="77777777" w:rsidR="00D96F31" w:rsidRDefault="00000000">
      <w:pPr>
        <w:pStyle w:val="1"/>
      </w:pPr>
      <w:bookmarkStart w:id="8" w:name="_Toc222617845"/>
      <w:r>
        <w:t>四、实施步骤</w:t>
      </w:r>
      <w:bookmarkEnd w:id="8"/>
    </w:p>
    <w:p w14:paraId="02F8D03E" w14:textId="77777777" w:rsidR="00D96F31" w:rsidRDefault="00000000">
      <w:pPr>
        <w:spacing w:line="312" w:lineRule="auto"/>
        <w:ind w:firstLine="480"/>
      </w:pPr>
      <w:r>
        <w:t>数据表的构建分为三个主要步骤，每个步骤由独立的模块负责：</w:t>
      </w:r>
    </w:p>
    <w:p w14:paraId="1E599917" w14:textId="77777777" w:rsidR="00D96F31" w:rsidRDefault="00000000">
      <w:pPr>
        <w:pStyle w:val="2"/>
      </w:pPr>
      <w:bookmarkStart w:id="9" w:name="_Toc222617846"/>
      <w:r>
        <w:t>4.1 Data Fetcher（数据获取模块）</w:t>
      </w:r>
      <w:bookmarkEnd w:id="9"/>
    </w:p>
    <w:p w14:paraId="6E52D488" w14:textId="77777777" w:rsidR="00D96F31" w:rsidRDefault="00000000">
      <w:pPr>
        <w:spacing w:line="312" w:lineRule="auto"/>
        <w:ind w:firstLine="480"/>
      </w:pPr>
      <w:r>
        <w:t>编写一个脚本，分别拉取指数、ETF、成分股数据。该模块负责与 Tushare Pro API 交互，获取原始数据并存储到本地。主要数据源包括：</w:t>
      </w:r>
    </w:p>
    <w:p w14:paraId="7AB059B1" w14:textId="77777777" w:rsidR="00D96F31" w:rsidRDefault="00000000">
      <w:pPr>
        <w:pStyle w:val="a4"/>
        <w:numPr>
          <w:ilvl w:val="0"/>
          <w:numId w:val="2"/>
        </w:numPr>
        <w:spacing w:line="312" w:lineRule="auto"/>
      </w:pPr>
      <w:r>
        <w:t>中证 500 指数日线行情（index_daily 接口）</w:t>
      </w:r>
    </w:p>
    <w:p w14:paraId="5A6DD7E8" w14:textId="77777777" w:rsidR="00D96F31" w:rsidRDefault="00000000">
      <w:pPr>
        <w:pStyle w:val="a4"/>
        <w:numPr>
          <w:ilvl w:val="0"/>
          <w:numId w:val="2"/>
        </w:numPr>
        <w:spacing w:line="312" w:lineRule="auto"/>
      </w:pPr>
      <w:r>
        <w:lastRenderedPageBreak/>
        <w:t>中证 500ETF 日线行情（fund_daily 接口）</w:t>
      </w:r>
    </w:p>
    <w:p w14:paraId="4300BBD1" w14:textId="77777777" w:rsidR="00D96F31" w:rsidRDefault="00000000">
      <w:pPr>
        <w:pStyle w:val="a4"/>
        <w:numPr>
          <w:ilvl w:val="0"/>
          <w:numId w:val="2"/>
        </w:numPr>
        <w:spacing w:line="312" w:lineRule="auto"/>
      </w:pPr>
      <w:r>
        <w:t>成分股列表和个股日线行情（index_weight + daily 接口）</w:t>
      </w:r>
    </w:p>
    <w:p w14:paraId="0E322748" w14:textId="77777777" w:rsidR="00D96F31" w:rsidRDefault="00000000">
      <w:pPr>
        <w:pStyle w:val="2"/>
      </w:pPr>
      <w:bookmarkStart w:id="10" w:name="_Toc222617847"/>
      <w:r>
        <w:t>4.2 Data Processor（数据处理模块）</w:t>
      </w:r>
      <w:bookmarkEnd w:id="10"/>
    </w:p>
    <w:p w14:paraId="3519AD47" w14:textId="77777777" w:rsidR="00D96F31" w:rsidRDefault="00000000">
      <w:pPr>
        <w:spacing w:line="312" w:lineRule="auto"/>
        <w:ind w:firstLine="480"/>
      </w:pPr>
      <w:r>
        <w:t>该模块负责计算各类衍生指标，包括：</w:t>
      </w:r>
    </w:p>
    <w:p w14:paraId="35195882" w14:textId="77777777" w:rsidR="00D96F31" w:rsidRDefault="00000000">
      <w:pPr>
        <w:pStyle w:val="a4"/>
        <w:numPr>
          <w:ilvl w:val="0"/>
          <w:numId w:val="3"/>
        </w:numPr>
        <w:spacing w:line="312" w:lineRule="auto"/>
      </w:pPr>
      <w:r>
        <w:rPr>
          <w:b/>
          <w:bCs/>
        </w:rPr>
        <w:t>计算 breadth（广度）：</w:t>
      </w:r>
      <w:r>
        <w:t>统计每日成分股中收盘价站上 MA20 的股票占比；</w:t>
      </w:r>
    </w:p>
    <w:p w14:paraId="2865334B" w14:textId="77777777" w:rsidR="00D96F31" w:rsidRDefault="00000000">
      <w:pPr>
        <w:pStyle w:val="a4"/>
        <w:numPr>
          <w:ilvl w:val="0"/>
          <w:numId w:val="3"/>
        </w:numPr>
        <w:spacing w:line="312" w:lineRule="auto"/>
      </w:pPr>
      <w:r>
        <w:rPr>
          <w:b/>
          <w:bCs/>
        </w:rPr>
        <w:t>计算 etf_turnover（换手率）：</w:t>
      </w:r>
      <w:r>
        <w:t>使用 T-1 份额作为分母计算换手率；</w:t>
      </w:r>
    </w:p>
    <w:p w14:paraId="4D6D8356" w14:textId="77777777" w:rsidR="00D96F31" w:rsidRDefault="00000000">
      <w:pPr>
        <w:pStyle w:val="a4"/>
        <w:numPr>
          <w:ilvl w:val="0"/>
          <w:numId w:val="3"/>
        </w:numPr>
        <w:spacing w:line="312" w:lineRule="auto"/>
      </w:pPr>
      <w:r>
        <w:rPr>
          <w:b/>
          <w:bCs/>
        </w:rPr>
        <w:t>计算 ma_x（均线）和 heat_z（热度）：</w:t>
      </w:r>
      <w:r>
        <w:t>基于收盘价计算移动平均线，基于成交额计算 Z-Score。</w:t>
      </w:r>
    </w:p>
    <w:p w14:paraId="7D5451D4" w14:textId="77777777" w:rsidR="00D96F31" w:rsidRDefault="00000000">
      <w:pPr>
        <w:pStyle w:val="2"/>
      </w:pPr>
      <w:bookmarkStart w:id="11" w:name="_Toc222617848"/>
      <w:r>
        <w:t>4.3 Data Merger（数据合并模块）</w:t>
      </w:r>
      <w:bookmarkEnd w:id="11"/>
    </w:p>
    <w:p w14:paraId="26D43F2F" w14:textId="77777777" w:rsidR="00D96F31" w:rsidRDefault="00000000">
      <w:pPr>
        <w:spacing w:line="312" w:lineRule="auto"/>
        <w:ind w:firstLine="480"/>
      </w:pPr>
      <w:r>
        <w:t>将上述所有结果按 trade_date 合并，生成唯一的 strategy_data.csv。该模块确保所有数据按照交易日正确对齐，处理可能存在的数据缺失情况，并输出最终的宽表文件。合并过程中需要注意数据的完整性和一致性校验。</w:t>
      </w:r>
    </w:p>
    <w:p w14:paraId="3788A9A5" w14:textId="77777777" w:rsidR="00D96F31" w:rsidRDefault="00000000">
      <w:pPr>
        <w:pStyle w:val="1"/>
      </w:pPr>
      <w:bookmarkStart w:id="12" w:name="_Toc222617849"/>
      <w:r>
        <w:t>五、数据流程总结</w:t>
      </w:r>
      <w:bookmarkEnd w:id="12"/>
    </w:p>
    <w:p w14:paraId="10E0E1EE" w14:textId="77777777" w:rsidR="00D96F31" w:rsidRDefault="00000000">
      <w:pPr>
        <w:spacing w:line="312" w:lineRule="auto"/>
        <w:ind w:firstLine="480"/>
      </w:pPr>
      <w:r>
        <w:t>整体数据流程如下：</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80" w:type="dxa"/>
          <w:bottom w:w="100" w:type="dxa"/>
          <w:right w:w="180" w:type="dxa"/>
        </w:tblCellMar>
        <w:tblLook w:val="0000" w:firstRow="0" w:lastRow="0" w:firstColumn="0" w:lastColumn="0" w:noHBand="0" w:noVBand="0"/>
      </w:tblPr>
      <w:tblGrid>
        <w:gridCol w:w="1452"/>
        <w:gridCol w:w="2885"/>
        <w:gridCol w:w="4687"/>
      </w:tblGrid>
      <w:tr w:rsidR="00D96F31" w14:paraId="43774A6F" w14:textId="77777777">
        <w:trPr>
          <w:tblHeader/>
        </w:trPr>
        <w:tc>
          <w:tcPr>
            <w:tcW w:w="1500" w:type="dxa"/>
            <w:tcBorders>
              <w:top w:val="single" w:sz="1" w:space="0" w:color="CBD5E0"/>
              <w:left w:val="single" w:sz="1" w:space="0" w:color="CBD5E0"/>
              <w:bottom w:val="single" w:sz="1" w:space="0" w:color="CBD5E0"/>
              <w:right w:val="single" w:sz="1" w:space="0" w:color="CBD5E0"/>
            </w:tcBorders>
            <w:shd w:val="clear" w:color="auto" w:fill="EDF2F7"/>
            <w:vAlign w:val="center"/>
          </w:tcPr>
          <w:p w14:paraId="1E4829C6" w14:textId="77777777" w:rsidR="00D96F31" w:rsidRDefault="00000000">
            <w:pPr>
              <w:jc w:val="center"/>
            </w:pPr>
            <w:r>
              <w:rPr>
                <w:rFonts w:ascii="黑体" w:eastAsia="黑体" w:hAnsi="黑体" w:cs="黑体"/>
                <w:b/>
                <w:bCs/>
                <w:sz w:val="20"/>
                <w:szCs w:val="20"/>
              </w:rPr>
              <w:t>步骤</w:t>
            </w:r>
          </w:p>
        </w:tc>
        <w:tc>
          <w:tcPr>
            <w:tcW w:w="3000" w:type="dxa"/>
            <w:tcBorders>
              <w:top w:val="single" w:sz="1" w:space="0" w:color="CBD5E0"/>
              <w:left w:val="single" w:sz="1" w:space="0" w:color="CBD5E0"/>
              <w:bottom w:val="single" w:sz="1" w:space="0" w:color="CBD5E0"/>
              <w:right w:val="single" w:sz="1" w:space="0" w:color="CBD5E0"/>
            </w:tcBorders>
            <w:shd w:val="clear" w:color="auto" w:fill="EDF2F7"/>
            <w:vAlign w:val="center"/>
          </w:tcPr>
          <w:p w14:paraId="51776141" w14:textId="77777777" w:rsidR="00D96F31" w:rsidRDefault="00000000">
            <w:pPr>
              <w:jc w:val="center"/>
            </w:pPr>
            <w:r>
              <w:rPr>
                <w:rFonts w:ascii="黑体" w:eastAsia="黑体" w:hAnsi="黑体" w:cs="黑体"/>
                <w:b/>
                <w:bCs/>
                <w:sz w:val="20"/>
                <w:szCs w:val="20"/>
              </w:rPr>
              <w:t>模块</w:t>
            </w:r>
          </w:p>
        </w:tc>
        <w:tc>
          <w:tcPr>
            <w:tcW w:w="4860" w:type="dxa"/>
            <w:tcBorders>
              <w:top w:val="single" w:sz="1" w:space="0" w:color="CBD5E0"/>
              <w:left w:val="single" w:sz="1" w:space="0" w:color="CBD5E0"/>
              <w:bottom w:val="single" w:sz="1" w:space="0" w:color="CBD5E0"/>
              <w:right w:val="single" w:sz="1" w:space="0" w:color="CBD5E0"/>
            </w:tcBorders>
            <w:shd w:val="clear" w:color="auto" w:fill="EDF2F7"/>
            <w:vAlign w:val="center"/>
          </w:tcPr>
          <w:p w14:paraId="6BDAC9A9" w14:textId="77777777" w:rsidR="00D96F31" w:rsidRDefault="00000000">
            <w:pPr>
              <w:jc w:val="center"/>
            </w:pPr>
            <w:r>
              <w:rPr>
                <w:rFonts w:ascii="黑体" w:eastAsia="黑体" w:hAnsi="黑体" w:cs="黑体"/>
                <w:b/>
                <w:bCs/>
                <w:sz w:val="20"/>
                <w:szCs w:val="20"/>
              </w:rPr>
              <w:t>主要任务</w:t>
            </w:r>
          </w:p>
        </w:tc>
      </w:tr>
      <w:tr w:rsidR="00D96F31" w14:paraId="12E2D247" w14:textId="77777777">
        <w:tc>
          <w:tcPr>
            <w:tcW w:w="1500" w:type="dxa"/>
            <w:tcBorders>
              <w:top w:val="single" w:sz="1" w:space="0" w:color="CBD5E0"/>
              <w:left w:val="single" w:sz="1" w:space="0" w:color="CBD5E0"/>
              <w:bottom w:val="single" w:sz="1" w:space="0" w:color="CBD5E0"/>
              <w:right w:val="single" w:sz="1" w:space="0" w:color="CBD5E0"/>
            </w:tcBorders>
            <w:vAlign w:val="center"/>
          </w:tcPr>
          <w:p w14:paraId="526F6FD8" w14:textId="77777777" w:rsidR="00D96F31" w:rsidRDefault="00000000">
            <w:pPr>
              <w:jc w:val="center"/>
            </w:pPr>
            <w:r>
              <w:rPr>
                <w:rFonts w:ascii="Times New Roman" w:eastAsia="Times New Roman" w:hAnsi="Times New Roman" w:cs="Times New Roman"/>
                <w:sz w:val="20"/>
                <w:szCs w:val="20"/>
              </w:rPr>
              <w:t>Step 1</w:t>
            </w:r>
          </w:p>
        </w:tc>
        <w:tc>
          <w:tcPr>
            <w:tcW w:w="3000" w:type="dxa"/>
            <w:tcBorders>
              <w:top w:val="single" w:sz="1" w:space="0" w:color="CBD5E0"/>
              <w:left w:val="single" w:sz="1" w:space="0" w:color="CBD5E0"/>
              <w:bottom w:val="single" w:sz="1" w:space="0" w:color="CBD5E0"/>
              <w:right w:val="single" w:sz="1" w:space="0" w:color="CBD5E0"/>
            </w:tcBorders>
            <w:vAlign w:val="center"/>
          </w:tcPr>
          <w:p w14:paraId="1822A469" w14:textId="77777777" w:rsidR="00D96F31" w:rsidRDefault="00000000">
            <w:pPr>
              <w:jc w:val="center"/>
            </w:pPr>
            <w:r>
              <w:rPr>
                <w:rFonts w:ascii="Times New Roman" w:eastAsia="Times New Roman" w:hAnsi="Times New Roman" w:cs="Times New Roman"/>
                <w:sz w:val="20"/>
                <w:szCs w:val="20"/>
              </w:rPr>
              <w:t>Data Fetcher</w:t>
            </w:r>
          </w:p>
        </w:tc>
        <w:tc>
          <w:tcPr>
            <w:tcW w:w="4860" w:type="dxa"/>
            <w:tcBorders>
              <w:top w:val="single" w:sz="1" w:space="0" w:color="CBD5E0"/>
              <w:left w:val="single" w:sz="1" w:space="0" w:color="CBD5E0"/>
              <w:bottom w:val="single" w:sz="1" w:space="0" w:color="CBD5E0"/>
              <w:right w:val="single" w:sz="1" w:space="0" w:color="CBD5E0"/>
            </w:tcBorders>
            <w:vAlign w:val="center"/>
          </w:tcPr>
          <w:p w14:paraId="040A1C0D" w14:textId="77777777" w:rsidR="00D96F31" w:rsidRDefault="00000000">
            <w:r>
              <w:rPr>
                <w:sz w:val="20"/>
                <w:szCs w:val="20"/>
              </w:rPr>
              <w:t>拉取指数、ETF、成分股原始数据</w:t>
            </w:r>
          </w:p>
        </w:tc>
      </w:tr>
      <w:tr w:rsidR="00D96F31" w14:paraId="7C9546B3" w14:textId="77777777">
        <w:tc>
          <w:tcPr>
            <w:tcW w:w="1500" w:type="dxa"/>
            <w:tcBorders>
              <w:top w:val="single" w:sz="1" w:space="0" w:color="CBD5E0"/>
              <w:left w:val="single" w:sz="1" w:space="0" w:color="CBD5E0"/>
              <w:bottom w:val="single" w:sz="1" w:space="0" w:color="CBD5E0"/>
              <w:right w:val="single" w:sz="1" w:space="0" w:color="CBD5E0"/>
            </w:tcBorders>
            <w:vAlign w:val="center"/>
          </w:tcPr>
          <w:p w14:paraId="22A9A012" w14:textId="77777777" w:rsidR="00D96F31" w:rsidRDefault="00000000">
            <w:pPr>
              <w:jc w:val="center"/>
            </w:pPr>
            <w:r>
              <w:rPr>
                <w:rFonts w:ascii="Times New Roman" w:eastAsia="Times New Roman" w:hAnsi="Times New Roman" w:cs="Times New Roman"/>
                <w:sz w:val="20"/>
                <w:szCs w:val="20"/>
              </w:rPr>
              <w:t>Step 2</w:t>
            </w:r>
          </w:p>
        </w:tc>
        <w:tc>
          <w:tcPr>
            <w:tcW w:w="3000" w:type="dxa"/>
            <w:tcBorders>
              <w:top w:val="single" w:sz="1" w:space="0" w:color="CBD5E0"/>
              <w:left w:val="single" w:sz="1" w:space="0" w:color="CBD5E0"/>
              <w:bottom w:val="single" w:sz="1" w:space="0" w:color="CBD5E0"/>
              <w:right w:val="single" w:sz="1" w:space="0" w:color="CBD5E0"/>
            </w:tcBorders>
            <w:vAlign w:val="center"/>
          </w:tcPr>
          <w:p w14:paraId="606EA7CE" w14:textId="77777777" w:rsidR="00D96F31" w:rsidRDefault="00000000">
            <w:pPr>
              <w:jc w:val="center"/>
            </w:pPr>
            <w:r>
              <w:rPr>
                <w:rFonts w:ascii="Times New Roman" w:eastAsia="Times New Roman" w:hAnsi="Times New Roman" w:cs="Times New Roman"/>
                <w:sz w:val="20"/>
                <w:szCs w:val="20"/>
              </w:rPr>
              <w:t>Data Processor</w:t>
            </w:r>
          </w:p>
        </w:tc>
        <w:tc>
          <w:tcPr>
            <w:tcW w:w="4860" w:type="dxa"/>
            <w:tcBorders>
              <w:top w:val="single" w:sz="1" w:space="0" w:color="CBD5E0"/>
              <w:left w:val="single" w:sz="1" w:space="0" w:color="CBD5E0"/>
              <w:bottom w:val="single" w:sz="1" w:space="0" w:color="CBD5E0"/>
              <w:right w:val="single" w:sz="1" w:space="0" w:color="CBD5E0"/>
            </w:tcBorders>
            <w:vAlign w:val="center"/>
          </w:tcPr>
          <w:p w14:paraId="10287ECD" w14:textId="77777777" w:rsidR="00D96F31" w:rsidRDefault="00000000">
            <w:r>
              <w:rPr>
                <w:sz w:val="20"/>
                <w:szCs w:val="20"/>
              </w:rPr>
              <w:t>计算 breadth、etf_turnover、ma_x、heat_z</w:t>
            </w:r>
          </w:p>
        </w:tc>
      </w:tr>
      <w:tr w:rsidR="00D96F31" w14:paraId="776A4E2F" w14:textId="77777777">
        <w:tc>
          <w:tcPr>
            <w:tcW w:w="1500" w:type="dxa"/>
            <w:tcBorders>
              <w:top w:val="single" w:sz="1" w:space="0" w:color="CBD5E0"/>
              <w:left w:val="single" w:sz="1" w:space="0" w:color="CBD5E0"/>
              <w:bottom w:val="single" w:sz="1" w:space="0" w:color="CBD5E0"/>
              <w:right w:val="single" w:sz="1" w:space="0" w:color="CBD5E0"/>
            </w:tcBorders>
            <w:vAlign w:val="center"/>
          </w:tcPr>
          <w:p w14:paraId="05C64521" w14:textId="77777777" w:rsidR="00D96F31" w:rsidRDefault="00000000">
            <w:pPr>
              <w:jc w:val="center"/>
            </w:pPr>
            <w:r>
              <w:rPr>
                <w:rFonts w:ascii="Times New Roman" w:eastAsia="Times New Roman" w:hAnsi="Times New Roman" w:cs="Times New Roman"/>
                <w:sz w:val="20"/>
                <w:szCs w:val="20"/>
              </w:rPr>
              <w:t>Step 3</w:t>
            </w:r>
          </w:p>
        </w:tc>
        <w:tc>
          <w:tcPr>
            <w:tcW w:w="3000" w:type="dxa"/>
            <w:tcBorders>
              <w:top w:val="single" w:sz="1" w:space="0" w:color="CBD5E0"/>
              <w:left w:val="single" w:sz="1" w:space="0" w:color="CBD5E0"/>
              <w:bottom w:val="single" w:sz="1" w:space="0" w:color="CBD5E0"/>
              <w:right w:val="single" w:sz="1" w:space="0" w:color="CBD5E0"/>
            </w:tcBorders>
            <w:vAlign w:val="center"/>
          </w:tcPr>
          <w:p w14:paraId="2256BF75" w14:textId="77777777" w:rsidR="00D96F31" w:rsidRDefault="00000000">
            <w:pPr>
              <w:jc w:val="center"/>
            </w:pPr>
            <w:r>
              <w:rPr>
                <w:rFonts w:ascii="Times New Roman" w:eastAsia="Times New Roman" w:hAnsi="Times New Roman" w:cs="Times New Roman"/>
                <w:sz w:val="20"/>
                <w:szCs w:val="20"/>
              </w:rPr>
              <w:t>Data Merger</w:t>
            </w:r>
          </w:p>
        </w:tc>
        <w:tc>
          <w:tcPr>
            <w:tcW w:w="4860" w:type="dxa"/>
            <w:tcBorders>
              <w:top w:val="single" w:sz="1" w:space="0" w:color="CBD5E0"/>
              <w:left w:val="single" w:sz="1" w:space="0" w:color="CBD5E0"/>
              <w:bottom w:val="single" w:sz="1" w:space="0" w:color="CBD5E0"/>
              <w:right w:val="single" w:sz="1" w:space="0" w:color="CBD5E0"/>
            </w:tcBorders>
            <w:vAlign w:val="center"/>
          </w:tcPr>
          <w:p w14:paraId="74FBB561" w14:textId="77777777" w:rsidR="00D96F31" w:rsidRDefault="00000000">
            <w:r>
              <w:rPr>
                <w:sz w:val="20"/>
                <w:szCs w:val="20"/>
              </w:rPr>
              <w:t>按 trade_date 合并，生成 strategy_data.csv</w:t>
            </w:r>
          </w:p>
        </w:tc>
      </w:tr>
    </w:tbl>
    <w:p w14:paraId="44465C55" w14:textId="77777777" w:rsidR="00D96F31" w:rsidRDefault="00000000">
      <w:pPr>
        <w:spacing w:before="100"/>
        <w:jc w:val="center"/>
      </w:pPr>
      <w:r>
        <w:rPr>
          <w:color w:val="4A5568"/>
          <w:sz w:val="20"/>
          <w:szCs w:val="20"/>
        </w:rPr>
        <w:t>表 2：数据流程总结</w:t>
      </w:r>
    </w:p>
    <w:p w14:paraId="5A50FB13" w14:textId="77777777" w:rsidR="00D96F31" w:rsidRDefault="00000000">
      <w:pPr>
        <w:pStyle w:val="1"/>
      </w:pPr>
      <w:bookmarkStart w:id="13" w:name="_Toc222617850"/>
      <w:r>
        <w:t>六、字段分类汇总</w:t>
      </w:r>
      <w:bookmarkEnd w:id="13"/>
    </w:p>
    <w:p w14:paraId="6FBCEBB4" w14:textId="77777777" w:rsidR="00D96F31" w:rsidRDefault="00000000">
      <w:pPr>
        <w:spacing w:line="312" w:lineRule="auto"/>
        <w:ind w:firstLine="480"/>
      </w:pPr>
      <w:r>
        <w:t>根据用途，14 个字段可分为以下三类：</w:t>
      </w:r>
    </w:p>
    <w:p w14:paraId="3DAB567F" w14:textId="77777777" w:rsidR="00D96F31" w:rsidRDefault="00000000">
      <w:pPr>
        <w:pStyle w:val="2"/>
      </w:pPr>
      <w:bookmarkStart w:id="14" w:name="_Toc222617851"/>
      <w:r>
        <w:t>6.1 基础行情字段（7 个）</w:t>
      </w:r>
      <w:bookmarkEnd w:id="14"/>
    </w:p>
    <w:p w14:paraId="71221495" w14:textId="77777777" w:rsidR="00D96F31" w:rsidRDefault="00000000">
      <w:pPr>
        <w:spacing w:line="312" w:lineRule="auto"/>
        <w:ind w:firstLine="480"/>
      </w:pPr>
      <w:r>
        <w:t>trade_date、open、high、low、close、volume、amount。这些字段直接来源于 Tushare Pro 接口，记录 ETF 的每日交易数据，是后续所有计算的基础。</w:t>
      </w:r>
    </w:p>
    <w:p w14:paraId="437C9F26" w14:textId="77777777" w:rsidR="00D96F31" w:rsidRDefault="00000000">
      <w:pPr>
        <w:pStyle w:val="2"/>
      </w:pPr>
      <w:bookmarkStart w:id="15" w:name="_Toc222617852"/>
      <w:r>
        <w:t>6.2 技术指标字段（4 个）</w:t>
      </w:r>
      <w:bookmarkEnd w:id="15"/>
    </w:p>
    <w:p w14:paraId="1EF25AEF" w14:textId="77777777" w:rsidR="00D96F31" w:rsidRDefault="00000000">
      <w:pPr>
        <w:spacing w:line="312" w:lineRule="auto"/>
        <w:ind w:firstLine="480"/>
      </w:pPr>
      <w:r>
        <w:t>ma_5、ma_10、ma_20、ma_30。这些字段基于收盘价计算移动平均线，用于判断趋</w:t>
      </w:r>
      <w:r>
        <w:lastRenderedPageBreak/>
        <w:t>势方向、支撑阻力位和中期趋势。</w:t>
      </w:r>
    </w:p>
    <w:p w14:paraId="52974C67" w14:textId="77777777" w:rsidR="00D96F31" w:rsidRDefault="00000000">
      <w:pPr>
        <w:pStyle w:val="2"/>
      </w:pPr>
      <w:bookmarkStart w:id="16" w:name="_Toc222617853"/>
      <w:r>
        <w:t>6.3 策略指标字段（3 个）</w:t>
      </w:r>
      <w:bookmarkEnd w:id="16"/>
    </w:p>
    <w:p w14:paraId="115AF37F" w14:textId="77777777" w:rsidR="00D96F31" w:rsidRDefault="00000000">
      <w:pPr>
        <w:spacing w:line="312" w:lineRule="auto"/>
        <w:ind w:firstLine="480"/>
      </w:pPr>
      <w:r>
        <w:t>breadth、heat_z、etf_turnover。这些字段是策略核心信号的来源，分别反映市场情绪、资金热度和流动性状况，是买入和卖出信号的关键判断依据。</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80" w:type="dxa"/>
          <w:bottom w:w="100" w:type="dxa"/>
          <w:right w:w="180" w:type="dxa"/>
        </w:tblCellMar>
        <w:tblLook w:val="0000" w:firstRow="0" w:lastRow="0" w:firstColumn="0" w:lastColumn="0" w:noHBand="0" w:noVBand="0"/>
      </w:tblPr>
      <w:tblGrid>
        <w:gridCol w:w="1931"/>
        <w:gridCol w:w="3563"/>
        <w:gridCol w:w="3530"/>
      </w:tblGrid>
      <w:tr w:rsidR="00D96F31" w14:paraId="4266DFB1" w14:textId="77777777">
        <w:trPr>
          <w:tblHeader/>
        </w:trPr>
        <w:tc>
          <w:tcPr>
            <w:tcW w:w="2000" w:type="dxa"/>
            <w:tcBorders>
              <w:top w:val="single" w:sz="1" w:space="0" w:color="CBD5E0"/>
              <w:left w:val="single" w:sz="1" w:space="0" w:color="CBD5E0"/>
              <w:bottom w:val="single" w:sz="1" w:space="0" w:color="CBD5E0"/>
              <w:right w:val="single" w:sz="1" w:space="0" w:color="CBD5E0"/>
            </w:tcBorders>
            <w:shd w:val="clear" w:color="auto" w:fill="EDF2F7"/>
            <w:vAlign w:val="center"/>
          </w:tcPr>
          <w:p w14:paraId="693C0E13" w14:textId="77777777" w:rsidR="00D96F31" w:rsidRDefault="00000000">
            <w:pPr>
              <w:jc w:val="center"/>
            </w:pPr>
            <w:r>
              <w:rPr>
                <w:rFonts w:ascii="黑体" w:eastAsia="黑体" w:hAnsi="黑体" w:cs="黑体"/>
                <w:b/>
                <w:bCs/>
                <w:sz w:val="20"/>
                <w:szCs w:val="20"/>
              </w:rPr>
              <w:t>分类</w:t>
            </w:r>
          </w:p>
        </w:tc>
        <w:tc>
          <w:tcPr>
            <w:tcW w:w="3680" w:type="dxa"/>
            <w:tcBorders>
              <w:top w:val="single" w:sz="1" w:space="0" w:color="CBD5E0"/>
              <w:left w:val="single" w:sz="1" w:space="0" w:color="CBD5E0"/>
              <w:bottom w:val="single" w:sz="1" w:space="0" w:color="CBD5E0"/>
              <w:right w:val="single" w:sz="1" w:space="0" w:color="CBD5E0"/>
            </w:tcBorders>
            <w:shd w:val="clear" w:color="auto" w:fill="EDF2F7"/>
            <w:vAlign w:val="center"/>
          </w:tcPr>
          <w:p w14:paraId="3FF4DEEC" w14:textId="77777777" w:rsidR="00D96F31" w:rsidRDefault="00000000">
            <w:pPr>
              <w:jc w:val="center"/>
            </w:pPr>
            <w:r>
              <w:rPr>
                <w:rFonts w:ascii="黑体" w:eastAsia="黑体" w:hAnsi="黑体" w:cs="黑体"/>
                <w:b/>
                <w:bCs/>
                <w:sz w:val="20"/>
                <w:szCs w:val="20"/>
              </w:rPr>
              <w:t>字段列表</w:t>
            </w:r>
          </w:p>
        </w:tc>
        <w:tc>
          <w:tcPr>
            <w:tcW w:w="3680" w:type="dxa"/>
            <w:tcBorders>
              <w:top w:val="single" w:sz="1" w:space="0" w:color="CBD5E0"/>
              <w:left w:val="single" w:sz="1" w:space="0" w:color="CBD5E0"/>
              <w:bottom w:val="single" w:sz="1" w:space="0" w:color="CBD5E0"/>
              <w:right w:val="single" w:sz="1" w:space="0" w:color="CBD5E0"/>
            </w:tcBorders>
            <w:shd w:val="clear" w:color="auto" w:fill="EDF2F7"/>
            <w:vAlign w:val="center"/>
          </w:tcPr>
          <w:p w14:paraId="3018CC6B" w14:textId="77777777" w:rsidR="00D96F31" w:rsidRDefault="00000000">
            <w:pPr>
              <w:jc w:val="center"/>
            </w:pPr>
            <w:r>
              <w:rPr>
                <w:rFonts w:ascii="黑体" w:eastAsia="黑体" w:hAnsi="黑体" w:cs="黑体"/>
                <w:b/>
                <w:bCs/>
                <w:sz w:val="20"/>
                <w:szCs w:val="20"/>
              </w:rPr>
              <w:t>字段数量</w:t>
            </w:r>
          </w:p>
        </w:tc>
      </w:tr>
      <w:tr w:rsidR="00D96F31" w14:paraId="508C1064" w14:textId="77777777">
        <w:tc>
          <w:tcPr>
            <w:tcW w:w="2000" w:type="dxa"/>
            <w:tcBorders>
              <w:top w:val="single" w:sz="1" w:space="0" w:color="CBD5E0"/>
              <w:left w:val="single" w:sz="1" w:space="0" w:color="CBD5E0"/>
              <w:bottom w:val="single" w:sz="1" w:space="0" w:color="CBD5E0"/>
              <w:right w:val="single" w:sz="1" w:space="0" w:color="CBD5E0"/>
            </w:tcBorders>
            <w:vAlign w:val="center"/>
          </w:tcPr>
          <w:p w14:paraId="7FA05354" w14:textId="77777777" w:rsidR="00D96F31" w:rsidRDefault="00000000">
            <w:pPr>
              <w:jc w:val="center"/>
            </w:pPr>
            <w:r>
              <w:rPr>
                <w:sz w:val="20"/>
                <w:szCs w:val="20"/>
              </w:rPr>
              <w:t>基础行情字段</w:t>
            </w:r>
          </w:p>
        </w:tc>
        <w:tc>
          <w:tcPr>
            <w:tcW w:w="3680" w:type="dxa"/>
            <w:tcBorders>
              <w:top w:val="single" w:sz="1" w:space="0" w:color="CBD5E0"/>
              <w:left w:val="single" w:sz="1" w:space="0" w:color="CBD5E0"/>
              <w:bottom w:val="single" w:sz="1" w:space="0" w:color="CBD5E0"/>
              <w:right w:val="single" w:sz="1" w:space="0" w:color="CBD5E0"/>
            </w:tcBorders>
            <w:vAlign w:val="center"/>
          </w:tcPr>
          <w:p w14:paraId="44A9A90A" w14:textId="77777777" w:rsidR="00D96F31" w:rsidRDefault="00000000">
            <w:r>
              <w:rPr>
                <w:rFonts w:ascii="Times New Roman" w:eastAsia="Times New Roman" w:hAnsi="Times New Roman" w:cs="Times New Roman"/>
                <w:sz w:val="18"/>
                <w:szCs w:val="18"/>
              </w:rPr>
              <w:t>trade_date, open, high, low, close, volume, amount</w:t>
            </w:r>
          </w:p>
        </w:tc>
        <w:tc>
          <w:tcPr>
            <w:tcW w:w="3680" w:type="dxa"/>
            <w:tcBorders>
              <w:top w:val="single" w:sz="1" w:space="0" w:color="CBD5E0"/>
              <w:left w:val="single" w:sz="1" w:space="0" w:color="CBD5E0"/>
              <w:bottom w:val="single" w:sz="1" w:space="0" w:color="CBD5E0"/>
              <w:right w:val="single" w:sz="1" w:space="0" w:color="CBD5E0"/>
            </w:tcBorders>
            <w:vAlign w:val="center"/>
          </w:tcPr>
          <w:p w14:paraId="3BC6B149" w14:textId="77777777" w:rsidR="00D96F31" w:rsidRDefault="00000000">
            <w:pPr>
              <w:jc w:val="center"/>
            </w:pPr>
            <w:r>
              <w:rPr>
                <w:sz w:val="20"/>
                <w:szCs w:val="20"/>
              </w:rPr>
              <w:t>7 个</w:t>
            </w:r>
          </w:p>
        </w:tc>
      </w:tr>
      <w:tr w:rsidR="00D96F31" w14:paraId="112B277E" w14:textId="77777777">
        <w:tc>
          <w:tcPr>
            <w:tcW w:w="2000" w:type="dxa"/>
            <w:tcBorders>
              <w:top w:val="single" w:sz="1" w:space="0" w:color="CBD5E0"/>
              <w:left w:val="single" w:sz="1" w:space="0" w:color="CBD5E0"/>
              <w:bottom w:val="single" w:sz="1" w:space="0" w:color="CBD5E0"/>
              <w:right w:val="single" w:sz="1" w:space="0" w:color="CBD5E0"/>
            </w:tcBorders>
            <w:vAlign w:val="center"/>
          </w:tcPr>
          <w:p w14:paraId="285DA21F" w14:textId="77777777" w:rsidR="00D96F31" w:rsidRDefault="00000000">
            <w:pPr>
              <w:jc w:val="center"/>
            </w:pPr>
            <w:r>
              <w:rPr>
                <w:sz w:val="20"/>
                <w:szCs w:val="20"/>
              </w:rPr>
              <w:t>技术指标字段</w:t>
            </w:r>
          </w:p>
        </w:tc>
        <w:tc>
          <w:tcPr>
            <w:tcW w:w="3680" w:type="dxa"/>
            <w:tcBorders>
              <w:top w:val="single" w:sz="1" w:space="0" w:color="CBD5E0"/>
              <w:left w:val="single" w:sz="1" w:space="0" w:color="CBD5E0"/>
              <w:bottom w:val="single" w:sz="1" w:space="0" w:color="CBD5E0"/>
              <w:right w:val="single" w:sz="1" w:space="0" w:color="CBD5E0"/>
            </w:tcBorders>
            <w:vAlign w:val="center"/>
          </w:tcPr>
          <w:p w14:paraId="2B215847" w14:textId="77777777" w:rsidR="00D96F31" w:rsidRDefault="00000000">
            <w:r>
              <w:rPr>
                <w:rFonts w:ascii="Times New Roman" w:eastAsia="Times New Roman" w:hAnsi="Times New Roman" w:cs="Times New Roman"/>
                <w:sz w:val="18"/>
                <w:szCs w:val="18"/>
              </w:rPr>
              <w:t>ma_5, ma_10, ma_20, ma_30</w:t>
            </w:r>
          </w:p>
        </w:tc>
        <w:tc>
          <w:tcPr>
            <w:tcW w:w="3680" w:type="dxa"/>
            <w:tcBorders>
              <w:top w:val="single" w:sz="1" w:space="0" w:color="CBD5E0"/>
              <w:left w:val="single" w:sz="1" w:space="0" w:color="CBD5E0"/>
              <w:bottom w:val="single" w:sz="1" w:space="0" w:color="CBD5E0"/>
              <w:right w:val="single" w:sz="1" w:space="0" w:color="CBD5E0"/>
            </w:tcBorders>
            <w:vAlign w:val="center"/>
          </w:tcPr>
          <w:p w14:paraId="39446D8A" w14:textId="77777777" w:rsidR="00D96F31" w:rsidRDefault="00000000">
            <w:pPr>
              <w:jc w:val="center"/>
            </w:pPr>
            <w:r>
              <w:rPr>
                <w:sz w:val="20"/>
                <w:szCs w:val="20"/>
              </w:rPr>
              <w:t>4 个</w:t>
            </w:r>
          </w:p>
        </w:tc>
      </w:tr>
      <w:tr w:rsidR="00D96F31" w14:paraId="33179A16" w14:textId="77777777">
        <w:tc>
          <w:tcPr>
            <w:tcW w:w="2000" w:type="dxa"/>
            <w:tcBorders>
              <w:top w:val="single" w:sz="1" w:space="0" w:color="CBD5E0"/>
              <w:left w:val="single" w:sz="1" w:space="0" w:color="CBD5E0"/>
              <w:bottom w:val="single" w:sz="1" w:space="0" w:color="CBD5E0"/>
              <w:right w:val="single" w:sz="1" w:space="0" w:color="CBD5E0"/>
            </w:tcBorders>
            <w:vAlign w:val="center"/>
          </w:tcPr>
          <w:p w14:paraId="3F96D6E1" w14:textId="77777777" w:rsidR="00D96F31" w:rsidRDefault="00000000">
            <w:pPr>
              <w:jc w:val="center"/>
            </w:pPr>
            <w:r>
              <w:rPr>
                <w:sz w:val="20"/>
                <w:szCs w:val="20"/>
              </w:rPr>
              <w:t>策略指标字段</w:t>
            </w:r>
          </w:p>
        </w:tc>
        <w:tc>
          <w:tcPr>
            <w:tcW w:w="3680" w:type="dxa"/>
            <w:tcBorders>
              <w:top w:val="single" w:sz="1" w:space="0" w:color="CBD5E0"/>
              <w:left w:val="single" w:sz="1" w:space="0" w:color="CBD5E0"/>
              <w:bottom w:val="single" w:sz="1" w:space="0" w:color="CBD5E0"/>
              <w:right w:val="single" w:sz="1" w:space="0" w:color="CBD5E0"/>
            </w:tcBorders>
            <w:vAlign w:val="center"/>
          </w:tcPr>
          <w:p w14:paraId="18BE41DE" w14:textId="77777777" w:rsidR="00D96F31" w:rsidRDefault="00000000">
            <w:r>
              <w:rPr>
                <w:rFonts w:ascii="Times New Roman" w:eastAsia="Times New Roman" w:hAnsi="Times New Roman" w:cs="Times New Roman"/>
                <w:sz w:val="18"/>
                <w:szCs w:val="18"/>
              </w:rPr>
              <w:t>breadth, heat_z, etf_turnover</w:t>
            </w:r>
          </w:p>
        </w:tc>
        <w:tc>
          <w:tcPr>
            <w:tcW w:w="3680" w:type="dxa"/>
            <w:tcBorders>
              <w:top w:val="single" w:sz="1" w:space="0" w:color="CBD5E0"/>
              <w:left w:val="single" w:sz="1" w:space="0" w:color="CBD5E0"/>
              <w:bottom w:val="single" w:sz="1" w:space="0" w:color="CBD5E0"/>
              <w:right w:val="single" w:sz="1" w:space="0" w:color="CBD5E0"/>
            </w:tcBorders>
            <w:vAlign w:val="center"/>
          </w:tcPr>
          <w:p w14:paraId="55F1AA1A" w14:textId="77777777" w:rsidR="00D96F31" w:rsidRDefault="00000000">
            <w:pPr>
              <w:jc w:val="center"/>
            </w:pPr>
            <w:r>
              <w:rPr>
                <w:sz w:val="20"/>
                <w:szCs w:val="20"/>
              </w:rPr>
              <w:t>3 个</w:t>
            </w:r>
          </w:p>
        </w:tc>
      </w:tr>
    </w:tbl>
    <w:p w14:paraId="2B7F1463" w14:textId="77777777" w:rsidR="00D96F31" w:rsidRDefault="00000000">
      <w:pPr>
        <w:spacing w:before="100"/>
        <w:jc w:val="center"/>
      </w:pPr>
      <w:r>
        <w:rPr>
          <w:color w:val="4A5568"/>
          <w:sz w:val="20"/>
          <w:szCs w:val="20"/>
        </w:rPr>
        <w:t>表 3：字段分类汇总</w:t>
      </w:r>
    </w:p>
    <w:sectPr w:rsidR="00D96F31">
      <w:headerReference w:type="default" r:id="rId7"/>
      <w:footerReference w:type="default" r:id="rId8"/>
      <w:pgSz w:w="11906" w:h="16838"/>
      <w:pgMar w:top="180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2B3194" w14:textId="77777777" w:rsidR="005B7E9F" w:rsidRDefault="005B7E9F">
      <w:r>
        <w:separator/>
      </w:r>
    </w:p>
  </w:endnote>
  <w:endnote w:type="continuationSeparator" w:id="0">
    <w:p w14:paraId="20860374" w14:textId="77777777" w:rsidR="005B7E9F" w:rsidRDefault="005B7E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720158" w14:textId="77777777" w:rsidR="00D96F31" w:rsidRDefault="00000000">
    <w:pPr>
      <w:jc w:val="center"/>
    </w:pPr>
    <w:r>
      <w:rPr>
        <w:color w:val="4A5568"/>
        <w:sz w:val="20"/>
        <w:szCs w:val="20"/>
      </w:rPr>
      <w:t xml:space="preserve">— </w:t>
    </w:r>
    <w:r>
      <w:rPr>
        <w:color w:val="4A5568"/>
        <w:sz w:val="20"/>
        <w:szCs w:val="20"/>
      </w:rPr>
      <w:fldChar w:fldCharType="begin"/>
    </w:r>
    <w:r>
      <w:rPr>
        <w:color w:val="4A5568"/>
        <w:sz w:val="20"/>
        <w:szCs w:val="20"/>
      </w:rPr>
      <w:instrText>PAGE</w:instrText>
    </w:r>
    <w:r>
      <w:rPr>
        <w:color w:val="4A5568"/>
        <w:sz w:val="20"/>
        <w:szCs w:val="20"/>
      </w:rPr>
      <w:fldChar w:fldCharType="separate"/>
    </w:r>
    <w:r w:rsidR="006D5C69">
      <w:rPr>
        <w:noProof/>
        <w:color w:val="4A5568"/>
        <w:sz w:val="20"/>
        <w:szCs w:val="20"/>
      </w:rPr>
      <w:t>1</w:t>
    </w:r>
    <w:r>
      <w:rPr>
        <w:color w:val="4A5568"/>
        <w:sz w:val="20"/>
        <w:szCs w:val="20"/>
      </w:rPr>
      <w:fldChar w:fldCharType="end"/>
    </w:r>
    <w:r>
      <w:rPr>
        <w:color w:val="4A5568"/>
        <w:sz w:val="20"/>
        <w:szCs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DAA1DD" w14:textId="77777777" w:rsidR="005B7E9F" w:rsidRDefault="005B7E9F">
      <w:r>
        <w:separator/>
      </w:r>
    </w:p>
  </w:footnote>
  <w:footnote w:type="continuationSeparator" w:id="0">
    <w:p w14:paraId="199281D9" w14:textId="77777777" w:rsidR="005B7E9F" w:rsidRDefault="005B7E9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78513B" w14:textId="77777777" w:rsidR="00D96F31" w:rsidRDefault="00000000">
    <w:pPr>
      <w:jc w:val="right"/>
    </w:pPr>
    <w:r>
      <w:rPr>
        <w:color w:val="4A5568"/>
        <w:sz w:val="20"/>
        <w:szCs w:val="20"/>
      </w:rPr>
      <w:t>数据表结构设计</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A57F09"/>
    <w:multiLevelType w:val="hybridMultilevel"/>
    <w:tmpl w:val="BBAAEF10"/>
    <w:lvl w:ilvl="0" w:tplc="B706046E">
      <w:start w:val="1"/>
      <w:numFmt w:val="bullet"/>
      <w:lvlText w:val="●"/>
      <w:lvlJc w:val="left"/>
      <w:pPr>
        <w:ind w:left="720" w:hanging="360"/>
      </w:pPr>
    </w:lvl>
    <w:lvl w:ilvl="1" w:tplc="40A0C746">
      <w:start w:val="1"/>
      <w:numFmt w:val="bullet"/>
      <w:lvlText w:val="○"/>
      <w:lvlJc w:val="left"/>
      <w:pPr>
        <w:ind w:left="1440" w:hanging="360"/>
      </w:pPr>
    </w:lvl>
    <w:lvl w:ilvl="2" w:tplc="433CCD6E">
      <w:start w:val="1"/>
      <w:numFmt w:val="bullet"/>
      <w:lvlText w:val="■"/>
      <w:lvlJc w:val="left"/>
      <w:pPr>
        <w:ind w:left="2160" w:hanging="360"/>
      </w:pPr>
    </w:lvl>
    <w:lvl w:ilvl="3" w:tplc="AE80D0AE">
      <w:start w:val="1"/>
      <w:numFmt w:val="bullet"/>
      <w:lvlText w:val="●"/>
      <w:lvlJc w:val="left"/>
      <w:pPr>
        <w:ind w:left="2880" w:hanging="360"/>
      </w:pPr>
    </w:lvl>
    <w:lvl w:ilvl="4" w:tplc="261C7CE6">
      <w:start w:val="1"/>
      <w:numFmt w:val="bullet"/>
      <w:lvlText w:val="○"/>
      <w:lvlJc w:val="left"/>
      <w:pPr>
        <w:ind w:left="3600" w:hanging="360"/>
      </w:pPr>
    </w:lvl>
    <w:lvl w:ilvl="5" w:tplc="059EB6E8">
      <w:start w:val="1"/>
      <w:numFmt w:val="bullet"/>
      <w:lvlText w:val="■"/>
      <w:lvlJc w:val="left"/>
      <w:pPr>
        <w:ind w:left="4320" w:hanging="360"/>
      </w:pPr>
    </w:lvl>
    <w:lvl w:ilvl="6" w:tplc="61BCFDD8">
      <w:start w:val="1"/>
      <w:numFmt w:val="bullet"/>
      <w:lvlText w:val="●"/>
      <w:lvlJc w:val="left"/>
      <w:pPr>
        <w:ind w:left="5040" w:hanging="360"/>
      </w:pPr>
    </w:lvl>
    <w:lvl w:ilvl="7" w:tplc="DA3E1046">
      <w:start w:val="1"/>
      <w:numFmt w:val="bullet"/>
      <w:lvlText w:val="●"/>
      <w:lvlJc w:val="left"/>
      <w:pPr>
        <w:ind w:left="5760" w:hanging="360"/>
      </w:pPr>
    </w:lvl>
    <w:lvl w:ilvl="8" w:tplc="B374EE32">
      <w:start w:val="1"/>
      <w:numFmt w:val="bullet"/>
      <w:lvlText w:val="●"/>
      <w:lvlJc w:val="left"/>
      <w:pPr>
        <w:ind w:left="6480" w:hanging="360"/>
      </w:pPr>
    </w:lvl>
  </w:abstractNum>
  <w:abstractNum w:abstractNumId="1" w15:restartNumberingAfterBreak="0">
    <w:nsid w:val="21E51206"/>
    <w:multiLevelType w:val="hybridMultilevel"/>
    <w:tmpl w:val="3DAA22E0"/>
    <w:lvl w:ilvl="0" w:tplc="53986038">
      <w:start w:val="1"/>
      <w:numFmt w:val="decimal"/>
      <w:lvlText w:val="%1."/>
      <w:lvlJc w:val="left"/>
      <w:pPr>
        <w:ind w:left="720" w:hanging="360"/>
      </w:pPr>
    </w:lvl>
    <w:lvl w:ilvl="1" w:tplc="A1384A0A">
      <w:numFmt w:val="decimal"/>
      <w:lvlText w:val=""/>
      <w:lvlJc w:val="left"/>
    </w:lvl>
    <w:lvl w:ilvl="2" w:tplc="C6867D06">
      <w:numFmt w:val="decimal"/>
      <w:lvlText w:val=""/>
      <w:lvlJc w:val="left"/>
    </w:lvl>
    <w:lvl w:ilvl="3" w:tplc="D9067A34">
      <w:numFmt w:val="decimal"/>
      <w:lvlText w:val=""/>
      <w:lvlJc w:val="left"/>
    </w:lvl>
    <w:lvl w:ilvl="4" w:tplc="B9B4A842">
      <w:numFmt w:val="decimal"/>
      <w:lvlText w:val=""/>
      <w:lvlJc w:val="left"/>
    </w:lvl>
    <w:lvl w:ilvl="5" w:tplc="6944CD3E">
      <w:numFmt w:val="decimal"/>
      <w:lvlText w:val=""/>
      <w:lvlJc w:val="left"/>
    </w:lvl>
    <w:lvl w:ilvl="6" w:tplc="4FA8455E">
      <w:numFmt w:val="decimal"/>
      <w:lvlText w:val=""/>
      <w:lvlJc w:val="left"/>
    </w:lvl>
    <w:lvl w:ilvl="7" w:tplc="A18294B6">
      <w:numFmt w:val="decimal"/>
      <w:lvlText w:val=""/>
      <w:lvlJc w:val="left"/>
    </w:lvl>
    <w:lvl w:ilvl="8" w:tplc="8FE4A2B6">
      <w:numFmt w:val="decimal"/>
      <w:lvlText w:val=""/>
      <w:lvlJc w:val="left"/>
    </w:lvl>
  </w:abstractNum>
  <w:abstractNum w:abstractNumId="2" w15:restartNumberingAfterBreak="0">
    <w:nsid w:val="309F04F9"/>
    <w:multiLevelType w:val="hybridMultilevel"/>
    <w:tmpl w:val="FE5A70D6"/>
    <w:lvl w:ilvl="0" w:tplc="45FAD5DE">
      <w:start w:val="1"/>
      <w:numFmt w:val="lowerLetter"/>
      <w:lvlText w:val="%1."/>
      <w:lvlJc w:val="left"/>
      <w:pPr>
        <w:ind w:left="1080" w:hanging="360"/>
      </w:pPr>
    </w:lvl>
    <w:lvl w:ilvl="1" w:tplc="2068B9F4">
      <w:numFmt w:val="decimal"/>
      <w:lvlText w:val=""/>
      <w:lvlJc w:val="left"/>
    </w:lvl>
    <w:lvl w:ilvl="2" w:tplc="4D10C7B8">
      <w:numFmt w:val="decimal"/>
      <w:lvlText w:val=""/>
      <w:lvlJc w:val="left"/>
    </w:lvl>
    <w:lvl w:ilvl="3" w:tplc="5D90F7D8">
      <w:numFmt w:val="decimal"/>
      <w:lvlText w:val=""/>
      <w:lvlJc w:val="left"/>
    </w:lvl>
    <w:lvl w:ilvl="4" w:tplc="BCDCFF14">
      <w:numFmt w:val="decimal"/>
      <w:lvlText w:val=""/>
      <w:lvlJc w:val="left"/>
    </w:lvl>
    <w:lvl w:ilvl="5" w:tplc="4EFC7768">
      <w:numFmt w:val="decimal"/>
      <w:lvlText w:val=""/>
      <w:lvlJc w:val="left"/>
    </w:lvl>
    <w:lvl w:ilvl="6" w:tplc="31A02846">
      <w:numFmt w:val="decimal"/>
      <w:lvlText w:val=""/>
      <w:lvlJc w:val="left"/>
    </w:lvl>
    <w:lvl w:ilvl="7" w:tplc="7CAA151C">
      <w:numFmt w:val="decimal"/>
      <w:lvlText w:val=""/>
      <w:lvlJc w:val="left"/>
    </w:lvl>
    <w:lvl w:ilvl="8" w:tplc="4B08C3DC">
      <w:numFmt w:val="decimal"/>
      <w:lvlText w:val=""/>
      <w:lvlJc w:val="left"/>
    </w:lvl>
  </w:abstractNum>
  <w:abstractNum w:abstractNumId="3" w15:restartNumberingAfterBreak="0">
    <w:nsid w:val="35D32DB6"/>
    <w:multiLevelType w:val="hybridMultilevel"/>
    <w:tmpl w:val="CE9CD8F4"/>
    <w:lvl w:ilvl="0" w:tplc="A2BA4678">
      <w:start w:val="1"/>
      <w:numFmt w:val="decimal"/>
      <w:lvlText w:val="%1."/>
      <w:lvlJc w:val="left"/>
      <w:pPr>
        <w:ind w:left="720" w:hanging="360"/>
      </w:pPr>
    </w:lvl>
    <w:lvl w:ilvl="1" w:tplc="F5CE6BB0">
      <w:numFmt w:val="decimal"/>
      <w:lvlText w:val=""/>
      <w:lvlJc w:val="left"/>
    </w:lvl>
    <w:lvl w:ilvl="2" w:tplc="A6046940">
      <w:numFmt w:val="decimal"/>
      <w:lvlText w:val=""/>
      <w:lvlJc w:val="left"/>
    </w:lvl>
    <w:lvl w:ilvl="3" w:tplc="4A38A9E6">
      <w:numFmt w:val="decimal"/>
      <w:lvlText w:val=""/>
      <w:lvlJc w:val="left"/>
    </w:lvl>
    <w:lvl w:ilvl="4" w:tplc="8B2C94E4">
      <w:numFmt w:val="decimal"/>
      <w:lvlText w:val=""/>
      <w:lvlJc w:val="left"/>
    </w:lvl>
    <w:lvl w:ilvl="5" w:tplc="61D24AE8">
      <w:numFmt w:val="decimal"/>
      <w:lvlText w:val=""/>
      <w:lvlJc w:val="left"/>
    </w:lvl>
    <w:lvl w:ilvl="6" w:tplc="1A440512">
      <w:numFmt w:val="decimal"/>
      <w:lvlText w:val=""/>
      <w:lvlJc w:val="left"/>
    </w:lvl>
    <w:lvl w:ilvl="7" w:tplc="E09EACB6">
      <w:numFmt w:val="decimal"/>
      <w:lvlText w:val=""/>
      <w:lvlJc w:val="left"/>
    </w:lvl>
    <w:lvl w:ilvl="8" w:tplc="6BB45B4C">
      <w:numFmt w:val="decimal"/>
      <w:lvlText w:val=""/>
      <w:lvlJc w:val="left"/>
    </w:lvl>
  </w:abstractNum>
  <w:abstractNum w:abstractNumId="4" w15:restartNumberingAfterBreak="0">
    <w:nsid w:val="74BE755E"/>
    <w:multiLevelType w:val="hybridMultilevel"/>
    <w:tmpl w:val="C490668A"/>
    <w:lvl w:ilvl="0" w:tplc="3E86EA2C">
      <w:start w:val="1"/>
      <w:numFmt w:val="bullet"/>
      <w:lvlText w:val="•"/>
      <w:lvlJc w:val="left"/>
      <w:pPr>
        <w:ind w:left="720" w:hanging="360"/>
      </w:pPr>
    </w:lvl>
    <w:lvl w:ilvl="1" w:tplc="5BE281CE">
      <w:numFmt w:val="decimal"/>
      <w:lvlText w:val=""/>
      <w:lvlJc w:val="left"/>
    </w:lvl>
    <w:lvl w:ilvl="2" w:tplc="5D4CB8A8">
      <w:numFmt w:val="decimal"/>
      <w:lvlText w:val=""/>
      <w:lvlJc w:val="left"/>
    </w:lvl>
    <w:lvl w:ilvl="3" w:tplc="BBC4C144">
      <w:numFmt w:val="decimal"/>
      <w:lvlText w:val=""/>
      <w:lvlJc w:val="left"/>
    </w:lvl>
    <w:lvl w:ilvl="4" w:tplc="D876BE28">
      <w:numFmt w:val="decimal"/>
      <w:lvlText w:val=""/>
      <w:lvlJc w:val="left"/>
    </w:lvl>
    <w:lvl w:ilvl="5" w:tplc="BA74A570">
      <w:numFmt w:val="decimal"/>
      <w:lvlText w:val=""/>
      <w:lvlJc w:val="left"/>
    </w:lvl>
    <w:lvl w:ilvl="6" w:tplc="6928A938">
      <w:numFmt w:val="decimal"/>
      <w:lvlText w:val=""/>
      <w:lvlJc w:val="left"/>
    </w:lvl>
    <w:lvl w:ilvl="7" w:tplc="4B08C0CC">
      <w:numFmt w:val="decimal"/>
      <w:lvlText w:val=""/>
      <w:lvlJc w:val="left"/>
    </w:lvl>
    <w:lvl w:ilvl="8" w:tplc="EBF83E96">
      <w:numFmt w:val="decimal"/>
      <w:lvlText w:val=""/>
      <w:lvlJc w:val="left"/>
    </w:lvl>
  </w:abstractNum>
  <w:num w:numId="1" w16cid:durableId="15467912">
    <w:abstractNumId w:val="0"/>
    <w:lvlOverride w:ilvl="0">
      <w:startOverride w:val="1"/>
    </w:lvlOverride>
  </w:num>
  <w:num w:numId="2" w16cid:durableId="2109808672">
    <w:abstractNumId w:val="4"/>
    <w:lvlOverride w:ilvl="0">
      <w:startOverride w:val="1"/>
    </w:lvlOverride>
  </w:num>
  <w:num w:numId="3" w16cid:durableId="1436514221">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defaultTabStop w:val="4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6F31"/>
    <w:rsid w:val="005B7E9F"/>
    <w:rsid w:val="006D5C69"/>
    <w:rsid w:val="00C701D5"/>
    <w:rsid w:val="00D96F3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5780D3D"/>
  <w15:docId w15:val="{668310C6-DA19-4F54-9571-2CA36BE225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宋体" w:eastAsia="宋体" w:hAnsi="宋体" w:cs="宋体"/>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spacing w:before="360" w:after="200"/>
      <w:outlineLvl w:val="0"/>
    </w:pPr>
    <w:rPr>
      <w:rFonts w:ascii="黑体" w:eastAsia="黑体" w:hAnsi="黑体" w:cs="黑体"/>
      <w:b/>
      <w:bCs/>
      <w:color w:val="1A365D"/>
      <w:sz w:val="32"/>
      <w:szCs w:val="32"/>
    </w:rPr>
  </w:style>
  <w:style w:type="paragraph" w:styleId="2">
    <w:name w:val="heading 2"/>
    <w:uiPriority w:val="9"/>
    <w:unhideWhenUsed/>
    <w:qFormat/>
    <w:pPr>
      <w:spacing w:before="280" w:after="160"/>
      <w:outlineLvl w:val="1"/>
    </w:pPr>
    <w:rPr>
      <w:rFonts w:ascii="黑体" w:eastAsia="黑体" w:hAnsi="黑体" w:cs="黑体"/>
      <w:b/>
      <w:bCs/>
      <w:color w:val="4A5568"/>
      <w:sz w:val="28"/>
      <w:szCs w:val="28"/>
    </w:rPr>
  </w:style>
  <w:style w:type="paragraph" w:styleId="3">
    <w:name w:val="heading 3"/>
    <w:uiPriority w:val="9"/>
    <w:semiHidden/>
    <w:unhideWhenUsed/>
    <w:qFormat/>
    <w:pPr>
      <w:spacing w:before="200" w:after="120"/>
      <w:outlineLvl w:val="2"/>
    </w:pPr>
    <w:rPr>
      <w:rFonts w:ascii="黑体" w:eastAsia="黑体" w:hAnsi="黑体" w:cs="黑体"/>
      <w:b/>
      <w:bCs/>
      <w:color w:val="2D3748"/>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pPr>
      <w:spacing w:before="240" w:after="120"/>
      <w:jc w:val="center"/>
    </w:pPr>
    <w:rPr>
      <w:rFonts w:ascii="黑体" w:eastAsia="黑体" w:hAnsi="黑体" w:cs="黑体"/>
      <w:b/>
      <w:bCs/>
      <w:color w:val="1A365D"/>
      <w:sz w:val="44"/>
      <w:szCs w:val="44"/>
    </w:rPr>
  </w:style>
  <w:style w:type="paragraph" w:customStyle="1" w:styleId="10">
    <w:name w:val="要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本 字符"/>
    <w:link w:val="a7"/>
    <w:uiPriority w:val="99"/>
    <w:semiHidden/>
    <w:unhideWhenUsed/>
    <w:rPr>
      <w:sz w:val="20"/>
      <w:szCs w:val="20"/>
    </w:rPr>
  </w:style>
  <w:style w:type="paragraph" w:styleId="TOC1">
    <w:name w:val="toc 1"/>
    <w:basedOn w:val="a"/>
    <w:next w:val="a"/>
    <w:autoRedefine/>
    <w:uiPriority w:val="39"/>
    <w:unhideWhenUsed/>
    <w:rsid w:val="006D5C69"/>
  </w:style>
  <w:style w:type="paragraph" w:styleId="TOC2">
    <w:name w:val="toc 2"/>
    <w:basedOn w:val="a"/>
    <w:next w:val="a"/>
    <w:autoRedefine/>
    <w:uiPriority w:val="39"/>
    <w:unhideWhenUsed/>
    <w:rsid w:val="006D5C69"/>
    <w:pPr>
      <w:ind w:leftChars="200" w:left="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1688</Words>
  <Characters>2568</Characters>
  <Application>Microsoft Office Word</Application>
  <DocSecurity>0</DocSecurity>
  <Lines>171</Lines>
  <Paragraphs>223</Paragraphs>
  <ScaleCrop>false</ScaleCrop>
  <Company/>
  <LinksUpToDate>false</LinksUpToDate>
  <CharactersWithSpaces>4033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Jerry Zhou</cp:lastModifiedBy>
  <cp:revision>2</cp:revision>
  <dcterms:created xsi:type="dcterms:W3CDTF">2026-02-21T16:51:00Z</dcterms:created>
  <dcterms:modified xsi:type="dcterms:W3CDTF">2026-02-21T16:57:00Z</dcterms:modified>
</cp:coreProperties>
</file>