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C6B73">
      <w:pPr>
        <w:pStyle w:val="169"/>
        <w:rPr>
          <w:rFonts w:hint="eastAsia" w:ascii="Times New Roman" w:hAnsi="Times New Roman" w:eastAsia="黑体" w:cs="Times New Roman"/>
          <w:b/>
          <w:color w:val="000000"/>
          <w:sz w:val="44"/>
        </w:rPr>
      </w:pPr>
      <w:r>
        <w:rPr>
          <w:rFonts w:hint="eastAsia" w:ascii="Times New Roman" w:hAnsi="Times New Roman" w:eastAsia="黑体" w:cs="Times New Roman"/>
          <w:b/>
          <w:color w:val="000000"/>
          <w:sz w:val="44"/>
        </w:rPr>
        <w:t>第十五届“中国软件杯”大学生软件设计大赛</w:t>
      </w:r>
    </w:p>
    <w:p w14:paraId="073700D5">
      <w:pPr>
        <w:pStyle w:val="169"/>
        <w:rPr>
          <w:rFonts w:hint="eastAsia" w:ascii="Times New Roman" w:hAnsi="Times New Roman" w:eastAsia="黑体" w:cs="Times New Roman"/>
          <w:b/>
          <w:color w:val="000000"/>
          <w:sz w:val="44"/>
          <w:lang w:eastAsia="zh-CN"/>
        </w:rPr>
      </w:pPr>
      <w:r>
        <w:rPr>
          <w:rFonts w:ascii="Times New Roman" w:hAnsi="Times New Roman" w:eastAsia="黑体" w:cs="Times New Roman"/>
          <w:b/>
          <w:color w:val="000000"/>
          <w:sz w:val="44"/>
        </w:rPr>
        <w:t>A8 四旋翼无人机位姿控制系统设计优化</w:t>
      </w:r>
    </w:p>
    <w:p w14:paraId="18545913">
      <w:pPr>
        <w:pStyle w:val="169"/>
        <w:jc w:val="center"/>
        <w:rPr>
          <w:rFonts w:hint="eastAsia" w:ascii="Times New Roman" w:hAnsi="Times New Roman" w:eastAsia="黑体" w:cs="Times New Roman"/>
          <w:b/>
          <w:color w:val="000000"/>
          <w:sz w:val="44"/>
          <w:lang w:eastAsia="zh-CN"/>
        </w:rPr>
      </w:pPr>
      <w:r>
        <w:rPr>
          <w:rFonts w:hint="eastAsia" w:ascii="Times New Roman" w:hAnsi="Times New Roman" w:eastAsia="黑体" w:cs="Times New Roman"/>
          <w:b/>
          <w:color w:val="000000"/>
          <w:sz w:val="44"/>
          <w:lang w:eastAsia="zh-CN"/>
        </w:rPr>
        <w:drawing>
          <wp:inline distT="0" distB="0" distL="114300" distR="114300">
            <wp:extent cx="1489710" cy="1489710"/>
            <wp:effectExtent l="0" t="0" r="15240" b="15240"/>
            <wp:docPr id="30" name="图片 30" descr="395265667d5f073599668e43faec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5265667d5f073599668e43faec550b"/>
                    <pic:cNvPicPr>
                      <a:picLocks noChangeAspect="1"/>
                    </pic:cNvPicPr>
                  </pic:nvPicPr>
                  <pic:blipFill>
                    <a:blip r:embed="rId8"/>
                    <a:stretch>
                      <a:fillRect/>
                    </a:stretch>
                  </pic:blipFill>
                  <pic:spPr>
                    <a:xfrm>
                      <a:off x="0" y="0"/>
                      <a:ext cx="1489710" cy="1489710"/>
                    </a:xfrm>
                    <a:prstGeom prst="rect">
                      <a:avLst/>
                    </a:prstGeom>
                  </pic:spPr>
                </pic:pic>
              </a:graphicData>
            </a:graphic>
          </wp:inline>
        </w:drawing>
      </w:r>
    </w:p>
    <w:p w14:paraId="73C97D2C">
      <w:pPr>
        <w:pStyle w:val="169"/>
        <w:rPr>
          <w:rFonts w:hint="eastAsia" w:ascii="黑体" w:hAnsi="黑体" w:eastAsia="黑体" w:cs="黑体"/>
          <w:b/>
          <w:bCs w:val="0"/>
          <w:color w:val="000000"/>
          <w:sz w:val="52"/>
          <w:szCs w:val="52"/>
          <w:lang w:eastAsia="zh-CN"/>
        </w:rPr>
      </w:pPr>
      <w:r>
        <w:rPr>
          <w:rFonts w:hint="eastAsia" w:ascii="黑体" w:hAnsi="黑体" w:eastAsia="黑体" w:cs="黑体"/>
          <w:b/>
          <w:bCs w:val="0"/>
          <w:color w:val="000000"/>
          <w:sz w:val="52"/>
          <w:szCs w:val="52"/>
        </w:rPr>
        <w:t>驭穹稳控</w:t>
      </w:r>
      <w:r>
        <w:rPr>
          <w:rFonts w:hint="eastAsia" w:ascii="黑体" w:hAnsi="黑体" w:eastAsia="黑体" w:cs="黑体"/>
          <w:b/>
          <w:bCs w:val="0"/>
          <w:color w:val="000000"/>
          <w:sz w:val="52"/>
          <w:szCs w:val="52"/>
          <w:lang w:eastAsia="zh-CN"/>
        </w:rPr>
        <w:t>——</w:t>
      </w:r>
    </w:p>
    <w:p w14:paraId="1401E91D">
      <w:pPr>
        <w:pStyle w:val="169"/>
        <w:rPr>
          <w:rFonts w:hint="eastAsia" w:ascii="黑体" w:hAnsi="黑体" w:eastAsia="黑体" w:cs="黑体"/>
          <w:b/>
          <w:bCs w:val="0"/>
          <w:color w:val="000000"/>
          <w:sz w:val="52"/>
          <w:szCs w:val="52"/>
        </w:rPr>
      </w:pPr>
      <w:r>
        <w:rPr>
          <w:rFonts w:hint="eastAsia" w:ascii="黑体" w:hAnsi="黑体" w:eastAsia="黑体" w:cs="黑体"/>
          <w:b/>
          <w:bCs w:val="0"/>
          <w:color w:val="000000"/>
          <w:sz w:val="52"/>
          <w:szCs w:val="52"/>
        </w:rPr>
        <w:t>基于MWORKS的四旋翼鲁棒位姿控制与编队安全仿真系统</w:t>
      </w:r>
    </w:p>
    <w:p w14:paraId="2B057F89">
      <w:pPr>
        <w:pStyle w:val="170"/>
      </w:pPr>
      <w:r>
        <w:rPr>
          <w:rFonts w:hint="eastAsia" w:ascii="Times New Roman" w:hAnsi="Times New Roman" w:eastAsia="黑体" w:cs="Times New Roman"/>
          <w:b/>
          <w:color w:val="000000"/>
          <w:sz w:val="52"/>
        </w:rPr>
        <w:t>代码开发文档</w:t>
      </w:r>
    </w:p>
    <w:p w14:paraId="6C43399E">
      <w:pPr>
        <w:pStyle w:val="171"/>
        <w:rPr>
          <w:rFonts w:hint="eastAsia" w:eastAsia="宋体"/>
          <w:lang w:val="en-US" w:eastAsia="zh-CN"/>
        </w:rPr>
      </w:pPr>
      <w:r>
        <w:rPr>
          <w:rFonts w:ascii="Times New Roman" w:hAnsi="Times New Roman" w:eastAsia="宋体" w:cs="Times New Roman"/>
          <w:color w:val="000000"/>
          <w:sz w:val="28"/>
        </w:rPr>
        <w:t>赛题组别：A组</w:t>
      </w:r>
      <w:r>
        <w:rPr>
          <w:rFonts w:hint="eastAsia" w:cs="Times New Roman"/>
          <w:color w:val="000000"/>
          <w:sz w:val="28"/>
          <w:lang w:val="en-US" w:eastAsia="zh-CN"/>
        </w:rPr>
        <w:t xml:space="preserve"> </w:t>
      </w:r>
    </w:p>
    <w:p w14:paraId="38595594">
      <w:pPr>
        <w:pStyle w:val="171"/>
        <w:rPr>
          <w:rFonts w:hint="default" w:eastAsia="宋体"/>
          <w:lang w:val="en-US" w:eastAsia="zh-CN"/>
        </w:rPr>
      </w:pPr>
      <w:r>
        <w:rPr>
          <w:rFonts w:ascii="Times New Roman" w:hAnsi="Times New Roman" w:eastAsia="宋体" w:cs="Times New Roman"/>
          <w:color w:val="000000"/>
          <w:sz w:val="28"/>
        </w:rPr>
        <w:t>参赛单位：</w:t>
      </w:r>
      <w:r>
        <w:rPr>
          <w:rFonts w:hint="eastAsia" w:cs="Times New Roman"/>
          <w:color w:val="000000"/>
          <w:sz w:val="28"/>
          <w:u w:val="single"/>
          <w:lang w:val="en-US" w:eastAsia="zh-CN"/>
        </w:rPr>
        <w:t xml:space="preserve">    西</w:t>
      </w:r>
      <w:r>
        <w:rPr>
          <w:rFonts w:hint="eastAsia" w:ascii="Times New Roman" w:hAnsi="Times New Roman" w:eastAsia="宋体" w:cs="Times New Roman"/>
          <w:color w:val="000000"/>
          <w:sz w:val="28"/>
          <w:u w:val="single"/>
        </w:rPr>
        <w:t>安交通大学</w:t>
      </w:r>
      <w:r>
        <w:rPr>
          <w:rFonts w:hint="eastAsia" w:cs="Times New Roman"/>
          <w:color w:val="000000"/>
          <w:sz w:val="28"/>
          <w:u w:val="single"/>
          <w:lang w:val="en-US" w:eastAsia="zh-CN"/>
        </w:rPr>
        <w:t xml:space="preserve">    </w:t>
      </w:r>
    </w:p>
    <w:p w14:paraId="1C2FDCB9">
      <w:pPr>
        <w:pStyle w:val="171"/>
        <w:rPr>
          <w:rFonts w:hint="default" w:eastAsia="宋体"/>
          <w:lang w:val="en-US" w:eastAsia="zh-CN"/>
        </w:rPr>
      </w:pPr>
      <w:r>
        <w:rPr>
          <w:rFonts w:ascii="Times New Roman" w:hAnsi="Times New Roman" w:eastAsia="宋体" w:cs="Times New Roman"/>
          <w:color w:val="000000"/>
          <w:sz w:val="28"/>
        </w:rPr>
        <w:t>团队名称：</w:t>
      </w:r>
      <w:r>
        <w:rPr>
          <w:rFonts w:hint="eastAsia" w:cs="Times New Roman"/>
          <w:color w:val="000000"/>
          <w:sz w:val="28"/>
          <w:u w:val="single"/>
          <w:lang w:val="en-US" w:eastAsia="zh-CN"/>
        </w:rPr>
        <w:t xml:space="preserve">    </w:t>
      </w:r>
      <w:r>
        <w:rPr>
          <w:rFonts w:hint="eastAsia" w:ascii="Times New Roman" w:hAnsi="Times New Roman" w:eastAsia="宋体" w:cs="Times New Roman"/>
          <w:color w:val="000000"/>
          <w:sz w:val="28"/>
          <w:u w:val="single"/>
        </w:rPr>
        <w:t>驭穹稳控团队</w:t>
      </w:r>
      <w:r>
        <w:rPr>
          <w:rFonts w:hint="eastAsia" w:cs="Times New Roman"/>
          <w:color w:val="000000"/>
          <w:sz w:val="28"/>
          <w:u w:val="single"/>
          <w:lang w:val="en-US" w:eastAsia="zh-CN"/>
        </w:rPr>
        <w:t xml:space="preserve">    </w:t>
      </w:r>
    </w:p>
    <w:p w14:paraId="7734F864">
      <w:pPr>
        <w:pStyle w:val="171"/>
        <w:rPr>
          <w:rFonts w:hint="default" w:eastAsia="宋体"/>
          <w:lang w:val="en-US" w:eastAsia="zh-CN"/>
        </w:rPr>
      </w:pPr>
      <w:r>
        <w:rPr>
          <w:rFonts w:hint="eastAsia" w:cs="Times New Roman"/>
          <w:color w:val="000000"/>
          <w:sz w:val="28"/>
          <w:lang w:val="en-US" w:eastAsia="zh-CN"/>
        </w:rPr>
        <w:t>适用平台</w:t>
      </w:r>
      <w:r>
        <w:rPr>
          <w:rFonts w:ascii="Times New Roman" w:hAnsi="Times New Roman" w:eastAsia="宋体" w:cs="Times New Roman"/>
          <w:color w:val="000000"/>
          <w:sz w:val="28"/>
        </w:rPr>
        <w:t>：</w:t>
      </w:r>
      <w:r>
        <w:rPr>
          <w:rFonts w:hint="eastAsia" w:cs="Times New Roman"/>
          <w:color w:val="000000"/>
          <w:sz w:val="28"/>
          <w:lang w:val="en-US" w:eastAsia="zh-CN"/>
        </w:rPr>
        <w:t xml:space="preserve"> </w:t>
      </w:r>
      <w:r>
        <w:rPr>
          <w:rFonts w:hint="eastAsia" w:cs="Times New Roman"/>
          <w:color w:val="000000"/>
          <w:sz w:val="28"/>
          <w:u w:val="single"/>
          <w:lang w:val="en-US" w:eastAsia="zh-CN"/>
        </w:rPr>
        <w:t xml:space="preserve">   M</w:t>
      </w:r>
      <w:r>
        <w:rPr>
          <w:rFonts w:hint="eastAsia" w:ascii="Times New Roman" w:hAnsi="Times New Roman" w:eastAsia="宋体" w:cs="Times New Roman"/>
          <w:color w:val="000000"/>
          <w:sz w:val="28"/>
          <w:u w:val="single"/>
        </w:rPr>
        <w:t>WORKS 2026a</w:t>
      </w:r>
      <w:r>
        <w:rPr>
          <w:rFonts w:hint="eastAsia" w:cs="Times New Roman"/>
          <w:color w:val="000000"/>
          <w:sz w:val="28"/>
          <w:u w:val="single"/>
          <w:lang w:val="en-US" w:eastAsia="zh-CN"/>
        </w:rPr>
        <w:t xml:space="preserve">   </w:t>
      </w:r>
    </w:p>
    <w:p w14:paraId="316E79CB">
      <w:pPr>
        <w:pStyle w:val="171"/>
      </w:pPr>
      <w:r>
        <w:rPr>
          <w:rFonts w:ascii="Times New Roman" w:hAnsi="Times New Roman" w:eastAsia="宋体" w:cs="Times New Roman"/>
          <w:color w:val="000000"/>
          <w:sz w:val="28"/>
        </w:rPr>
        <w:t>日期：2026年7月</w:t>
      </w:r>
    </w:p>
    <w:p w14:paraId="58450368">
      <w:pPr>
        <w:keepNext/>
        <w:pBdr>
          <w:bottom w:val="single" w:color="000000" w:sz="8" w:space="7"/>
        </w:pBdr>
        <w:spacing w:before="0" w:after="200"/>
        <w:ind w:left="340" w:right="0"/>
        <w:jc w:val="center"/>
      </w:pPr>
      <w:r>
        <w:rPr>
          <w:rFonts w:ascii="Times New Roman" w:hAnsi="Times New Roman" w:eastAsia="黑体"/>
          <w:b/>
          <w:color w:val="000000"/>
          <w:sz w:val="32"/>
        </w:rPr>
        <w:t>目录</w:t>
      </w:r>
    </w:p>
    <w:p w14:paraId="0F736AC2">
      <w:pPr>
        <w:pStyle w:val="167"/>
        <w:keepNext/>
        <w:tabs>
          <w:tab w:val="right" w:leader="dot" w:pos="8957"/>
        </w:tabs>
        <w:spacing w:before="40" w:after="40" w:line="269" w:lineRule="auto"/>
        <w:ind w:left="340" w:right="0" w:firstLine="0"/>
        <w:jc w:val="left"/>
        <w:rPr>
          <w:rFonts w:hint="eastAsia" w:eastAsia="宋体"/>
          <w:lang w:val="en-US" w:eastAsia="zh-CN"/>
        </w:rPr>
      </w:pPr>
      <w:r>
        <w:rPr>
          <w:rFonts w:ascii="Times New Roman" w:hAnsi="Times New Roman" w:eastAsia="黑体"/>
          <w:b/>
          <w:color w:val="000000"/>
          <w:sz w:val="21"/>
        </w:rPr>
        <w:t>第1章</w:t>
      </w:r>
      <w:r>
        <w:rPr>
          <w:rFonts w:ascii="Times New Roman" w:hAnsi="Times New Roman" w:eastAsia="宋体"/>
          <w:b w:val="0"/>
          <w:color w:val="000000"/>
          <w:sz w:val="21"/>
        </w:rPr>
        <w:t>　文档说明与开发入口</w:t>
      </w:r>
      <w:r>
        <w:rPr>
          <w:rFonts w:ascii="Times New Roman" w:hAnsi="Times New Roman" w:eastAsia="宋体"/>
          <w:b w:val="0"/>
          <w:color w:val="000000"/>
          <w:sz w:val="20"/>
        </w:rPr>
        <w:tab/>
      </w:r>
      <w:r>
        <w:rPr>
          <w:rFonts w:hint="eastAsia"/>
          <w:b w:val="0"/>
          <w:color w:val="000000"/>
          <w:sz w:val="20"/>
          <w:lang w:val="en-US" w:eastAsia="zh-CN"/>
        </w:rPr>
        <w:t>3</w:t>
      </w:r>
    </w:p>
    <w:p w14:paraId="5E5EAD15">
      <w:pPr>
        <w:pStyle w:val="168"/>
        <w:keepNext/>
        <w:tabs>
          <w:tab w:val="right" w:leader="dot" w:pos="8957"/>
        </w:tabs>
        <w:spacing w:before="12" w:after="12" w:line="259" w:lineRule="auto"/>
        <w:ind w:left="822" w:right="0" w:firstLine="0"/>
        <w:jc w:val="left"/>
        <w:rPr>
          <w:rFonts w:hint="eastAsia" w:eastAsia="宋体"/>
          <w:lang w:val="en-US" w:eastAsia="zh-CN"/>
        </w:rPr>
      </w:pPr>
      <w:r>
        <w:rPr>
          <w:rFonts w:ascii="Times New Roman" w:hAnsi="Times New Roman" w:eastAsia="宋体"/>
          <w:b w:val="0"/>
          <w:color w:val="000000"/>
          <w:sz w:val="19"/>
        </w:rPr>
        <w:t>1.1　文档用途与要求对应</w:t>
      </w:r>
      <w:r>
        <w:rPr>
          <w:rFonts w:ascii="Times New Roman" w:hAnsi="Times New Roman" w:eastAsia="宋体"/>
          <w:b w:val="0"/>
          <w:color w:val="000000"/>
          <w:sz w:val="19"/>
        </w:rPr>
        <w:tab/>
      </w:r>
      <w:r>
        <w:rPr>
          <w:rFonts w:hint="eastAsia"/>
          <w:b w:val="0"/>
          <w:color w:val="000000"/>
          <w:sz w:val="19"/>
          <w:lang w:val="en-US" w:eastAsia="zh-CN"/>
        </w:rPr>
        <w:t>3</w:t>
      </w:r>
    </w:p>
    <w:p w14:paraId="0C3412F0">
      <w:pPr>
        <w:pStyle w:val="168"/>
        <w:keepNext/>
        <w:tabs>
          <w:tab w:val="right" w:leader="dot" w:pos="8957"/>
        </w:tabs>
        <w:spacing w:before="12" w:after="12" w:line="259" w:lineRule="auto"/>
        <w:ind w:left="822" w:right="0" w:firstLine="0"/>
        <w:jc w:val="left"/>
        <w:rPr>
          <w:rFonts w:hint="default" w:eastAsia="宋体"/>
          <w:lang w:val="en-US" w:eastAsia="zh-CN"/>
        </w:rPr>
      </w:pPr>
      <w:r>
        <w:rPr>
          <w:rFonts w:ascii="Times New Roman" w:hAnsi="Times New Roman" w:eastAsia="宋体"/>
          <w:b w:val="0"/>
          <w:color w:val="000000"/>
          <w:sz w:val="19"/>
        </w:rPr>
        <w:t>1.2　开发环境与阅读入口</w:t>
      </w:r>
      <w:r>
        <w:rPr>
          <w:rFonts w:ascii="Times New Roman" w:hAnsi="Times New Roman" w:eastAsia="宋体"/>
          <w:b w:val="0"/>
          <w:color w:val="000000"/>
          <w:sz w:val="19"/>
        </w:rPr>
        <w:tab/>
      </w:r>
      <w:r>
        <w:rPr>
          <w:rFonts w:hint="eastAsia"/>
          <w:b w:val="0"/>
          <w:color w:val="000000"/>
          <w:sz w:val="19"/>
          <w:lang w:val="en-US" w:eastAsia="zh-CN"/>
        </w:rPr>
        <w:t>3</w:t>
      </w:r>
    </w:p>
    <w:p w14:paraId="7FF85217">
      <w:pPr>
        <w:pStyle w:val="167"/>
        <w:keepNext/>
        <w:tabs>
          <w:tab w:val="right" w:leader="dot" w:pos="8957"/>
        </w:tabs>
        <w:spacing w:before="80" w:after="40" w:line="269" w:lineRule="auto"/>
        <w:ind w:left="340" w:right="0" w:firstLine="0"/>
        <w:jc w:val="left"/>
        <w:rPr>
          <w:rFonts w:hint="eastAsia" w:eastAsia="宋体"/>
          <w:lang w:val="en-US" w:eastAsia="zh-CN"/>
        </w:rPr>
      </w:pPr>
      <w:r>
        <w:rPr>
          <w:rFonts w:ascii="Times New Roman" w:hAnsi="Times New Roman" w:eastAsia="黑体"/>
          <w:b/>
          <w:color w:val="000000"/>
          <w:sz w:val="21"/>
        </w:rPr>
        <w:t>第2章</w:t>
      </w:r>
      <w:r>
        <w:rPr>
          <w:rFonts w:ascii="Times New Roman" w:hAnsi="Times New Roman" w:eastAsia="宋体"/>
          <w:b w:val="0"/>
          <w:color w:val="000000"/>
          <w:sz w:val="21"/>
        </w:rPr>
        <w:t>　工程架构与运行流程</w:t>
      </w:r>
      <w:r>
        <w:rPr>
          <w:rFonts w:ascii="Times New Roman" w:hAnsi="Times New Roman" w:eastAsia="宋体"/>
          <w:b w:val="0"/>
          <w:color w:val="000000"/>
          <w:sz w:val="20"/>
        </w:rPr>
        <w:tab/>
      </w:r>
      <w:r>
        <w:rPr>
          <w:rFonts w:hint="eastAsia"/>
          <w:b w:val="0"/>
          <w:color w:val="000000"/>
          <w:sz w:val="20"/>
          <w:lang w:val="en-US" w:eastAsia="zh-CN"/>
        </w:rPr>
        <w:t>4</w:t>
      </w:r>
    </w:p>
    <w:p w14:paraId="56025AA8">
      <w:pPr>
        <w:pStyle w:val="168"/>
        <w:keepNext/>
        <w:tabs>
          <w:tab w:val="right" w:leader="dot" w:pos="8957"/>
        </w:tabs>
        <w:spacing w:before="12" w:after="12" w:line="259" w:lineRule="auto"/>
        <w:ind w:left="822" w:right="0" w:firstLine="0"/>
        <w:jc w:val="left"/>
        <w:rPr>
          <w:rFonts w:hint="eastAsia" w:eastAsia="宋体"/>
          <w:lang w:val="en-US" w:eastAsia="zh-CN"/>
        </w:rPr>
      </w:pPr>
      <w:r>
        <w:rPr>
          <w:rFonts w:ascii="Times New Roman" w:hAnsi="Times New Roman" w:eastAsia="宋体"/>
          <w:b w:val="0"/>
          <w:color w:val="000000"/>
          <w:sz w:val="19"/>
        </w:rPr>
        <w:t>2.1　模块结构与职责</w:t>
      </w:r>
      <w:r>
        <w:rPr>
          <w:rFonts w:ascii="Times New Roman" w:hAnsi="Times New Roman" w:eastAsia="宋体"/>
          <w:b w:val="0"/>
          <w:color w:val="000000"/>
          <w:sz w:val="19"/>
        </w:rPr>
        <w:tab/>
      </w:r>
      <w:r>
        <w:rPr>
          <w:rFonts w:hint="eastAsia"/>
          <w:b w:val="0"/>
          <w:color w:val="000000"/>
          <w:sz w:val="19"/>
          <w:lang w:val="en-US" w:eastAsia="zh-CN"/>
        </w:rPr>
        <w:t>4</w:t>
      </w:r>
    </w:p>
    <w:p w14:paraId="3D824D89">
      <w:pPr>
        <w:pStyle w:val="168"/>
        <w:keepNext/>
        <w:tabs>
          <w:tab w:val="right" w:leader="dot" w:pos="8957"/>
        </w:tabs>
        <w:spacing w:before="12" w:after="12" w:line="259" w:lineRule="auto"/>
        <w:ind w:left="822" w:right="0" w:firstLine="0"/>
        <w:jc w:val="left"/>
        <w:rPr>
          <w:rFonts w:hint="eastAsia" w:eastAsia="宋体"/>
          <w:lang w:val="en-US" w:eastAsia="zh-CN"/>
        </w:rPr>
      </w:pPr>
      <w:r>
        <w:rPr>
          <w:rFonts w:ascii="Times New Roman" w:hAnsi="Times New Roman" w:eastAsia="宋体"/>
          <w:b w:val="0"/>
          <w:color w:val="000000"/>
          <w:sz w:val="19"/>
        </w:rPr>
        <w:t>2.2　仿真与证据处理流程</w:t>
      </w:r>
      <w:r>
        <w:rPr>
          <w:rFonts w:ascii="Times New Roman" w:hAnsi="Times New Roman" w:eastAsia="宋体"/>
          <w:b w:val="0"/>
          <w:color w:val="000000"/>
          <w:sz w:val="19"/>
        </w:rPr>
        <w:tab/>
      </w:r>
      <w:r>
        <w:rPr>
          <w:rFonts w:hint="eastAsia"/>
          <w:b w:val="0"/>
          <w:color w:val="000000"/>
          <w:sz w:val="19"/>
          <w:lang w:val="en-US" w:eastAsia="zh-CN"/>
        </w:rPr>
        <w:t>4</w:t>
      </w:r>
    </w:p>
    <w:p w14:paraId="10F87648">
      <w:pPr>
        <w:pStyle w:val="167"/>
        <w:keepNext/>
        <w:tabs>
          <w:tab w:val="right" w:leader="dot" w:pos="8957"/>
        </w:tabs>
        <w:spacing w:before="80" w:after="40" w:line="269" w:lineRule="auto"/>
        <w:ind w:left="340" w:right="0" w:firstLine="0"/>
        <w:jc w:val="left"/>
      </w:pPr>
      <w:r>
        <w:rPr>
          <w:rFonts w:ascii="Times New Roman" w:hAnsi="Times New Roman" w:eastAsia="黑体"/>
          <w:b/>
          <w:color w:val="000000"/>
          <w:sz w:val="21"/>
        </w:rPr>
        <w:t>第3章</w:t>
      </w:r>
      <w:r>
        <w:rPr>
          <w:rFonts w:ascii="Times New Roman" w:hAnsi="Times New Roman" w:eastAsia="宋体"/>
          <w:b w:val="0"/>
          <w:color w:val="000000"/>
          <w:sz w:val="21"/>
        </w:rPr>
        <w:t>　核心控制模块与接口</w:t>
      </w:r>
      <w:r>
        <w:rPr>
          <w:rFonts w:ascii="Times New Roman" w:hAnsi="Times New Roman" w:eastAsia="宋体"/>
          <w:b w:val="0"/>
          <w:color w:val="000000"/>
          <w:sz w:val="20"/>
        </w:rPr>
        <w:tab/>
      </w:r>
      <w:r>
        <w:rPr>
          <w:rFonts w:ascii="Times New Roman" w:hAnsi="Times New Roman" w:eastAsia="宋体"/>
          <w:b w:val="0"/>
          <w:color w:val="000000"/>
          <w:sz w:val="20"/>
        </w:rPr>
        <w:t>5</w:t>
      </w:r>
    </w:p>
    <w:p w14:paraId="74548D72">
      <w:pPr>
        <w:pStyle w:val="168"/>
        <w:keepNext/>
        <w:tabs>
          <w:tab w:val="right" w:leader="dot" w:pos="8957"/>
        </w:tabs>
        <w:spacing w:before="12" w:after="12" w:line="259" w:lineRule="auto"/>
        <w:ind w:left="822" w:right="0" w:firstLine="0"/>
        <w:jc w:val="left"/>
      </w:pPr>
      <w:r>
        <w:rPr>
          <w:rFonts w:ascii="Times New Roman" w:hAnsi="Times New Roman" w:eastAsia="宋体"/>
          <w:b w:val="0"/>
          <w:color w:val="000000"/>
          <w:sz w:val="19"/>
        </w:rPr>
        <w:t>3.1　控制器角色与模块关系</w:t>
      </w:r>
      <w:r>
        <w:rPr>
          <w:rFonts w:ascii="Times New Roman" w:hAnsi="Times New Roman" w:eastAsia="宋体"/>
          <w:b w:val="0"/>
          <w:color w:val="000000"/>
          <w:sz w:val="19"/>
        </w:rPr>
        <w:tab/>
      </w:r>
      <w:r>
        <w:rPr>
          <w:rFonts w:ascii="Times New Roman" w:hAnsi="Times New Roman" w:eastAsia="宋体"/>
          <w:b w:val="0"/>
          <w:color w:val="000000"/>
          <w:sz w:val="19"/>
        </w:rPr>
        <w:t>5</w:t>
      </w:r>
    </w:p>
    <w:p w14:paraId="73564239">
      <w:pPr>
        <w:pStyle w:val="168"/>
        <w:keepNext/>
        <w:tabs>
          <w:tab w:val="right" w:leader="dot" w:pos="8957"/>
        </w:tabs>
        <w:spacing w:before="12" w:after="12" w:line="259" w:lineRule="auto"/>
        <w:ind w:left="822" w:right="0" w:firstLine="0"/>
        <w:jc w:val="left"/>
      </w:pPr>
      <w:r>
        <w:rPr>
          <w:rFonts w:ascii="Times New Roman" w:hAnsi="Times New Roman" w:eastAsia="宋体"/>
          <w:b w:val="0"/>
          <w:color w:val="000000"/>
          <w:sz w:val="19"/>
        </w:rPr>
        <w:t>3.2　接口定义与算法替换说明</w:t>
      </w:r>
      <w:r>
        <w:rPr>
          <w:rFonts w:ascii="Times New Roman" w:hAnsi="Times New Roman" w:eastAsia="宋体"/>
          <w:b w:val="0"/>
          <w:color w:val="000000"/>
          <w:sz w:val="19"/>
        </w:rPr>
        <w:tab/>
      </w:r>
      <w:r>
        <w:rPr>
          <w:rFonts w:ascii="Times New Roman" w:hAnsi="Times New Roman" w:eastAsia="宋体"/>
          <w:b w:val="0"/>
          <w:color w:val="000000"/>
          <w:sz w:val="19"/>
        </w:rPr>
        <w:t>6</w:t>
      </w:r>
    </w:p>
    <w:p w14:paraId="45F25015">
      <w:pPr>
        <w:pStyle w:val="167"/>
        <w:keepNext/>
        <w:tabs>
          <w:tab w:val="right" w:leader="dot" w:pos="8957"/>
        </w:tabs>
        <w:spacing w:before="80" w:after="40" w:line="269" w:lineRule="auto"/>
        <w:ind w:left="340" w:right="0" w:firstLine="0"/>
        <w:jc w:val="left"/>
        <w:rPr>
          <w:rFonts w:hint="eastAsia" w:eastAsia="宋体"/>
          <w:lang w:val="en-US" w:eastAsia="zh-CN"/>
        </w:rPr>
      </w:pPr>
      <w:r>
        <w:rPr>
          <w:rFonts w:ascii="Times New Roman" w:hAnsi="Times New Roman" w:eastAsia="黑体"/>
          <w:b/>
          <w:color w:val="000000"/>
          <w:sz w:val="21"/>
        </w:rPr>
        <w:t>第4章</w:t>
      </w:r>
      <w:r>
        <w:rPr>
          <w:rFonts w:ascii="Times New Roman" w:hAnsi="Times New Roman" w:eastAsia="宋体"/>
          <w:b w:val="0"/>
          <w:color w:val="000000"/>
          <w:sz w:val="21"/>
        </w:rPr>
        <w:t>　扩展、验证与数据追溯</w:t>
      </w:r>
      <w:r>
        <w:rPr>
          <w:rFonts w:ascii="Times New Roman" w:hAnsi="Times New Roman" w:eastAsia="宋体"/>
          <w:b w:val="0"/>
          <w:color w:val="000000"/>
          <w:sz w:val="20"/>
        </w:rPr>
        <w:tab/>
      </w:r>
      <w:r>
        <w:rPr>
          <w:rFonts w:hint="eastAsia"/>
          <w:b w:val="0"/>
          <w:color w:val="000000"/>
          <w:sz w:val="20"/>
          <w:lang w:val="en-US" w:eastAsia="zh-CN"/>
        </w:rPr>
        <w:t>8</w:t>
      </w:r>
    </w:p>
    <w:p w14:paraId="2D748C44">
      <w:pPr>
        <w:pStyle w:val="168"/>
        <w:keepNext/>
        <w:tabs>
          <w:tab w:val="right" w:leader="dot" w:pos="8957"/>
        </w:tabs>
        <w:spacing w:before="12" w:after="12" w:line="259" w:lineRule="auto"/>
        <w:ind w:left="822" w:right="0" w:firstLine="0"/>
        <w:jc w:val="left"/>
        <w:rPr>
          <w:rFonts w:hint="eastAsia" w:eastAsia="宋体"/>
          <w:lang w:val="en-US" w:eastAsia="zh-CN"/>
        </w:rPr>
      </w:pPr>
      <w:r>
        <w:rPr>
          <w:rFonts w:ascii="Times New Roman" w:hAnsi="Times New Roman" w:eastAsia="宋体"/>
          <w:b w:val="0"/>
          <w:color w:val="000000"/>
          <w:sz w:val="19"/>
        </w:rPr>
        <w:t>4.1　配置、场景与数据组织</w:t>
      </w:r>
      <w:r>
        <w:rPr>
          <w:rFonts w:ascii="Times New Roman" w:hAnsi="Times New Roman" w:eastAsia="宋体"/>
          <w:b w:val="0"/>
          <w:color w:val="000000"/>
          <w:sz w:val="19"/>
        </w:rPr>
        <w:tab/>
      </w:r>
      <w:r>
        <w:rPr>
          <w:rFonts w:hint="eastAsia"/>
          <w:b w:val="0"/>
          <w:color w:val="000000"/>
          <w:sz w:val="19"/>
          <w:lang w:val="en-US" w:eastAsia="zh-CN"/>
        </w:rPr>
        <w:t>8</w:t>
      </w:r>
    </w:p>
    <w:p w14:paraId="615A53FA">
      <w:pPr>
        <w:pStyle w:val="168"/>
        <w:keepNext/>
        <w:tabs>
          <w:tab w:val="right" w:leader="dot" w:pos="8957"/>
        </w:tabs>
        <w:spacing w:before="12" w:after="12" w:line="259" w:lineRule="auto"/>
        <w:ind w:left="822" w:right="0" w:firstLine="0"/>
        <w:jc w:val="left"/>
        <w:rPr>
          <w:rFonts w:hint="eastAsia" w:eastAsia="宋体"/>
          <w:lang w:val="en-US" w:eastAsia="zh-CN"/>
        </w:rPr>
      </w:pPr>
      <w:r>
        <w:rPr>
          <w:rFonts w:ascii="Times New Roman" w:hAnsi="Times New Roman" w:eastAsia="宋体"/>
          <w:b w:val="0"/>
          <w:color w:val="000000"/>
          <w:sz w:val="19"/>
        </w:rPr>
        <w:t>4.2　算法替换与最小验证</w:t>
      </w:r>
      <w:r>
        <w:rPr>
          <w:rFonts w:ascii="Times New Roman" w:hAnsi="Times New Roman" w:eastAsia="宋体"/>
          <w:b w:val="0"/>
          <w:color w:val="000000"/>
          <w:sz w:val="19"/>
        </w:rPr>
        <w:tab/>
      </w:r>
      <w:r>
        <w:rPr>
          <w:rFonts w:hint="eastAsia"/>
          <w:b w:val="0"/>
          <w:color w:val="000000"/>
          <w:sz w:val="19"/>
          <w:lang w:val="en-US" w:eastAsia="zh-CN"/>
        </w:rPr>
        <w:t>9</w:t>
      </w:r>
    </w:p>
    <w:p w14:paraId="03CFF512">
      <w:pPr>
        <w:pStyle w:val="168"/>
        <w:keepNext/>
        <w:tabs>
          <w:tab w:val="right" w:leader="dot" w:pos="8957"/>
        </w:tabs>
        <w:spacing w:before="12" w:after="12" w:line="259" w:lineRule="auto"/>
        <w:ind w:left="822" w:right="0" w:firstLine="0"/>
        <w:jc w:val="left"/>
        <w:rPr>
          <w:rFonts w:hint="default" w:eastAsia="宋体"/>
          <w:lang w:val="en-US" w:eastAsia="zh-CN"/>
        </w:rPr>
      </w:pPr>
      <w:r>
        <w:rPr>
          <w:rFonts w:ascii="Times New Roman" w:hAnsi="Times New Roman" w:eastAsia="宋体"/>
          <w:b w:val="0"/>
          <w:color w:val="000000"/>
          <w:sz w:val="19"/>
        </w:rPr>
        <w:t>4.3　分层验证与常见故障</w:t>
      </w:r>
      <w:r>
        <w:rPr>
          <w:rFonts w:ascii="Times New Roman" w:hAnsi="Times New Roman" w:eastAsia="宋体"/>
          <w:b w:val="0"/>
          <w:color w:val="000000"/>
          <w:sz w:val="19"/>
        </w:rPr>
        <w:tab/>
      </w:r>
      <w:r>
        <w:rPr>
          <w:rFonts w:hint="eastAsia"/>
          <w:b w:val="0"/>
          <w:color w:val="000000"/>
          <w:sz w:val="19"/>
          <w:lang w:val="en-US" w:eastAsia="zh-CN"/>
        </w:rPr>
        <w:t>9</w:t>
      </w:r>
    </w:p>
    <w:p w14:paraId="798F6D93">
      <w:pPr>
        <w:pStyle w:val="167"/>
        <w:keepNext/>
        <w:tabs>
          <w:tab w:val="right" w:leader="dot" w:pos="8957"/>
        </w:tabs>
        <w:spacing w:before="80" w:after="40" w:line="269" w:lineRule="auto"/>
        <w:ind w:left="340" w:right="0" w:firstLine="0"/>
        <w:jc w:val="left"/>
        <w:rPr>
          <w:rFonts w:hint="eastAsia" w:eastAsia="宋体"/>
          <w:lang w:val="en-US" w:eastAsia="zh-CN"/>
        </w:rPr>
      </w:pPr>
      <w:r>
        <w:rPr>
          <w:rFonts w:ascii="Times New Roman" w:hAnsi="Times New Roman" w:eastAsia="黑体"/>
          <w:b/>
          <w:color w:val="000000"/>
          <w:sz w:val="21"/>
        </w:rPr>
        <w:t>第5章</w:t>
      </w:r>
      <w:r>
        <w:rPr>
          <w:rFonts w:ascii="Times New Roman" w:hAnsi="Times New Roman" w:eastAsia="宋体"/>
          <w:b w:val="0"/>
          <w:color w:val="000000"/>
          <w:sz w:val="21"/>
        </w:rPr>
        <w:t>　代码规范、来源与维护</w:t>
      </w:r>
      <w:r>
        <w:rPr>
          <w:rFonts w:ascii="Times New Roman" w:hAnsi="Times New Roman" w:eastAsia="宋体"/>
          <w:b w:val="0"/>
          <w:color w:val="000000"/>
          <w:sz w:val="20"/>
        </w:rPr>
        <w:tab/>
      </w:r>
      <w:r>
        <w:rPr>
          <w:rFonts w:ascii="Times New Roman" w:hAnsi="Times New Roman" w:eastAsia="宋体"/>
          <w:b w:val="0"/>
          <w:color w:val="000000"/>
          <w:sz w:val="20"/>
        </w:rPr>
        <w:t>1</w:t>
      </w:r>
      <w:r>
        <w:rPr>
          <w:rFonts w:hint="eastAsia"/>
          <w:b w:val="0"/>
          <w:color w:val="000000"/>
          <w:sz w:val="20"/>
          <w:lang w:val="en-US" w:eastAsia="zh-CN"/>
        </w:rPr>
        <w:t>1</w:t>
      </w:r>
    </w:p>
    <w:p w14:paraId="1EA035EA">
      <w:pPr>
        <w:pStyle w:val="168"/>
        <w:keepNext/>
        <w:tabs>
          <w:tab w:val="right" w:leader="dot" w:pos="8957"/>
        </w:tabs>
        <w:spacing w:before="12" w:after="12" w:line="259" w:lineRule="auto"/>
        <w:ind w:left="822" w:right="0" w:firstLine="0"/>
        <w:jc w:val="left"/>
        <w:rPr>
          <w:rFonts w:hint="eastAsia" w:eastAsia="宋体"/>
          <w:lang w:val="en-US" w:eastAsia="zh-CN"/>
        </w:rPr>
      </w:pPr>
      <w:r>
        <w:rPr>
          <w:rFonts w:ascii="Times New Roman" w:hAnsi="Times New Roman" w:eastAsia="宋体"/>
          <w:b w:val="0"/>
          <w:color w:val="000000"/>
          <w:sz w:val="19"/>
        </w:rPr>
        <w:t>5.1　可读性与来源说明</w:t>
      </w:r>
      <w:r>
        <w:rPr>
          <w:rFonts w:ascii="Times New Roman" w:hAnsi="Times New Roman" w:eastAsia="宋体"/>
          <w:b w:val="0"/>
          <w:color w:val="000000"/>
          <w:sz w:val="19"/>
        </w:rPr>
        <w:tab/>
      </w:r>
      <w:r>
        <w:rPr>
          <w:rFonts w:ascii="Times New Roman" w:hAnsi="Times New Roman" w:eastAsia="宋体"/>
          <w:b w:val="0"/>
          <w:color w:val="000000"/>
          <w:sz w:val="19"/>
        </w:rPr>
        <w:t>1</w:t>
      </w:r>
      <w:r>
        <w:rPr>
          <w:rFonts w:hint="eastAsia"/>
          <w:b w:val="0"/>
          <w:color w:val="000000"/>
          <w:sz w:val="19"/>
          <w:lang w:val="en-US" w:eastAsia="zh-CN"/>
        </w:rPr>
        <w:t>1</w:t>
      </w:r>
    </w:p>
    <w:p w14:paraId="02E0EE68">
      <w:pPr>
        <w:pStyle w:val="168"/>
        <w:keepNext/>
        <w:tabs>
          <w:tab w:val="right" w:leader="dot" w:pos="8957"/>
        </w:tabs>
        <w:spacing w:before="12" w:after="12" w:line="259" w:lineRule="auto"/>
        <w:ind w:left="822" w:right="0" w:firstLine="0"/>
        <w:jc w:val="left"/>
        <w:rPr>
          <w:rFonts w:hint="eastAsia" w:eastAsia="宋体"/>
          <w:lang w:val="en-US" w:eastAsia="zh-CN"/>
        </w:rPr>
      </w:pPr>
      <w:r>
        <w:rPr>
          <w:rFonts w:ascii="Times New Roman" w:hAnsi="Times New Roman" w:eastAsia="宋体"/>
          <w:b w:val="0"/>
          <w:color w:val="000000"/>
          <w:sz w:val="19"/>
        </w:rPr>
        <w:t>5.2　变更控制</w:t>
      </w:r>
      <w:r>
        <w:rPr>
          <w:rFonts w:ascii="Times New Roman" w:hAnsi="Times New Roman" w:eastAsia="宋体"/>
          <w:b w:val="0"/>
          <w:color w:val="000000"/>
          <w:sz w:val="19"/>
        </w:rPr>
        <w:tab/>
      </w:r>
      <w:r>
        <w:rPr>
          <w:rFonts w:ascii="Times New Roman" w:hAnsi="Times New Roman" w:eastAsia="宋体"/>
          <w:b w:val="0"/>
          <w:color w:val="000000"/>
          <w:sz w:val="19"/>
        </w:rPr>
        <w:t>1</w:t>
      </w:r>
      <w:r>
        <w:rPr>
          <w:rFonts w:hint="eastAsia"/>
          <w:b w:val="0"/>
          <w:color w:val="000000"/>
          <w:sz w:val="19"/>
          <w:lang w:val="en-US" w:eastAsia="zh-CN"/>
        </w:rPr>
        <w:t>1</w:t>
      </w:r>
    </w:p>
    <w:p w14:paraId="6462B958">
      <w:pPr>
        <w:pStyle w:val="167"/>
        <w:keepNext w:val="0"/>
        <w:pBdr>
          <w:bottom w:val="single" w:color="000000" w:sz="6" w:space="7"/>
        </w:pBdr>
        <w:tabs>
          <w:tab w:val="right" w:leader="dot" w:pos="8957"/>
        </w:tabs>
        <w:spacing w:before="80" w:after="140" w:line="269" w:lineRule="auto"/>
        <w:ind w:left="340" w:right="0" w:firstLine="0"/>
        <w:jc w:val="left"/>
        <w:rPr>
          <w:rFonts w:hint="eastAsia" w:eastAsia="宋体"/>
          <w:lang w:val="en-US" w:eastAsia="zh-CN"/>
        </w:rPr>
      </w:pPr>
      <w:r>
        <w:rPr>
          <w:rFonts w:ascii="Times New Roman" w:hAnsi="Times New Roman" w:eastAsia="黑体"/>
          <w:b/>
          <w:color w:val="000000"/>
          <w:sz w:val="21"/>
        </w:rPr>
        <w:t>总结</w:t>
      </w:r>
      <w:r>
        <w:rPr>
          <w:rFonts w:ascii="Times New Roman" w:hAnsi="Times New Roman" w:eastAsia="宋体"/>
          <w:b w:val="0"/>
          <w:color w:val="000000"/>
          <w:sz w:val="20"/>
        </w:rPr>
        <w:tab/>
      </w:r>
      <w:r>
        <w:rPr>
          <w:rFonts w:ascii="Times New Roman" w:hAnsi="Times New Roman" w:eastAsia="宋体"/>
          <w:b w:val="0"/>
          <w:color w:val="000000"/>
          <w:sz w:val="20"/>
        </w:rPr>
        <w:t>1</w:t>
      </w:r>
      <w:r>
        <w:rPr>
          <w:rFonts w:hint="eastAsia"/>
          <w:b w:val="0"/>
          <w:color w:val="000000"/>
          <w:sz w:val="20"/>
          <w:lang w:val="en-US" w:eastAsia="zh-CN"/>
        </w:rPr>
        <w:t>2</w:t>
      </w:r>
    </w:p>
    <w:p w14:paraId="1F880064">
      <w:r>
        <w:br w:type="page"/>
      </w:r>
    </w:p>
    <w:p w14:paraId="38773B9A">
      <w:pPr>
        <w:pStyle w:val="3"/>
        <w:pageBreakBefore w:val="0"/>
      </w:pPr>
      <w:r>
        <w:rPr>
          <w:rFonts w:ascii="Times New Roman" w:hAnsi="Times New Roman" w:eastAsia="黑体"/>
          <w:b/>
          <w:color w:val="000000"/>
          <w:sz w:val="32"/>
        </w:rPr>
        <w:t>第1章  文档说明与开发入口</w:t>
      </w:r>
    </w:p>
    <w:p w14:paraId="5136439C">
      <w:pPr>
        <w:pStyle w:val="4"/>
        <w:pageBreakBefore w:val="0"/>
      </w:pPr>
      <w:r>
        <w:rPr>
          <w:rFonts w:ascii="Times New Roman" w:hAnsi="Times New Roman" w:eastAsia="黑体"/>
          <w:b/>
          <w:color w:val="000000"/>
          <w:sz w:val="26"/>
        </w:rPr>
        <w:t>1.1  文档用途与要求对应</w:t>
      </w:r>
    </w:p>
    <w:p w14:paraId="29CC8826">
      <w:pPr>
        <w:keepLines/>
        <w:spacing w:before="0" w:after="0" w:line="360" w:lineRule="auto"/>
        <w:ind w:firstLine="480"/>
        <w:jc w:val="both"/>
      </w:pPr>
      <w:r>
        <w:rPr>
          <w:rFonts w:ascii="Times New Roman" w:hAnsi="Times New Roman" w:eastAsia="宋体"/>
          <w:color w:val="000000"/>
        </w:rPr>
        <w:t>本开发文档供项目开发者、使用者和后续维护者查阅，说明源码位置、模块职责、接口扩展、变更验证和来源记录。赛题要求代码规范可读，提供开发文档，采用模块化设计并支持算法替换，同时保证仿真展示质量并标明非原创内容来源。本文给出工程入口、运行流程和维护规则；算法原理与性能见仿真分析报告，安装与逐步操作见用户手册，根目录README提供快速入口。</w:t>
      </w:r>
    </w:p>
    <w:p w14:paraId="268FD06E">
      <w:pPr>
        <w:keepLines/>
        <w:spacing w:before="0" w:after="0" w:line="360" w:lineRule="auto"/>
        <w:ind w:firstLine="480"/>
        <w:jc w:val="both"/>
      </w:pPr>
      <w:r>
        <w:rPr>
          <w:rFonts w:ascii="Times New Roman" w:hAnsi="Times New Roman" w:eastAsia="宋体"/>
          <w:b/>
          <w:color w:val="000000"/>
          <w:sz w:val="23"/>
        </w:rPr>
        <w:t>当前默认控制器：</w:t>
      </w:r>
      <w:r>
        <w:rPr>
          <w:rFonts w:ascii="Times New Roman" w:hAnsi="Times New Roman" w:eastAsia="宋体"/>
          <w:color w:val="000000"/>
          <w:sz w:val="23"/>
        </w:rPr>
        <w:t>置信门控悬停推力估计增强的约化姿态几何控制与约束感知分配算法（Reduced-Attitude Geometric Control with Constraint-Aware Allocation Enhanced by Confidence-Gated Hover-Thrust Estimation, RA-GCA-CGHTE）。</w:t>
      </w:r>
    </w:p>
    <w:p w14:paraId="763BCF65">
      <w:pPr>
        <w:keepLines/>
        <w:spacing w:before="0" w:after="0" w:line="360" w:lineRule="auto"/>
        <w:ind w:firstLine="480"/>
        <w:jc w:val="both"/>
      </w:pPr>
      <w:r>
        <w:rPr>
          <w:rFonts w:ascii="Times New Roman" w:hAnsi="Times New Roman" w:eastAsia="宋体"/>
          <w:color w:val="000000"/>
        </w:rPr>
        <w:t>RA-GCA-CGHTE采用约化姿态控制，无独立持续偏航跟踪。预测式成对投影控制障碍函数安全监督器（Predictive Pairwise-Projection Control Barrier Function Safety Supervisor, PP-CBF）是独立三机上层安全监督器，位于低层控制器之外。后续章节以当前正式源文件包为工程依据。</w:t>
      </w:r>
    </w:p>
    <w:p w14:paraId="6F9041CF">
      <w:pPr>
        <w:pStyle w:val="4"/>
        <w:pageBreakBefore w:val="0"/>
      </w:pPr>
      <w:r>
        <w:rPr>
          <w:rFonts w:ascii="Times New Roman" w:hAnsi="Times New Roman" w:eastAsia="黑体"/>
          <w:b/>
          <w:color w:val="000000"/>
          <w:sz w:val="26"/>
        </w:rPr>
        <w:t>1.2  开发环境与阅读入口</w:t>
      </w:r>
    </w:p>
    <w:p w14:paraId="0C39A69A">
      <w:pPr>
        <w:keepLines/>
        <w:spacing w:before="0" w:after="0" w:line="360" w:lineRule="auto"/>
        <w:ind w:firstLine="480"/>
        <w:jc w:val="both"/>
      </w:pPr>
      <w:r>
        <w:rPr>
          <w:rFonts w:ascii="Times New Roman" w:hAnsi="Times New Roman" w:eastAsia="宋体"/>
          <w:color w:val="000000"/>
        </w:rPr>
        <w:t>工程使用MWORKS Sysplorer 2026a、Sysblock、Syslab 2026a、julia-ty、Windows PowerShell和MWORKS Python。源文件包不分发MWORKS商业运行时。场景仿真需启动一个Sysplorer实例，输出使用源文件包外的绝对路径。表1-1给出开发者应优先掌握的环境和入口。</w:t>
      </w:r>
    </w:p>
    <w:p w14:paraId="1AB913ED">
      <w:pPr>
        <w:pStyle w:val="15"/>
        <w:keepNext/>
        <w:keepLines/>
      </w:pPr>
      <w:r>
        <w:rPr>
          <w:rFonts w:ascii="Times New Roman" w:hAnsi="Times New Roman" w:eastAsia="宋体"/>
          <w:b/>
          <w:color w:val="000000"/>
          <w:sz w:val="21"/>
        </w:rPr>
        <w:t>表1-1  开发环境、入口与职责</w:t>
      </w:r>
    </w:p>
    <w:tbl>
      <w:tblPr>
        <w:tblStyle w:val="33"/>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024"/>
        <w:gridCol w:w="4252"/>
        <w:gridCol w:w="3024"/>
      </w:tblGrid>
      <w:tr w14:paraId="67FC6C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24" w:type="dxa"/>
            <w:tcBorders>
              <w:bottom w:val="single" w:color="000000" w:sz="8" w:space="0"/>
            </w:tcBorders>
            <w:tcMar>
              <w:top w:w="60" w:type="dxa"/>
              <w:left w:w="80" w:type="dxa"/>
              <w:bottom w:w="60" w:type="dxa"/>
              <w:right w:w="80" w:type="dxa"/>
            </w:tcMar>
            <w:vAlign w:val="center"/>
          </w:tcPr>
          <w:p w14:paraId="493E247E">
            <w:pPr>
              <w:spacing w:before="0" w:after="0" w:line="240" w:lineRule="auto"/>
              <w:ind w:firstLine="0"/>
              <w:jc w:val="center"/>
            </w:pPr>
            <w:r>
              <w:rPr>
                <w:rFonts w:ascii="Times New Roman" w:hAnsi="Times New Roman" w:eastAsia="黑体"/>
                <w:b/>
                <w:color w:val="000000"/>
                <w:sz w:val="18"/>
              </w:rPr>
              <w:t>对象或入口</w:t>
            </w:r>
          </w:p>
        </w:tc>
        <w:tc>
          <w:tcPr>
            <w:tcW w:w="3024" w:type="dxa"/>
            <w:tcBorders>
              <w:bottom w:val="single" w:color="000000" w:sz="8" w:space="0"/>
            </w:tcBorders>
            <w:tcMar>
              <w:top w:w="60" w:type="dxa"/>
              <w:left w:w="80" w:type="dxa"/>
              <w:bottom w:w="60" w:type="dxa"/>
              <w:right w:w="80" w:type="dxa"/>
            </w:tcMar>
            <w:vAlign w:val="center"/>
          </w:tcPr>
          <w:p w14:paraId="700AD4DB">
            <w:pPr>
              <w:spacing w:before="0" w:after="0" w:line="240" w:lineRule="auto"/>
              <w:ind w:firstLine="0"/>
              <w:jc w:val="center"/>
            </w:pPr>
            <w:r>
              <w:rPr>
                <w:rFonts w:ascii="Times New Roman" w:hAnsi="Times New Roman" w:eastAsia="黑体"/>
                <w:b/>
                <w:color w:val="000000"/>
                <w:sz w:val="18"/>
              </w:rPr>
              <w:t>主要职责</w:t>
            </w:r>
          </w:p>
        </w:tc>
        <w:tc>
          <w:tcPr>
            <w:tcW w:w="3024" w:type="dxa"/>
            <w:tcBorders>
              <w:bottom w:val="single" w:color="000000" w:sz="8" w:space="0"/>
            </w:tcBorders>
            <w:tcMar>
              <w:top w:w="60" w:type="dxa"/>
              <w:left w:w="80" w:type="dxa"/>
              <w:bottom w:w="60" w:type="dxa"/>
              <w:right w:w="80" w:type="dxa"/>
            </w:tcMar>
            <w:vAlign w:val="center"/>
          </w:tcPr>
          <w:p w14:paraId="6A94C2A7">
            <w:pPr>
              <w:spacing w:before="0" w:after="0" w:line="240" w:lineRule="auto"/>
              <w:ind w:firstLine="0"/>
              <w:jc w:val="center"/>
            </w:pPr>
            <w:r>
              <w:rPr>
                <w:rFonts w:ascii="Times New Roman" w:hAnsi="Times New Roman" w:eastAsia="黑体"/>
                <w:b/>
                <w:color w:val="000000"/>
                <w:sz w:val="18"/>
              </w:rPr>
              <w:t>开发提示</w:t>
            </w:r>
          </w:p>
        </w:tc>
      </w:tr>
      <w:tr w14:paraId="05CE69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59DADFDC">
            <w:pPr>
              <w:spacing w:before="0" w:after="0" w:line="240" w:lineRule="auto"/>
              <w:ind w:firstLine="0"/>
              <w:jc w:val="center"/>
            </w:pPr>
            <w:r>
              <w:rPr>
                <w:rFonts w:ascii="Times New Roman" w:hAnsi="Times New Roman" w:eastAsia="宋体"/>
                <w:b w:val="0"/>
                <w:color w:val="000000"/>
                <w:sz w:val="17"/>
              </w:rPr>
              <w:t>MWORKS平台</w:t>
            </w:r>
          </w:p>
        </w:tc>
        <w:tc>
          <w:tcPr>
            <w:tcW w:w="4252" w:type="dxa"/>
            <w:tcMar>
              <w:top w:w="60" w:type="dxa"/>
              <w:left w:w="80" w:type="dxa"/>
              <w:bottom w:w="60" w:type="dxa"/>
              <w:right w:w="80" w:type="dxa"/>
            </w:tcMar>
            <w:vAlign w:val="center"/>
          </w:tcPr>
          <w:p w14:paraId="3CCADCB4">
            <w:pPr>
              <w:spacing w:before="0" w:after="0" w:line="240" w:lineRule="auto"/>
              <w:ind w:firstLine="0"/>
              <w:jc w:val="left"/>
            </w:pPr>
            <w:r>
              <w:rPr>
                <w:rFonts w:ascii="Times New Roman" w:hAnsi="Times New Roman" w:eastAsia="宋体"/>
                <w:b w:val="0"/>
                <w:color w:val="000000"/>
                <w:sz w:val="17"/>
              </w:rPr>
              <w:t>Sysplorer承载物理模型与场景，Sysblock实现控制器，Syslab计算评价指标。</w:t>
            </w:r>
          </w:p>
        </w:tc>
        <w:tc>
          <w:tcPr>
            <w:tcW w:w="2835" w:type="dxa"/>
            <w:tcMar>
              <w:top w:w="60" w:type="dxa"/>
              <w:left w:w="80" w:type="dxa"/>
              <w:bottom w:w="60" w:type="dxa"/>
              <w:right w:w="80" w:type="dxa"/>
            </w:tcMar>
            <w:vAlign w:val="center"/>
          </w:tcPr>
          <w:p w14:paraId="4D81C0CD">
            <w:pPr>
              <w:spacing w:before="0" w:after="0" w:line="240" w:lineRule="auto"/>
              <w:ind w:firstLine="0"/>
              <w:jc w:val="left"/>
            </w:pPr>
            <w:r>
              <w:rPr>
                <w:rFonts w:ascii="Times New Roman" w:hAnsi="Times New Roman" w:eastAsia="宋体"/>
                <w:b w:val="0"/>
                <w:color w:val="000000"/>
                <w:sz w:val="17"/>
              </w:rPr>
              <w:t>使用2026a环境；运行时单独安装。</w:t>
            </w:r>
          </w:p>
        </w:tc>
      </w:tr>
      <w:tr w14:paraId="4C66CFA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5AADF0E7">
            <w:pPr>
              <w:spacing w:before="0" w:after="0" w:line="240" w:lineRule="auto"/>
              <w:ind w:firstLine="0"/>
              <w:jc w:val="center"/>
            </w:pPr>
            <w:r>
              <w:rPr>
                <w:rFonts w:ascii="Times New Roman" w:hAnsi="Times New Roman" w:eastAsia="宋体"/>
                <w:b w:val="0"/>
                <w:color w:val="000000"/>
                <w:sz w:val="17"/>
              </w:rPr>
              <w:t>README与项目总览</w:t>
            </w:r>
          </w:p>
        </w:tc>
        <w:tc>
          <w:tcPr>
            <w:tcW w:w="4252" w:type="dxa"/>
            <w:tcMar>
              <w:top w:w="60" w:type="dxa"/>
              <w:left w:w="80" w:type="dxa"/>
              <w:bottom w:w="60" w:type="dxa"/>
              <w:right w:w="80" w:type="dxa"/>
            </w:tcMar>
            <w:vAlign w:val="center"/>
          </w:tcPr>
          <w:p w14:paraId="5DFFA402">
            <w:pPr>
              <w:spacing w:before="0" w:after="0" w:line="240" w:lineRule="auto"/>
              <w:ind w:firstLine="0"/>
              <w:jc w:val="left"/>
            </w:pPr>
            <w:r>
              <w:rPr>
                <w:rFonts w:ascii="Times New Roman" w:hAnsi="Times New Roman" w:eastAsia="宋体"/>
                <w:b w:val="0"/>
                <w:color w:val="000000"/>
                <w:sz w:val="17"/>
              </w:rPr>
              <w:t>说明项目定位、目录、加载顺序、接口说明和推荐入口。</w:t>
            </w:r>
          </w:p>
        </w:tc>
        <w:tc>
          <w:tcPr>
            <w:tcW w:w="2835" w:type="dxa"/>
            <w:tcMar>
              <w:top w:w="60" w:type="dxa"/>
              <w:left w:w="80" w:type="dxa"/>
              <w:bottom w:w="60" w:type="dxa"/>
              <w:right w:w="80" w:type="dxa"/>
            </w:tcMar>
            <w:vAlign w:val="center"/>
          </w:tcPr>
          <w:p w14:paraId="3343D59E">
            <w:pPr>
              <w:spacing w:before="0" w:after="0" w:line="240" w:lineRule="auto"/>
              <w:ind w:firstLine="0"/>
              <w:jc w:val="left"/>
            </w:pPr>
            <w:r>
              <w:rPr>
                <w:rFonts w:ascii="Times New Roman" w:hAnsi="Times New Roman" w:eastAsia="宋体"/>
                <w:b w:val="0"/>
                <w:color w:val="000000"/>
                <w:sz w:val="17"/>
              </w:rPr>
              <w:t>首次阅读从README.md和00_START_HERE开始。</w:t>
            </w:r>
          </w:p>
        </w:tc>
      </w:tr>
      <w:tr w14:paraId="47D482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1F396841">
            <w:pPr>
              <w:spacing w:before="0" w:after="0" w:line="240" w:lineRule="auto"/>
              <w:ind w:firstLine="0"/>
              <w:jc w:val="center"/>
            </w:pPr>
            <w:r>
              <w:rPr>
                <w:rFonts w:ascii="Times New Roman" w:hAnsi="Times New Roman" w:eastAsia="宋体"/>
                <w:b w:val="0"/>
                <w:color w:val="000000"/>
                <w:sz w:val="17"/>
              </w:rPr>
              <w:t>算法与场景注册</w:t>
            </w:r>
          </w:p>
        </w:tc>
        <w:tc>
          <w:tcPr>
            <w:tcW w:w="4252" w:type="dxa"/>
            <w:tcMar>
              <w:top w:w="60" w:type="dxa"/>
              <w:left w:w="80" w:type="dxa"/>
              <w:bottom w:w="60" w:type="dxa"/>
              <w:right w:w="80" w:type="dxa"/>
            </w:tcMar>
            <w:vAlign w:val="center"/>
          </w:tcPr>
          <w:p w14:paraId="786141A1">
            <w:pPr>
              <w:spacing w:before="0" w:after="0" w:line="240" w:lineRule="auto"/>
              <w:ind w:firstLine="0"/>
              <w:jc w:val="left"/>
            </w:pPr>
            <w:r>
              <w:rPr>
                <w:rFonts w:ascii="Times New Roman" w:hAnsi="Times New Roman" w:eastAsia="宋体"/>
                <w:b w:val="0"/>
                <w:color w:val="000000"/>
                <w:sz w:val="17"/>
              </w:rPr>
              <w:t>MAIN_ALGORITHM.json固定主算法身份；两张CSV登记算法角色与32项项目回归集。</w:t>
            </w:r>
          </w:p>
        </w:tc>
        <w:tc>
          <w:tcPr>
            <w:tcW w:w="2835" w:type="dxa"/>
            <w:tcMar>
              <w:top w:w="60" w:type="dxa"/>
              <w:left w:w="80" w:type="dxa"/>
              <w:bottom w:w="60" w:type="dxa"/>
              <w:right w:w="80" w:type="dxa"/>
            </w:tcMar>
            <w:vAlign w:val="center"/>
          </w:tcPr>
          <w:p w14:paraId="461FAA49">
            <w:pPr>
              <w:spacing w:before="0" w:after="0" w:line="240" w:lineRule="auto"/>
              <w:ind w:firstLine="0"/>
              <w:jc w:val="left"/>
            </w:pPr>
            <w:r>
              <w:rPr>
                <w:rFonts w:ascii="Times New Roman" w:hAnsi="Times New Roman" w:eastAsia="宋体"/>
                <w:b w:val="0"/>
                <w:color w:val="000000"/>
                <w:sz w:val="17"/>
              </w:rPr>
              <w:t>注册表负责定位，不将32项写成官方规定测试。</w:t>
            </w:r>
          </w:p>
        </w:tc>
      </w:tr>
      <w:tr w14:paraId="37E4DD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3E9E082A">
            <w:pPr>
              <w:spacing w:before="0" w:after="0" w:line="240" w:lineRule="auto"/>
              <w:ind w:firstLine="0"/>
              <w:jc w:val="center"/>
            </w:pPr>
            <w:r>
              <w:rPr>
                <w:rFonts w:ascii="Times New Roman" w:hAnsi="Times New Roman" w:eastAsia="宋体"/>
                <w:b w:val="0"/>
                <w:color w:val="000000"/>
                <w:sz w:val="17"/>
              </w:rPr>
              <w:t>只读验证入口</w:t>
            </w:r>
          </w:p>
        </w:tc>
        <w:tc>
          <w:tcPr>
            <w:tcW w:w="4252" w:type="dxa"/>
            <w:tcMar>
              <w:top w:w="60" w:type="dxa"/>
              <w:left w:w="80" w:type="dxa"/>
              <w:bottom w:w="60" w:type="dxa"/>
              <w:right w:w="80" w:type="dxa"/>
            </w:tcMar>
            <w:vAlign w:val="center"/>
          </w:tcPr>
          <w:p w14:paraId="4FAC138A">
            <w:pPr>
              <w:spacing w:before="0" w:after="0" w:line="240" w:lineRule="auto"/>
              <w:ind w:firstLine="0"/>
              <w:jc w:val="left"/>
            </w:pPr>
            <w:r>
              <w:rPr>
                <w:rFonts w:ascii="Times New Roman" w:hAnsi="Times New Roman" w:eastAsia="宋体"/>
                <w:b w:val="0"/>
                <w:color w:val="000000"/>
                <w:sz w:val="17"/>
              </w:rPr>
              <w:t>RUN_QUICK_VERIFY.ps1检查测试、报告证据、图件、原始时序数据（raw）和整包文件清单；证据脚本支持独立检查。</w:t>
            </w:r>
          </w:p>
        </w:tc>
        <w:tc>
          <w:tcPr>
            <w:tcW w:w="2835" w:type="dxa"/>
            <w:tcMar>
              <w:top w:w="60" w:type="dxa"/>
              <w:left w:w="80" w:type="dxa"/>
              <w:bottom w:w="60" w:type="dxa"/>
              <w:right w:w="80" w:type="dxa"/>
            </w:tcMar>
            <w:vAlign w:val="center"/>
          </w:tcPr>
          <w:p w14:paraId="17767EA2">
            <w:pPr>
              <w:spacing w:before="0" w:after="0" w:line="240" w:lineRule="auto"/>
              <w:ind w:firstLine="0"/>
              <w:jc w:val="left"/>
            </w:pPr>
            <w:r>
              <w:rPr>
                <w:rFonts w:ascii="Times New Roman" w:hAnsi="Times New Roman" w:eastAsia="宋体"/>
                <w:b w:val="0"/>
                <w:color w:val="000000"/>
                <w:sz w:val="17"/>
              </w:rPr>
              <w:t>用于开发前预检，不启动场景仿真；重建只写包外目录。</w:t>
            </w:r>
          </w:p>
        </w:tc>
      </w:tr>
      <w:tr w14:paraId="513A2C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60" w:type="dxa"/>
              <w:left w:w="80" w:type="dxa"/>
              <w:bottom w:w="60" w:type="dxa"/>
              <w:right w:w="80" w:type="dxa"/>
            </w:tcMar>
            <w:vAlign w:val="center"/>
          </w:tcPr>
          <w:p w14:paraId="6202F686">
            <w:pPr>
              <w:spacing w:before="0" w:after="0" w:line="240" w:lineRule="auto"/>
              <w:ind w:firstLine="0"/>
              <w:jc w:val="center"/>
            </w:pPr>
            <w:r>
              <w:rPr>
                <w:rFonts w:ascii="Times New Roman" w:hAnsi="Times New Roman" w:eastAsia="宋体"/>
                <w:b w:val="0"/>
                <w:color w:val="000000"/>
                <w:sz w:val="17"/>
              </w:rPr>
              <w:t>RUN_ALL.ps1</w:t>
            </w:r>
          </w:p>
        </w:tc>
        <w:tc>
          <w:tcPr>
            <w:tcW w:w="4252" w:type="dxa"/>
            <w:tcMar>
              <w:top w:w="60" w:type="dxa"/>
              <w:left w:w="80" w:type="dxa"/>
              <w:bottom w:w="60" w:type="dxa"/>
              <w:right w:w="80" w:type="dxa"/>
            </w:tcMar>
            <w:vAlign w:val="center"/>
          </w:tcPr>
          <w:p w14:paraId="26B868D8">
            <w:pPr>
              <w:spacing w:before="0" w:after="0" w:line="240" w:lineRule="auto"/>
              <w:ind w:firstLine="0"/>
              <w:jc w:val="left"/>
            </w:pPr>
            <w:r>
              <w:rPr>
                <w:rFonts w:ascii="Times New Roman" w:hAnsi="Times New Roman" w:eastAsia="宋体"/>
                <w:b w:val="0"/>
                <w:color w:val="000000"/>
                <w:sz w:val="17"/>
              </w:rPr>
              <w:t>提供Precheck、Simulate和All入口，并调用主控制器运行器。</w:t>
            </w:r>
          </w:p>
        </w:tc>
        <w:tc>
          <w:tcPr>
            <w:tcW w:w="2835" w:type="dxa"/>
            <w:tcMar>
              <w:top w:w="60" w:type="dxa"/>
              <w:left w:w="80" w:type="dxa"/>
              <w:bottom w:w="60" w:type="dxa"/>
              <w:right w:w="80" w:type="dxa"/>
            </w:tcMar>
            <w:vAlign w:val="center"/>
          </w:tcPr>
          <w:p w14:paraId="0B9AEB1B">
            <w:pPr>
              <w:spacing w:before="0" w:after="0" w:line="240" w:lineRule="auto"/>
              <w:ind w:firstLine="0"/>
              <w:jc w:val="left"/>
            </w:pPr>
            <w:r>
              <w:rPr>
                <w:rFonts w:ascii="Times New Roman" w:hAnsi="Times New Roman" w:eastAsia="宋体"/>
                <w:b w:val="0"/>
                <w:color w:val="000000"/>
                <w:sz w:val="17"/>
              </w:rPr>
              <w:t>Simulate和All必须指定包外绝对输出目录。</w:t>
            </w:r>
          </w:p>
        </w:tc>
      </w:tr>
    </w:tbl>
    <w:p w14:paraId="3FDC0ED8"/>
    <w:p w14:paraId="78324BC2">
      <w:pPr>
        <w:keepLines/>
        <w:spacing w:before="0" w:after="0" w:line="360" w:lineRule="auto"/>
        <w:ind w:firstLine="480"/>
        <w:jc w:val="both"/>
      </w:pPr>
      <w:r>
        <w:rPr>
          <w:rFonts w:ascii="Times New Roman" w:hAnsi="Times New Roman" w:eastAsia="宋体"/>
          <w:color w:val="000000"/>
        </w:rPr>
        <w:t>推荐阅读顺序为：项目总览、主算法身份、算法注册表、场景索引、运行入口、测试与来源清单。该顺序先了解工程结构，再进入具体模型和脚本，可减少在历史材料和证据文件之间反复查找。</w:t>
      </w:r>
    </w:p>
    <w:p w14:paraId="3C9142C5">
      <w:pPr>
        <w:pStyle w:val="3"/>
        <w:pageBreakBefore w:val="0"/>
      </w:pPr>
      <w:r>
        <w:rPr>
          <w:rFonts w:ascii="Times New Roman" w:hAnsi="Times New Roman" w:eastAsia="黑体"/>
          <w:b/>
          <w:color w:val="000000"/>
          <w:sz w:val="32"/>
        </w:rPr>
        <w:t>第2章  工程架构与运行流程</w:t>
      </w:r>
    </w:p>
    <w:p w14:paraId="2BBB4B9F">
      <w:pPr>
        <w:keepLines/>
        <w:spacing w:before="0" w:after="0" w:line="360" w:lineRule="auto"/>
        <w:ind w:firstLine="480"/>
        <w:jc w:val="both"/>
      </w:pPr>
      <w:r>
        <w:rPr>
          <w:rFonts w:ascii="Times New Roman" w:hAnsi="Times New Roman" w:eastAsia="宋体"/>
          <w:color w:val="000000"/>
        </w:rPr>
        <w:t>当前正式源文件包按入口、模型、脚本、配置、结果、图件、测试和来源组织。清楚的模块职责便于阅读代码、替换算法和追溯结果。普通开发主要修改模型、脚本或配置，并在隔离副本中完成验证；正式原始时序数据、报告图件、完整性清单和来源记录作为正式工程资料保持只读。</w:t>
      </w:r>
    </w:p>
    <w:p w14:paraId="4B50D440">
      <w:pPr>
        <w:pStyle w:val="4"/>
        <w:pageBreakBefore w:val="0"/>
      </w:pPr>
      <w:r>
        <w:rPr>
          <w:rFonts w:ascii="Times New Roman" w:hAnsi="Times New Roman" w:eastAsia="黑体"/>
          <w:b/>
          <w:color w:val="000000"/>
          <w:sz w:val="26"/>
        </w:rPr>
        <w:t>2.1  模块结构与职责</w:t>
      </w:r>
    </w:p>
    <w:p w14:paraId="76EB6BA5">
      <w:pPr>
        <w:pStyle w:val="15"/>
        <w:keepNext/>
        <w:keepLines/>
      </w:pPr>
      <w:r>
        <w:rPr>
          <w:rFonts w:ascii="Times New Roman" w:hAnsi="Times New Roman" w:eastAsia="宋体"/>
          <w:b/>
          <w:color w:val="000000"/>
          <w:sz w:val="21"/>
        </w:rPr>
        <w:t>表2-1  核心模块、入口与修改原则</w:t>
      </w:r>
    </w:p>
    <w:tbl>
      <w:tblPr>
        <w:tblStyle w:val="33"/>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742"/>
        <w:gridCol w:w="3522"/>
        <w:gridCol w:w="3045"/>
        <w:gridCol w:w="1922"/>
      </w:tblGrid>
      <w:tr w14:paraId="29A151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8" w:space="0"/>
            </w:tcBorders>
            <w:tcMar>
              <w:top w:w="60" w:type="dxa"/>
              <w:left w:w="80" w:type="dxa"/>
              <w:bottom w:w="60" w:type="dxa"/>
              <w:right w:w="80" w:type="dxa"/>
            </w:tcMar>
            <w:vAlign w:val="center"/>
          </w:tcPr>
          <w:p w14:paraId="408D9553">
            <w:pPr>
              <w:spacing w:before="0" w:after="0" w:line="240" w:lineRule="auto"/>
              <w:ind w:firstLine="0"/>
              <w:jc w:val="center"/>
            </w:pPr>
            <w:r>
              <w:rPr>
                <w:rFonts w:ascii="Times New Roman" w:hAnsi="Times New Roman" w:eastAsia="黑体"/>
                <w:b/>
                <w:color w:val="000000"/>
                <w:sz w:val="18"/>
              </w:rPr>
              <w:t>模块</w:t>
            </w:r>
          </w:p>
        </w:tc>
        <w:tc>
          <w:tcPr>
            <w:tcW w:w="0" w:type="auto"/>
            <w:tcBorders>
              <w:bottom w:val="single" w:color="000000" w:sz="8" w:space="0"/>
            </w:tcBorders>
            <w:tcMar>
              <w:top w:w="60" w:type="dxa"/>
              <w:left w:w="80" w:type="dxa"/>
              <w:bottom w:w="60" w:type="dxa"/>
              <w:right w:w="80" w:type="dxa"/>
            </w:tcMar>
            <w:vAlign w:val="center"/>
          </w:tcPr>
          <w:p w14:paraId="12A658B6">
            <w:pPr>
              <w:spacing w:before="0" w:after="0" w:line="240" w:lineRule="auto"/>
              <w:ind w:firstLine="0"/>
              <w:jc w:val="center"/>
            </w:pPr>
            <w:r>
              <w:rPr>
                <w:rFonts w:ascii="Times New Roman" w:hAnsi="Times New Roman" w:eastAsia="黑体"/>
                <w:b/>
                <w:color w:val="000000"/>
                <w:sz w:val="18"/>
              </w:rPr>
              <w:t>主要位置</w:t>
            </w:r>
          </w:p>
        </w:tc>
        <w:tc>
          <w:tcPr>
            <w:tcW w:w="0" w:type="auto"/>
            <w:tcBorders>
              <w:bottom w:val="single" w:color="000000" w:sz="8" w:space="0"/>
            </w:tcBorders>
            <w:tcMar>
              <w:top w:w="60" w:type="dxa"/>
              <w:left w:w="80" w:type="dxa"/>
              <w:bottom w:w="60" w:type="dxa"/>
              <w:right w:w="80" w:type="dxa"/>
            </w:tcMar>
            <w:vAlign w:val="center"/>
          </w:tcPr>
          <w:p w14:paraId="12A60381">
            <w:pPr>
              <w:spacing w:before="0" w:after="0" w:line="240" w:lineRule="auto"/>
              <w:ind w:firstLine="0"/>
              <w:jc w:val="center"/>
              <w:rPr>
                <w:rFonts w:hint="eastAsia" w:eastAsia="黑体"/>
                <w:lang w:val="en-US" w:eastAsia="zh-CN"/>
              </w:rPr>
            </w:pPr>
            <w:r>
              <w:rPr>
                <w:rFonts w:ascii="Times New Roman" w:hAnsi="Times New Roman" w:eastAsia="黑体"/>
                <w:b/>
                <w:color w:val="000000"/>
                <w:sz w:val="18"/>
              </w:rPr>
              <w:t>核心</w:t>
            </w:r>
            <w:r>
              <w:rPr>
                <w:rFonts w:hint="eastAsia" w:eastAsia="黑体"/>
                <w:b/>
                <w:color w:val="000000"/>
                <w:sz w:val="18"/>
                <w:lang w:val="en-US" w:eastAsia="zh-CN"/>
              </w:rPr>
              <w:t>功能</w:t>
            </w:r>
          </w:p>
        </w:tc>
        <w:tc>
          <w:tcPr>
            <w:tcW w:w="0" w:type="auto"/>
            <w:tcBorders>
              <w:bottom w:val="single" w:color="000000" w:sz="8" w:space="0"/>
            </w:tcBorders>
            <w:tcMar>
              <w:top w:w="60" w:type="dxa"/>
              <w:left w:w="80" w:type="dxa"/>
              <w:bottom w:w="60" w:type="dxa"/>
              <w:right w:w="80" w:type="dxa"/>
            </w:tcMar>
            <w:vAlign w:val="center"/>
          </w:tcPr>
          <w:p w14:paraId="05E126FC">
            <w:pPr>
              <w:spacing w:before="0" w:after="0" w:line="240" w:lineRule="auto"/>
              <w:ind w:firstLine="0"/>
              <w:jc w:val="center"/>
            </w:pPr>
            <w:r>
              <w:rPr>
                <w:rFonts w:ascii="Times New Roman" w:hAnsi="Times New Roman" w:eastAsia="黑体"/>
                <w:b/>
                <w:color w:val="000000"/>
                <w:sz w:val="18"/>
              </w:rPr>
              <w:t>修改原则</w:t>
            </w:r>
          </w:p>
        </w:tc>
      </w:tr>
      <w:tr w14:paraId="4EBD577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60" w:type="dxa"/>
              <w:left w:w="80" w:type="dxa"/>
              <w:bottom w:w="60" w:type="dxa"/>
              <w:right w:w="80" w:type="dxa"/>
            </w:tcMar>
            <w:vAlign w:val="center"/>
          </w:tcPr>
          <w:p w14:paraId="2CB09408">
            <w:pPr>
              <w:spacing w:before="0" w:after="0" w:line="240" w:lineRule="auto"/>
              <w:ind w:firstLine="0"/>
              <w:jc w:val="center"/>
            </w:pPr>
            <w:r>
              <w:rPr>
                <w:rFonts w:ascii="Times New Roman" w:hAnsi="Times New Roman" w:eastAsia="宋体"/>
                <w:b w:val="0"/>
                <w:color w:val="000000"/>
                <w:sz w:val="17"/>
              </w:rPr>
              <w:t>阅读与注册</w:t>
            </w:r>
          </w:p>
        </w:tc>
        <w:tc>
          <w:tcPr>
            <w:tcW w:w="0" w:type="auto"/>
            <w:tcMar>
              <w:top w:w="60" w:type="dxa"/>
              <w:left w:w="80" w:type="dxa"/>
              <w:bottom w:w="60" w:type="dxa"/>
              <w:right w:w="80" w:type="dxa"/>
            </w:tcMar>
            <w:vAlign w:val="center"/>
          </w:tcPr>
          <w:p w14:paraId="0D2BC4FC">
            <w:pPr>
              <w:spacing w:before="0" w:after="0" w:line="240" w:lineRule="auto"/>
              <w:ind w:firstLine="0"/>
              <w:jc w:val="center"/>
            </w:pPr>
            <w:r>
              <w:rPr>
                <w:rFonts w:ascii="Times New Roman" w:hAnsi="Times New Roman" w:eastAsia="宋体"/>
                <w:b w:val="0"/>
                <w:color w:val="000000"/>
                <w:sz w:val="17"/>
              </w:rPr>
              <w:t>README.md、00_START_HERE、MAIN_ALGORITHM.json</w:t>
            </w:r>
          </w:p>
        </w:tc>
        <w:tc>
          <w:tcPr>
            <w:tcW w:w="0" w:type="auto"/>
            <w:tcMar>
              <w:top w:w="60" w:type="dxa"/>
              <w:left w:w="80" w:type="dxa"/>
              <w:bottom w:w="60" w:type="dxa"/>
              <w:right w:w="80" w:type="dxa"/>
            </w:tcMar>
            <w:vAlign w:val="center"/>
          </w:tcPr>
          <w:p w14:paraId="6330B55C">
            <w:pPr>
              <w:spacing w:before="0" w:after="0" w:line="240" w:lineRule="auto"/>
              <w:ind w:firstLine="0"/>
              <w:jc w:val="center"/>
            </w:pPr>
            <w:r>
              <w:rPr>
                <w:rFonts w:ascii="Times New Roman" w:hAnsi="Times New Roman" w:eastAsia="宋体"/>
                <w:b w:val="0"/>
                <w:color w:val="000000"/>
                <w:sz w:val="17"/>
              </w:rPr>
              <w:t>提供项目入口，登记主算法、算法角色和场景。</w:t>
            </w:r>
          </w:p>
        </w:tc>
        <w:tc>
          <w:tcPr>
            <w:tcW w:w="0" w:type="auto"/>
            <w:tcMar>
              <w:top w:w="60" w:type="dxa"/>
              <w:left w:w="80" w:type="dxa"/>
              <w:bottom w:w="60" w:type="dxa"/>
              <w:right w:w="80" w:type="dxa"/>
            </w:tcMar>
            <w:vAlign w:val="center"/>
          </w:tcPr>
          <w:p w14:paraId="5EAA8501">
            <w:pPr>
              <w:spacing w:before="0" w:after="0" w:line="240" w:lineRule="auto"/>
              <w:ind w:firstLine="0"/>
              <w:jc w:val="center"/>
            </w:pPr>
            <w:r>
              <w:rPr>
                <w:rFonts w:ascii="Times New Roman" w:hAnsi="Times New Roman" w:eastAsia="宋体"/>
                <w:b w:val="0"/>
                <w:color w:val="000000"/>
                <w:sz w:val="17"/>
              </w:rPr>
              <w:t>统一维护时更新</w:t>
            </w:r>
          </w:p>
        </w:tc>
      </w:tr>
      <w:tr w14:paraId="712846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60" w:type="dxa"/>
              <w:left w:w="80" w:type="dxa"/>
              <w:bottom w:w="60" w:type="dxa"/>
              <w:right w:w="80" w:type="dxa"/>
            </w:tcMar>
            <w:vAlign w:val="center"/>
          </w:tcPr>
          <w:p w14:paraId="50D27EB3">
            <w:pPr>
              <w:spacing w:before="0" w:after="0" w:line="240" w:lineRule="auto"/>
              <w:ind w:firstLine="0"/>
              <w:jc w:val="center"/>
            </w:pPr>
            <w:r>
              <w:rPr>
                <w:rFonts w:ascii="Times New Roman" w:hAnsi="Times New Roman" w:eastAsia="宋体"/>
                <w:b w:val="0"/>
                <w:color w:val="000000"/>
                <w:sz w:val="17"/>
              </w:rPr>
              <w:t>模型</w:t>
            </w:r>
          </w:p>
        </w:tc>
        <w:tc>
          <w:tcPr>
            <w:tcW w:w="0" w:type="auto"/>
            <w:tcMar>
              <w:top w:w="60" w:type="dxa"/>
              <w:left w:w="80" w:type="dxa"/>
              <w:bottom w:w="60" w:type="dxa"/>
              <w:right w:w="80" w:type="dxa"/>
            </w:tcMar>
            <w:vAlign w:val="center"/>
          </w:tcPr>
          <w:p w14:paraId="36537185">
            <w:pPr>
              <w:spacing w:before="0" w:after="0" w:line="240" w:lineRule="auto"/>
              <w:ind w:firstLine="0"/>
              <w:jc w:val="center"/>
            </w:pPr>
            <w:r>
              <w:rPr>
                <w:rFonts w:ascii="Times New Roman" w:hAnsi="Times New Roman" w:eastAsia="宋体"/>
                <w:b w:val="0"/>
                <w:color w:val="000000"/>
                <w:sz w:val="17"/>
              </w:rPr>
              <w:t>01_models</w:t>
            </w:r>
          </w:p>
        </w:tc>
        <w:tc>
          <w:tcPr>
            <w:tcW w:w="0" w:type="auto"/>
            <w:tcMar>
              <w:top w:w="60" w:type="dxa"/>
              <w:left w:w="80" w:type="dxa"/>
              <w:bottom w:w="60" w:type="dxa"/>
              <w:right w:w="80" w:type="dxa"/>
            </w:tcMar>
            <w:vAlign w:val="center"/>
          </w:tcPr>
          <w:p w14:paraId="3A36C2A6">
            <w:pPr>
              <w:spacing w:before="0" w:after="0" w:line="240" w:lineRule="auto"/>
              <w:ind w:firstLine="0"/>
              <w:jc w:val="center"/>
            </w:pPr>
            <w:r>
              <w:rPr>
                <w:rFonts w:ascii="Times New Roman" w:hAnsi="Times New Roman" w:eastAsia="宋体"/>
                <w:b w:val="0"/>
                <w:color w:val="000000"/>
                <w:sz w:val="17"/>
              </w:rPr>
              <w:t>保存官方模型、正式控制器、场景包装、对照算法和PP-CBF。</w:t>
            </w:r>
          </w:p>
        </w:tc>
        <w:tc>
          <w:tcPr>
            <w:tcW w:w="0" w:type="auto"/>
            <w:tcMar>
              <w:top w:w="60" w:type="dxa"/>
              <w:left w:w="80" w:type="dxa"/>
              <w:bottom w:w="60" w:type="dxa"/>
              <w:right w:w="80" w:type="dxa"/>
            </w:tcMar>
            <w:vAlign w:val="center"/>
          </w:tcPr>
          <w:p w14:paraId="61D63125">
            <w:pPr>
              <w:spacing w:before="0" w:after="0" w:line="240" w:lineRule="auto"/>
              <w:ind w:firstLine="0"/>
              <w:jc w:val="center"/>
            </w:pPr>
            <w:r>
              <w:rPr>
                <w:rFonts w:ascii="Times New Roman" w:hAnsi="Times New Roman" w:eastAsia="宋体"/>
                <w:b w:val="0"/>
                <w:color w:val="000000"/>
                <w:sz w:val="17"/>
              </w:rPr>
              <w:t>仅在隔离副本修改</w:t>
            </w:r>
          </w:p>
        </w:tc>
      </w:tr>
      <w:tr w14:paraId="1F6379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60" w:type="dxa"/>
              <w:left w:w="80" w:type="dxa"/>
              <w:bottom w:w="60" w:type="dxa"/>
              <w:right w:w="80" w:type="dxa"/>
            </w:tcMar>
            <w:vAlign w:val="center"/>
          </w:tcPr>
          <w:p w14:paraId="311D434D">
            <w:pPr>
              <w:spacing w:before="0" w:after="0" w:line="240" w:lineRule="auto"/>
              <w:ind w:firstLine="0"/>
              <w:jc w:val="center"/>
            </w:pPr>
            <w:r>
              <w:rPr>
                <w:rFonts w:ascii="Times New Roman" w:hAnsi="Times New Roman" w:eastAsia="宋体"/>
                <w:b w:val="0"/>
                <w:color w:val="000000"/>
                <w:sz w:val="17"/>
              </w:rPr>
              <w:t>脚本</w:t>
            </w:r>
          </w:p>
        </w:tc>
        <w:tc>
          <w:tcPr>
            <w:tcW w:w="0" w:type="auto"/>
            <w:tcMar>
              <w:top w:w="60" w:type="dxa"/>
              <w:left w:w="80" w:type="dxa"/>
              <w:bottom w:w="60" w:type="dxa"/>
              <w:right w:w="80" w:type="dxa"/>
            </w:tcMar>
            <w:vAlign w:val="center"/>
          </w:tcPr>
          <w:p w14:paraId="4AABA049">
            <w:pPr>
              <w:spacing w:before="0" w:after="0" w:line="240" w:lineRule="auto"/>
              <w:ind w:firstLine="0"/>
              <w:jc w:val="center"/>
            </w:pPr>
            <w:r>
              <w:rPr>
                <w:rFonts w:ascii="Times New Roman" w:hAnsi="Times New Roman" w:eastAsia="宋体"/>
                <w:b w:val="0"/>
                <w:color w:val="000000"/>
                <w:sz w:val="17"/>
              </w:rPr>
              <w:t>02_scripts</w:t>
            </w:r>
          </w:p>
        </w:tc>
        <w:tc>
          <w:tcPr>
            <w:tcW w:w="0" w:type="auto"/>
            <w:tcMar>
              <w:top w:w="60" w:type="dxa"/>
              <w:left w:w="80" w:type="dxa"/>
              <w:bottom w:w="60" w:type="dxa"/>
              <w:right w:w="80" w:type="dxa"/>
            </w:tcMar>
            <w:vAlign w:val="center"/>
          </w:tcPr>
          <w:p w14:paraId="3530FD04">
            <w:pPr>
              <w:spacing w:before="0" w:after="0" w:line="240" w:lineRule="auto"/>
              <w:ind w:firstLine="0"/>
              <w:jc w:val="center"/>
            </w:pPr>
            <w:r>
              <w:rPr>
                <w:rFonts w:ascii="Times New Roman" w:hAnsi="Times New Roman" w:eastAsia="宋体"/>
                <w:b w:val="0"/>
                <w:color w:val="000000"/>
                <w:sz w:val="17"/>
              </w:rPr>
              <w:t>负责Sysplorer运行、Syslab评价、证据构建、审计与可视化。</w:t>
            </w:r>
          </w:p>
        </w:tc>
        <w:tc>
          <w:tcPr>
            <w:tcW w:w="0" w:type="auto"/>
            <w:tcMar>
              <w:top w:w="60" w:type="dxa"/>
              <w:left w:w="80" w:type="dxa"/>
              <w:bottom w:w="60" w:type="dxa"/>
              <w:right w:w="80" w:type="dxa"/>
            </w:tcMar>
            <w:vAlign w:val="center"/>
          </w:tcPr>
          <w:p w14:paraId="33675CE5">
            <w:pPr>
              <w:spacing w:before="0" w:after="0" w:line="240" w:lineRule="auto"/>
              <w:ind w:firstLine="0"/>
              <w:jc w:val="center"/>
            </w:pPr>
            <w:r>
              <w:rPr>
                <w:rFonts w:ascii="Times New Roman" w:hAnsi="Times New Roman" w:eastAsia="宋体"/>
                <w:b w:val="0"/>
                <w:color w:val="000000"/>
                <w:sz w:val="17"/>
              </w:rPr>
              <w:t>修改后执行对应测试</w:t>
            </w:r>
          </w:p>
        </w:tc>
      </w:tr>
      <w:tr w14:paraId="3B84FCC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60" w:type="dxa"/>
              <w:left w:w="80" w:type="dxa"/>
              <w:bottom w:w="60" w:type="dxa"/>
              <w:right w:w="80" w:type="dxa"/>
            </w:tcMar>
            <w:vAlign w:val="center"/>
          </w:tcPr>
          <w:p w14:paraId="4647B1E3">
            <w:pPr>
              <w:spacing w:before="0" w:after="0" w:line="240" w:lineRule="auto"/>
              <w:ind w:firstLine="0"/>
              <w:jc w:val="center"/>
            </w:pPr>
            <w:r>
              <w:rPr>
                <w:rFonts w:ascii="Times New Roman" w:hAnsi="Times New Roman" w:eastAsia="宋体"/>
                <w:b w:val="0"/>
                <w:color w:val="000000"/>
                <w:sz w:val="17"/>
              </w:rPr>
              <w:t>配置</w:t>
            </w:r>
          </w:p>
        </w:tc>
        <w:tc>
          <w:tcPr>
            <w:tcW w:w="0" w:type="auto"/>
            <w:tcMar>
              <w:top w:w="60" w:type="dxa"/>
              <w:left w:w="80" w:type="dxa"/>
              <w:bottom w:w="60" w:type="dxa"/>
              <w:right w:w="80" w:type="dxa"/>
            </w:tcMar>
            <w:vAlign w:val="center"/>
          </w:tcPr>
          <w:p w14:paraId="478022B0">
            <w:pPr>
              <w:spacing w:before="0" w:after="0" w:line="240" w:lineRule="auto"/>
              <w:ind w:firstLine="0"/>
              <w:jc w:val="center"/>
            </w:pPr>
            <w:r>
              <w:rPr>
                <w:rFonts w:ascii="Times New Roman" w:hAnsi="Times New Roman" w:eastAsia="宋体"/>
                <w:b w:val="0"/>
                <w:color w:val="000000"/>
                <w:sz w:val="17"/>
              </w:rPr>
              <w:t>config</w:t>
            </w:r>
          </w:p>
        </w:tc>
        <w:tc>
          <w:tcPr>
            <w:tcW w:w="0" w:type="auto"/>
            <w:tcMar>
              <w:top w:w="60" w:type="dxa"/>
              <w:left w:w="80" w:type="dxa"/>
              <w:bottom w:w="60" w:type="dxa"/>
              <w:right w:w="80" w:type="dxa"/>
            </w:tcMar>
            <w:vAlign w:val="center"/>
          </w:tcPr>
          <w:p w14:paraId="19BF8FE2">
            <w:pPr>
              <w:spacing w:before="0" w:after="0" w:line="240" w:lineRule="auto"/>
              <w:ind w:firstLine="0"/>
              <w:jc w:val="center"/>
            </w:pPr>
            <w:r>
              <w:rPr>
                <w:rFonts w:ascii="Times New Roman" w:hAnsi="Times New Roman" w:eastAsia="宋体"/>
                <w:b w:val="0"/>
                <w:color w:val="000000"/>
                <w:sz w:val="17"/>
              </w:rPr>
              <w:t>定义主控制器、场景、求解器和指标。</w:t>
            </w:r>
          </w:p>
        </w:tc>
        <w:tc>
          <w:tcPr>
            <w:tcW w:w="0" w:type="auto"/>
            <w:tcMar>
              <w:top w:w="60" w:type="dxa"/>
              <w:left w:w="80" w:type="dxa"/>
              <w:bottom w:w="60" w:type="dxa"/>
              <w:right w:w="80" w:type="dxa"/>
            </w:tcMar>
            <w:vAlign w:val="center"/>
          </w:tcPr>
          <w:p w14:paraId="64FF91B0">
            <w:pPr>
              <w:spacing w:before="0" w:after="0" w:line="240" w:lineRule="auto"/>
              <w:ind w:firstLine="0"/>
              <w:jc w:val="center"/>
            </w:pPr>
            <w:r>
              <w:rPr>
                <w:rFonts w:ascii="Times New Roman" w:hAnsi="Times New Roman" w:eastAsia="宋体"/>
                <w:b w:val="0"/>
                <w:color w:val="000000"/>
                <w:sz w:val="17"/>
              </w:rPr>
              <w:t>固定的推力估计增强参数禁止运行时覆盖</w:t>
            </w:r>
          </w:p>
        </w:tc>
      </w:tr>
      <w:tr w14:paraId="06D8FF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60" w:type="dxa"/>
              <w:left w:w="80" w:type="dxa"/>
              <w:bottom w:w="60" w:type="dxa"/>
              <w:right w:w="80" w:type="dxa"/>
            </w:tcMar>
            <w:vAlign w:val="center"/>
          </w:tcPr>
          <w:p w14:paraId="77E34BF1">
            <w:pPr>
              <w:spacing w:before="0" w:after="0" w:line="240" w:lineRule="auto"/>
              <w:ind w:firstLine="0"/>
              <w:jc w:val="center"/>
            </w:pPr>
            <w:r>
              <w:rPr>
                <w:rFonts w:ascii="Times New Roman" w:hAnsi="Times New Roman" w:eastAsia="宋体"/>
                <w:b w:val="0"/>
                <w:color w:val="000000"/>
                <w:sz w:val="17"/>
              </w:rPr>
              <w:t>结果与raw</w:t>
            </w:r>
          </w:p>
        </w:tc>
        <w:tc>
          <w:tcPr>
            <w:tcW w:w="0" w:type="auto"/>
            <w:tcMar>
              <w:top w:w="60" w:type="dxa"/>
              <w:left w:w="80" w:type="dxa"/>
              <w:bottom w:w="60" w:type="dxa"/>
              <w:right w:w="80" w:type="dxa"/>
            </w:tcMar>
            <w:vAlign w:val="center"/>
          </w:tcPr>
          <w:p w14:paraId="65E545F9">
            <w:pPr>
              <w:spacing w:before="0" w:after="0" w:line="240" w:lineRule="auto"/>
              <w:ind w:firstLine="0"/>
              <w:jc w:val="center"/>
            </w:pPr>
            <w:r>
              <w:rPr>
                <w:rFonts w:ascii="Times New Roman" w:hAnsi="Times New Roman" w:eastAsia="宋体"/>
                <w:b w:val="0"/>
                <w:color w:val="000000"/>
                <w:sz w:val="17"/>
              </w:rPr>
              <w:t>04_results、06_supplementary_evidence</w:t>
            </w:r>
          </w:p>
        </w:tc>
        <w:tc>
          <w:tcPr>
            <w:tcW w:w="0" w:type="auto"/>
            <w:tcMar>
              <w:top w:w="60" w:type="dxa"/>
              <w:left w:w="80" w:type="dxa"/>
              <w:bottom w:w="60" w:type="dxa"/>
              <w:right w:w="80" w:type="dxa"/>
            </w:tcMar>
            <w:vAlign w:val="center"/>
          </w:tcPr>
          <w:p w14:paraId="27BA512D">
            <w:pPr>
              <w:spacing w:before="0" w:after="0" w:line="240" w:lineRule="auto"/>
              <w:ind w:firstLine="0"/>
              <w:jc w:val="center"/>
            </w:pPr>
            <w:r>
              <w:rPr>
                <w:rFonts w:ascii="Times New Roman" w:hAnsi="Times New Roman" w:eastAsia="宋体"/>
                <w:b w:val="0"/>
                <w:color w:val="000000"/>
                <w:sz w:val="17"/>
              </w:rPr>
              <w:t>保存结构化报告证据及当前主算法与历史回滚基线的配对raw。</w:t>
            </w:r>
          </w:p>
        </w:tc>
        <w:tc>
          <w:tcPr>
            <w:tcW w:w="0" w:type="auto"/>
            <w:tcMar>
              <w:top w:w="60" w:type="dxa"/>
              <w:left w:w="80" w:type="dxa"/>
              <w:bottom w:w="60" w:type="dxa"/>
              <w:right w:w="80" w:type="dxa"/>
            </w:tcMar>
            <w:vAlign w:val="center"/>
          </w:tcPr>
          <w:p w14:paraId="31C8FE85">
            <w:pPr>
              <w:spacing w:before="0" w:after="0" w:line="240" w:lineRule="auto"/>
              <w:ind w:firstLine="0"/>
              <w:jc w:val="center"/>
            </w:pPr>
            <w:r>
              <w:rPr>
                <w:rFonts w:ascii="Times New Roman" w:hAnsi="Times New Roman" w:eastAsia="宋体"/>
                <w:b w:val="0"/>
                <w:color w:val="000000"/>
                <w:sz w:val="17"/>
              </w:rPr>
              <w:t>正式包内保持只读</w:t>
            </w:r>
          </w:p>
        </w:tc>
      </w:tr>
      <w:tr w14:paraId="0464BC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60" w:type="dxa"/>
              <w:left w:w="80" w:type="dxa"/>
              <w:bottom w:w="60" w:type="dxa"/>
              <w:right w:w="80" w:type="dxa"/>
            </w:tcMar>
            <w:vAlign w:val="center"/>
          </w:tcPr>
          <w:p w14:paraId="4DD33F4B">
            <w:pPr>
              <w:spacing w:before="0" w:after="0" w:line="240" w:lineRule="auto"/>
              <w:ind w:firstLine="0"/>
              <w:jc w:val="center"/>
            </w:pPr>
            <w:r>
              <w:rPr>
                <w:rFonts w:ascii="Times New Roman" w:hAnsi="Times New Roman" w:eastAsia="宋体"/>
                <w:b w:val="0"/>
                <w:color w:val="000000"/>
                <w:sz w:val="17"/>
              </w:rPr>
              <w:t>图件</w:t>
            </w:r>
          </w:p>
        </w:tc>
        <w:tc>
          <w:tcPr>
            <w:tcW w:w="0" w:type="auto"/>
            <w:tcMar>
              <w:top w:w="60" w:type="dxa"/>
              <w:left w:w="80" w:type="dxa"/>
              <w:bottom w:w="60" w:type="dxa"/>
              <w:right w:w="80" w:type="dxa"/>
            </w:tcMar>
            <w:vAlign w:val="center"/>
          </w:tcPr>
          <w:p w14:paraId="3C2FF37E">
            <w:pPr>
              <w:spacing w:before="0" w:after="0" w:line="240" w:lineRule="auto"/>
              <w:ind w:firstLine="0"/>
              <w:jc w:val="center"/>
            </w:pPr>
            <w:r>
              <w:rPr>
                <w:rFonts w:ascii="Times New Roman" w:hAnsi="Times New Roman" w:eastAsia="宋体"/>
                <w:b w:val="0"/>
                <w:color w:val="000000"/>
                <w:sz w:val="17"/>
              </w:rPr>
              <w:t>05_visuals</w:t>
            </w:r>
          </w:p>
        </w:tc>
        <w:tc>
          <w:tcPr>
            <w:tcW w:w="0" w:type="auto"/>
            <w:tcMar>
              <w:top w:w="60" w:type="dxa"/>
              <w:left w:w="80" w:type="dxa"/>
              <w:bottom w:w="60" w:type="dxa"/>
              <w:right w:w="80" w:type="dxa"/>
            </w:tcMar>
            <w:vAlign w:val="center"/>
          </w:tcPr>
          <w:p w14:paraId="169CFB0C">
            <w:pPr>
              <w:spacing w:before="0" w:after="0" w:line="240" w:lineRule="auto"/>
              <w:ind w:firstLine="0"/>
              <w:jc w:val="center"/>
            </w:pPr>
            <w:r>
              <w:rPr>
                <w:rFonts w:ascii="Times New Roman" w:hAnsi="Times New Roman" w:eastAsia="宋体"/>
                <w:b w:val="0"/>
                <w:color w:val="000000"/>
                <w:sz w:val="17"/>
              </w:rPr>
              <w:t>保存发布图、报告正式图、GIF及图件底稿。</w:t>
            </w:r>
          </w:p>
        </w:tc>
        <w:tc>
          <w:tcPr>
            <w:tcW w:w="0" w:type="auto"/>
            <w:tcMar>
              <w:top w:w="60" w:type="dxa"/>
              <w:left w:w="80" w:type="dxa"/>
              <w:bottom w:w="60" w:type="dxa"/>
              <w:right w:w="80" w:type="dxa"/>
            </w:tcMar>
            <w:vAlign w:val="center"/>
          </w:tcPr>
          <w:p w14:paraId="1F57BFC5">
            <w:pPr>
              <w:spacing w:before="0" w:after="0" w:line="240" w:lineRule="auto"/>
              <w:ind w:firstLine="0"/>
              <w:jc w:val="center"/>
            </w:pPr>
            <w:r>
              <w:rPr>
                <w:rFonts w:ascii="Times New Roman" w:hAnsi="Times New Roman" w:eastAsia="宋体"/>
                <w:b w:val="0"/>
                <w:color w:val="000000"/>
                <w:sz w:val="17"/>
              </w:rPr>
              <w:t>通过资产索引追溯</w:t>
            </w:r>
          </w:p>
        </w:tc>
      </w:tr>
      <w:tr w14:paraId="7EF37DE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60" w:type="dxa"/>
              <w:left w:w="80" w:type="dxa"/>
              <w:bottom w:w="60" w:type="dxa"/>
              <w:right w:w="80" w:type="dxa"/>
            </w:tcMar>
            <w:vAlign w:val="center"/>
          </w:tcPr>
          <w:p w14:paraId="27944C30">
            <w:pPr>
              <w:spacing w:before="0" w:after="0" w:line="240" w:lineRule="auto"/>
              <w:ind w:firstLine="0"/>
              <w:jc w:val="center"/>
            </w:pPr>
            <w:r>
              <w:rPr>
                <w:rFonts w:ascii="Times New Roman" w:hAnsi="Times New Roman" w:eastAsia="宋体"/>
                <w:b w:val="0"/>
                <w:color w:val="000000"/>
                <w:sz w:val="17"/>
              </w:rPr>
              <w:t>测试与来源</w:t>
            </w:r>
          </w:p>
        </w:tc>
        <w:tc>
          <w:tcPr>
            <w:tcW w:w="0" w:type="auto"/>
            <w:tcMar>
              <w:top w:w="60" w:type="dxa"/>
              <w:left w:w="80" w:type="dxa"/>
              <w:bottom w:w="60" w:type="dxa"/>
              <w:right w:w="80" w:type="dxa"/>
            </w:tcMar>
            <w:vAlign w:val="center"/>
          </w:tcPr>
          <w:p w14:paraId="7F3BA39A">
            <w:pPr>
              <w:spacing w:before="0" w:after="0" w:line="240" w:lineRule="auto"/>
              <w:ind w:firstLine="0"/>
              <w:jc w:val="center"/>
            </w:pPr>
            <w:r>
              <w:rPr>
                <w:rFonts w:ascii="Times New Roman" w:hAnsi="Times New Roman" w:eastAsia="宋体"/>
                <w:b w:val="0"/>
                <w:color w:val="000000"/>
                <w:sz w:val="17"/>
              </w:rPr>
              <w:t>test、08_provenance</w:t>
            </w:r>
          </w:p>
        </w:tc>
        <w:tc>
          <w:tcPr>
            <w:tcW w:w="0" w:type="auto"/>
            <w:tcMar>
              <w:top w:w="60" w:type="dxa"/>
              <w:left w:w="80" w:type="dxa"/>
              <w:bottom w:w="60" w:type="dxa"/>
              <w:right w:w="80" w:type="dxa"/>
            </w:tcMar>
            <w:vAlign w:val="center"/>
          </w:tcPr>
          <w:p w14:paraId="2E0046CE">
            <w:pPr>
              <w:spacing w:before="0" w:after="0" w:line="240" w:lineRule="auto"/>
              <w:ind w:firstLine="0"/>
              <w:jc w:val="center"/>
            </w:pPr>
            <w:r>
              <w:rPr>
                <w:rFonts w:ascii="Times New Roman" w:hAnsi="Times New Roman" w:eastAsia="宋体"/>
                <w:b w:val="0"/>
                <w:color w:val="000000"/>
                <w:sz w:val="17"/>
              </w:rPr>
              <w:t>验证入口与证据完整性，登记依赖、来源和材料准入。</w:t>
            </w:r>
          </w:p>
        </w:tc>
        <w:tc>
          <w:tcPr>
            <w:tcW w:w="0" w:type="auto"/>
            <w:tcMar>
              <w:top w:w="60" w:type="dxa"/>
              <w:left w:w="80" w:type="dxa"/>
              <w:bottom w:w="60" w:type="dxa"/>
              <w:right w:w="80" w:type="dxa"/>
            </w:tcMar>
            <w:vAlign w:val="center"/>
          </w:tcPr>
          <w:p w14:paraId="5BA90A0D">
            <w:pPr>
              <w:spacing w:before="0" w:after="0" w:line="240" w:lineRule="auto"/>
              <w:ind w:firstLine="0"/>
              <w:jc w:val="center"/>
            </w:pPr>
            <w:r>
              <w:rPr>
                <w:rFonts w:ascii="Times New Roman" w:hAnsi="Times New Roman" w:eastAsia="宋体"/>
                <w:b w:val="0"/>
                <w:color w:val="000000"/>
                <w:sz w:val="17"/>
              </w:rPr>
              <w:t>由项目维护流程统一管理</w:t>
            </w:r>
          </w:p>
        </w:tc>
      </w:tr>
    </w:tbl>
    <w:p w14:paraId="5E32A179"/>
    <w:p w14:paraId="57697799">
      <w:pPr>
        <w:keepLines/>
        <w:spacing w:before="0" w:after="0" w:line="360" w:lineRule="auto"/>
        <w:ind w:firstLine="480"/>
        <w:jc w:val="both"/>
      </w:pPr>
      <w:r>
        <w:rPr>
          <w:rFonts w:ascii="Times New Roman" w:hAnsi="Times New Roman" w:eastAsia="宋体"/>
          <w:color w:val="000000"/>
        </w:rPr>
        <w:t>表2-1表明，日常开发修改集中在模型、脚本和配置三类区域；结果、图件、完整性清单和来源记录由项目发布流程统一维护。</w:t>
      </w:r>
    </w:p>
    <w:p w14:paraId="041DFDDB">
      <w:pPr>
        <w:pStyle w:val="4"/>
        <w:pageBreakBefore w:val="0"/>
      </w:pPr>
      <w:r>
        <w:rPr>
          <w:rFonts w:ascii="Times New Roman" w:hAnsi="Times New Roman" w:eastAsia="黑体"/>
          <w:b/>
          <w:color w:val="000000"/>
          <w:sz w:val="26"/>
        </w:rPr>
        <w:t>2.2  仿真与证据处理流程</w:t>
      </w:r>
    </w:p>
    <w:p w14:paraId="0DA062CC">
      <w:pPr>
        <w:keepLines/>
        <w:spacing w:before="0" w:after="0" w:line="360" w:lineRule="auto"/>
        <w:ind w:firstLine="480"/>
        <w:jc w:val="both"/>
      </w:pPr>
      <w:r>
        <w:rPr>
          <w:rFonts w:ascii="Times New Roman" w:hAnsi="Times New Roman" w:eastAsia="宋体"/>
          <w:color w:val="000000"/>
        </w:rPr>
        <w:t>如图2-1所示，场景仿真、证据生成和只读验收共享注册表与配置，但采用不同入口和写入权限。RUN_ALL.ps1先执行预检，再由Python运行器连接现有Sysplorer实例，按场景加载物理模型、Sysblock控制器和包装模型，并将时序结果、raw和执行状态写入源文件包外目录。Syslab与Python脚本随后完成指标计算、证据整理和图件追溯。</w:t>
      </w:r>
    </w:p>
    <w:p w14:paraId="5CFAF457">
      <w:pPr>
        <w:keepNext/>
        <w:spacing w:before="40"/>
        <w:ind w:firstLine="0"/>
        <w:jc w:val="center"/>
      </w:pPr>
      <w:r>
        <w:rPr>
          <w:rFonts w:ascii="Times New Roman" w:hAnsi="Times New Roman" w:eastAsia="宋体"/>
          <w:color w:val="000000"/>
        </w:rPr>
        <w:drawing>
          <wp:inline distT="0" distB="0" distL="0" distR="0">
            <wp:extent cx="5795645" cy="1835150"/>
            <wp:effectExtent l="0" t="0" r="0" b="0"/>
            <wp:docPr id="1" name="Picture 1" descr="PowerShell和Python入口连接Sysplorer、Sysblock、包外raw、Syslab评价、报告证据与来源清单的工程运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owerShell和Python入口连接Sysplorer、Sysblock、包外raw、Syslab评价、报告证据与来源清单的工程运行流程"/>
                    <pic:cNvPicPr>
                      <a:picLocks noChangeAspect="1"/>
                    </pic:cNvPicPr>
                  </pic:nvPicPr>
                  <pic:blipFill>
                    <a:blip r:embed="rId9"/>
                    <a:stretch>
                      <a:fillRect/>
                    </a:stretch>
                  </pic:blipFill>
                  <pic:spPr>
                    <a:xfrm>
                      <a:off x="0" y="0"/>
                      <a:ext cx="5796000" cy="1835400"/>
                    </a:xfrm>
                    <a:prstGeom prst="rect">
                      <a:avLst/>
                    </a:prstGeom>
                  </pic:spPr>
                </pic:pic>
              </a:graphicData>
            </a:graphic>
          </wp:inline>
        </w:drawing>
      </w:r>
    </w:p>
    <w:p w14:paraId="227C8B58">
      <w:pPr>
        <w:pStyle w:val="15"/>
        <w:keepNext w:val="0"/>
        <w:keepLines/>
      </w:pPr>
      <w:r>
        <w:rPr>
          <w:rFonts w:ascii="Times New Roman" w:hAnsi="Times New Roman" w:eastAsia="宋体"/>
          <w:b/>
          <w:color w:val="000000"/>
          <w:sz w:val="21"/>
        </w:rPr>
        <w:t>图2-1  工程模块与运行流程</w:t>
      </w:r>
    </w:p>
    <w:p w14:paraId="1EFA6B5D">
      <w:pPr>
        <w:pStyle w:val="165"/>
        <w:keepLines/>
      </w:pPr>
      <w:r>
        <w:rPr>
          <w:rFonts w:ascii="Times New Roman" w:hAnsi="Times New Roman" w:eastAsia="宋体"/>
          <w:color w:val="000000"/>
          <w:sz w:val="18"/>
        </w:rPr>
        <w:t>资料依据：当前正式源文件包的README、RUN_ALL.ps1、RUN_QUICK_VERIFY.ps1、主控制器运行器、证据构建脚本及来源清单。</w:t>
      </w:r>
    </w:p>
    <w:p w14:paraId="1964896B">
      <w:pPr>
        <w:keepLines/>
        <w:spacing w:before="0" w:after="0" w:line="360" w:lineRule="auto"/>
        <w:ind w:firstLine="480"/>
        <w:jc w:val="both"/>
        <w:rPr>
          <w:rFonts w:ascii="Times New Roman" w:hAnsi="Times New Roman" w:eastAsia="宋体"/>
          <w:color w:val="000000"/>
        </w:rPr>
      </w:pPr>
      <w:r>
        <w:rPr>
          <w:rFonts w:ascii="Times New Roman" w:hAnsi="Times New Roman" w:eastAsia="宋体"/>
          <w:color w:val="000000"/>
        </w:rPr>
        <w:t>只读验收入口不会启动、关闭、清空或切换Sysplorer工作目录；主控制器运行器同样保留现有实例状态。RECOMPUTE_REPORT_EVIDENCE.ps1的检查模式不生成新文件，重建模式也要求输出到源文件包之外。这些规则将开发输出与正式证据资料分开保存，降低误改正式材料、结果混用和文件冲突的风险。</w:t>
      </w:r>
    </w:p>
    <w:p w14:paraId="16136F24">
      <w:pPr>
        <w:keepLines/>
        <w:spacing w:before="0" w:after="0" w:line="360" w:lineRule="auto"/>
        <w:ind w:firstLine="480"/>
        <w:jc w:val="both"/>
        <w:rPr>
          <w:rFonts w:ascii="Times New Roman" w:hAnsi="Times New Roman" w:eastAsia="宋体"/>
          <w:color w:val="000000"/>
        </w:rPr>
      </w:pPr>
    </w:p>
    <w:p w14:paraId="58923D07">
      <w:pPr>
        <w:keepLines/>
        <w:spacing w:before="0" w:after="0" w:line="360" w:lineRule="auto"/>
        <w:ind w:firstLine="480"/>
        <w:jc w:val="center"/>
      </w:pPr>
      <w:r>
        <w:rPr>
          <w:rFonts w:ascii="Times New Roman" w:hAnsi="Times New Roman" w:eastAsia="黑体"/>
          <w:b/>
          <w:color w:val="000000"/>
          <w:sz w:val="32"/>
        </w:rPr>
        <w:t>第3章  核心控制模块与接口</w:t>
      </w:r>
    </w:p>
    <w:p w14:paraId="7D3C0ACF">
      <w:pPr>
        <w:spacing w:before="0" w:after="0" w:line="360" w:lineRule="auto"/>
        <w:ind w:firstLine="480"/>
        <w:jc w:val="both"/>
      </w:pPr>
      <w:r>
        <w:rPr>
          <w:rFonts w:ascii="Times New Roman" w:hAnsi="Times New Roman" w:eastAsia="宋体"/>
          <w:color w:val="000000"/>
        </w:rPr>
        <w:t>本章依据作品源文件包中的算法注册表、Sysblock模型和配置文件，说明核心控制模块的职责、接口和后续算法替换注意事项。算法推导与性能证据见仿真分析报告。</w:t>
      </w:r>
    </w:p>
    <w:p w14:paraId="03779C2B">
      <w:pPr>
        <w:pStyle w:val="4"/>
        <w:pageBreakBefore w:val="0"/>
      </w:pPr>
      <w:r>
        <w:rPr>
          <w:rFonts w:ascii="Times New Roman" w:hAnsi="Times New Roman" w:eastAsia="黑体"/>
          <w:b/>
          <w:color w:val="000000"/>
          <w:sz w:val="26"/>
        </w:rPr>
        <w:t>3.1  控制器角色与模块关系</w:t>
      </w:r>
    </w:p>
    <w:p w14:paraId="1EAEBF91">
      <w:pPr>
        <w:spacing w:before="0" w:after="0" w:line="360" w:lineRule="auto"/>
        <w:ind w:firstLine="480"/>
        <w:jc w:val="both"/>
      </w:pPr>
      <w:r>
        <w:rPr>
          <w:rFonts w:ascii="Times New Roman" w:hAnsi="Times New Roman" w:eastAsia="宋体"/>
          <w:color w:val="000000"/>
        </w:rPr>
        <w:t>RA-GCA-CGHTE按0.01 s周期完成参考与状态解析、平移控制、约化姿态控制、推力尺度估计、约束分配和诊断输出，是当前默认低层控制器。16维诊断不进入被控对象动力学。实现文件为</w:t>
      </w:r>
      <w:r>
        <w:rPr>
          <w:rFonts w:ascii="Consolas" w:hAnsi="Consolas" w:eastAsia="等线"/>
          <w:color w:val="000000"/>
          <w:sz w:val="21"/>
        </w:rPr>
        <w:t>01_models/sysblock/A8FormalRAGCACGHTE_20260715.mo</w:t>
      </w:r>
      <w:r>
        <w:rPr>
          <w:rFonts w:ascii="Times New Roman" w:hAnsi="Times New Roman" w:eastAsia="宋体"/>
          <w:color w:val="000000"/>
        </w:rPr>
        <w:t>。</w:t>
      </w:r>
    </w:p>
    <w:p w14:paraId="30F7DC04">
      <w:pPr>
        <w:spacing w:before="0" w:after="0" w:line="360" w:lineRule="auto"/>
        <w:ind w:firstLine="480"/>
        <w:jc w:val="both"/>
      </w:pPr>
      <w:r>
        <w:rPr>
          <w:rFonts w:ascii="Times New Roman" w:hAnsi="Times New Roman" w:eastAsia="宋体"/>
          <w:color w:val="000000"/>
        </w:rPr>
        <w:t>算法注册表还保留四种低层比较对象：官方级联PID基线（Official Cascaded PID Baseline, PID）、约化姿态几何控制基础构型（Baseline Reduced-Attitude Geometric Control Configuration, RA-GCA/Base）、控制权限优先主动扰动抑制控制（Control-Authority-Prioritized Active Disturbance Rejection Control, CAP-ADRC）和指令代理增量非线性动态逆控制（Command-Proxy Incremental Nonlinear Dynamic Inversion Control, CP-INDI）。它们分别承担官方基线、几何控制基础方案、主动扰动抑制对照和增量动态逆对照，共享外部接口，但不属于RA-GCA-CGHTE。</w:t>
      </w:r>
    </w:p>
    <w:p w14:paraId="2FC06417">
      <w:pPr>
        <w:spacing w:before="0" w:after="0" w:line="360" w:lineRule="auto"/>
        <w:ind w:firstLine="480"/>
        <w:jc w:val="both"/>
      </w:pPr>
      <w:r>
        <w:rPr>
          <w:rFonts w:ascii="Times New Roman" w:hAnsi="Times New Roman" w:eastAsia="宋体"/>
          <w:color w:val="000000"/>
        </w:rPr>
        <w:t>PP-CBF位于三机编队参考生成层。它根据领导机参考、三机平移状态和编队偏置按需修正上层参考；三套RA-GCA-CGHTE分别完成低层跟踪。安全监督器和低层控制器通过明确接口连接，可以分别修改和验证。</w:t>
      </w:r>
    </w:p>
    <w:p w14:paraId="02CC89A5">
      <w:pPr>
        <w:keepNext/>
        <w:spacing w:before="80"/>
        <w:ind w:firstLine="0"/>
        <w:jc w:val="center"/>
      </w:pPr>
      <w:r>
        <w:rPr>
          <w:rFonts w:ascii="Times New Roman" w:hAnsi="Times New Roman" w:eastAsia="宋体"/>
          <w:color w:val="000000"/>
        </w:rPr>
        <w:drawing>
          <wp:inline distT="0" distB="0" distL="0" distR="0">
            <wp:extent cx="5471795" cy="2461895"/>
            <wp:effectExtent l="0" t="0" r="0" b="0"/>
            <wp:docPr id="155288917" name="Picture 1" descr="单机RA-GCA-CGHTE控制链与三机PP-CBF安全监督分层接口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8917" name="Picture 1" descr="单机RA-GCA-CGHTE控制链与三机PP-CBF安全监督分层接口图"/>
                    <pic:cNvPicPr>
                      <a:picLocks noChangeAspect="1"/>
                    </pic:cNvPicPr>
                  </pic:nvPicPr>
                  <pic:blipFill>
                    <a:blip r:embed="rId10"/>
                    <a:stretch>
                      <a:fillRect/>
                    </a:stretch>
                  </pic:blipFill>
                  <pic:spPr>
                    <a:xfrm>
                      <a:off x="0" y="0"/>
                      <a:ext cx="5472000" cy="2462400"/>
                    </a:xfrm>
                    <a:prstGeom prst="rect">
                      <a:avLst/>
                    </a:prstGeom>
                  </pic:spPr>
                </pic:pic>
              </a:graphicData>
            </a:graphic>
          </wp:inline>
        </w:drawing>
      </w:r>
    </w:p>
    <w:p w14:paraId="7BC936C2">
      <w:pPr>
        <w:pStyle w:val="15"/>
        <w:keepNext w:val="0"/>
      </w:pPr>
      <w:r>
        <w:rPr>
          <w:rFonts w:ascii="Times New Roman" w:hAnsi="Times New Roman" w:eastAsia="宋体"/>
          <w:b/>
          <w:color w:val="000000"/>
          <w:sz w:val="21"/>
        </w:rPr>
        <w:t>图3-1  核心控制模块及上下层接口关系</w:t>
      </w:r>
    </w:p>
    <w:p w14:paraId="7146BD0B">
      <w:pPr>
        <w:pStyle w:val="165"/>
      </w:pPr>
      <w:r>
        <w:rPr>
          <w:rFonts w:ascii="Times New Roman" w:hAnsi="Times New Roman" w:eastAsia="宋体"/>
          <w:color w:val="000000"/>
          <w:sz w:val="18"/>
        </w:rPr>
        <w:t>资料来源：根据当前主控制器、PP-CBF模型及算法注册表整理。</w:t>
      </w:r>
    </w:p>
    <w:p w14:paraId="41CF369F">
      <w:pPr>
        <w:spacing w:before="0" w:after="0" w:line="360" w:lineRule="auto"/>
        <w:ind w:firstLine="480"/>
        <w:jc w:val="both"/>
      </w:pPr>
      <w:r>
        <w:rPr>
          <w:rFonts w:ascii="Times New Roman" w:hAnsi="Times New Roman" w:eastAsia="宋体"/>
          <w:color w:val="000000"/>
        </w:rPr>
        <w:t>图3-1显示，PP-CBF只修改三机上层参考，低层控制器仍按统一接口生成电机指令；两类诊断量均用于状态检查，不参与动力学计算。</w:t>
      </w:r>
    </w:p>
    <w:p w14:paraId="5AEA96A6">
      <w:pPr>
        <w:pStyle w:val="4"/>
        <w:pageBreakBefore w:val="0"/>
      </w:pPr>
      <w:r>
        <w:rPr>
          <w:rFonts w:ascii="Times New Roman" w:hAnsi="Times New Roman" w:eastAsia="黑体"/>
          <w:b/>
          <w:color w:val="000000"/>
          <w:sz w:val="26"/>
        </w:rPr>
        <w:t>3.2  接口定义与算法替换说明</w:t>
      </w:r>
    </w:p>
    <w:p w14:paraId="74A246FA">
      <w:pPr>
        <w:spacing w:before="0" w:after="0" w:line="360" w:lineRule="auto"/>
        <w:ind w:firstLine="480"/>
        <w:jc w:val="both"/>
      </w:pPr>
      <w:r>
        <w:rPr>
          <w:rFonts w:ascii="Times New Roman" w:hAnsi="Times New Roman" w:eastAsia="宋体"/>
          <w:color w:val="000000"/>
        </w:rPr>
        <w:t>两类核心模块均采用0.01 s离散周期。向量维度、分量顺序和坐标含义应保持一致。开发者可以修改内部控制律或安全修正方法，同时需要检查外部模型连接、诊断含义和验证脚本。表3-1列出主要接口。</w:t>
      </w:r>
    </w:p>
    <w:p w14:paraId="1089DB83">
      <w:pPr>
        <w:pStyle w:val="15"/>
        <w:keepNext/>
      </w:pPr>
      <w:r>
        <w:rPr>
          <w:rFonts w:ascii="Times New Roman" w:hAnsi="Times New Roman" w:eastAsia="宋体"/>
          <w:b/>
          <w:color w:val="000000"/>
          <w:sz w:val="21"/>
        </w:rPr>
        <w:t>表3-1  核心模块接口及使用要求</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22"/>
        <w:gridCol w:w="508"/>
        <w:gridCol w:w="5474"/>
        <w:gridCol w:w="2327"/>
      </w:tblGrid>
      <w:tr w14:paraId="368E32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0" w:type="auto"/>
            <w:tcBorders>
              <w:bottom w:val="single" w:color="000000" w:sz="8" w:space="0"/>
            </w:tcBorders>
            <w:tcMar>
              <w:top w:w="70" w:type="dxa"/>
              <w:left w:w="80" w:type="dxa"/>
              <w:bottom w:w="70" w:type="dxa"/>
              <w:right w:w="80" w:type="dxa"/>
            </w:tcMar>
            <w:vAlign w:val="center"/>
          </w:tcPr>
          <w:p w14:paraId="13B6D947">
            <w:pPr>
              <w:pStyle w:val="166"/>
              <w:spacing w:before="0" w:after="0" w:line="240" w:lineRule="auto"/>
              <w:ind w:firstLine="0"/>
              <w:jc w:val="center"/>
            </w:pPr>
            <w:r>
              <w:rPr>
                <w:rFonts w:ascii="Times New Roman" w:hAnsi="Times New Roman" w:eastAsia="黑体"/>
                <w:b/>
                <w:color w:val="000000"/>
                <w:sz w:val="18"/>
              </w:rPr>
              <w:t>模块与方向</w:t>
            </w:r>
          </w:p>
        </w:tc>
        <w:tc>
          <w:tcPr>
            <w:tcW w:w="0" w:type="auto"/>
            <w:tcBorders>
              <w:bottom w:val="single" w:color="000000" w:sz="8" w:space="0"/>
            </w:tcBorders>
            <w:tcMar>
              <w:top w:w="70" w:type="dxa"/>
              <w:left w:w="80" w:type="dxa"/>
              <w:bottom w:w="70" w:type="dxa"/>
              <w:right w:w="80" w:type="dxa"/>
            </w:tcMar>
            <w:vAlign w:val="center"/>
          </w:tcPr>
          <w:p w14:paraId="68BA4478">
            <w:pPr>
              <w:pStyle w:val="166"/>
              <w:spacing w:before="0" w:after="0" w:line="240" w:lineRule="auto"/>
              <w:ind w:firstLine="0"/>
              <w:jc w:val="center"/>
            </w:pPr>
            <w:r>
              <w:rPr>
                <w:rFonts w:ascii="Times New Roman" w:hAnsi="Times New Roman" w:eastAsia="黑体"/>
                <w:b/>
                <w:color w:val="000000"/>
                <w:sz w:val="18"/>
              </w:rPr>
              <w:t>维度</w:t>
            </w:r>
          </w:p>
        </w:tc>
        <w:tc>
          <w:tcPr>
            <w:tcW w:w="0" w:type="auto"/>
            <w:tcBorders>
              <w:bottom w:val="single" w:color="000000" w:sz="8" w:space="0"/>
            </w:tcBorders>
            <w:tcMar>
              <w:top w:w="70" w:type="dxa"/>
              <w:left w:w="80" w:type="dxa"/>
              <w:bottom w:w="70" w:type="dxa"/>
              <w:right w:w="80" w:type="dxa"/>
            </w:tcMar>
            <w:vAlign w:val="center"/>
          </w:tcPr>
          <w:p w14:paraId="4CE19AF7">
            <w:pPr>
              <w:pStyle w:val="166"/>
              <w:spacing w:before="0" w:after="0" w:line="240" w:lineRule="auto"/>
              <w:ind w:firstLine="0"/>
              <w:jc w:val="center"/>
            </w:pPr>
            <w:r>
              <w:rPr>
                <w:rFonts w:ascii="Times New Roman" w:hAnsi="Times New Roman" w:eastAsia="黑体"/>
                <w:b/>
                <w:color w:val="000000"/>
                <w:sz w:val="18"/>
              </w:rPr>
              <w:t>分量顺序</w:t>
            </w:r>
          </w:p>
        </w:tc>
        <w:tc>
          <w:tcPr>
            <w:tcW w:w="0" w:type="auto"/>
            <w:tcBorders>
              <w:bottom w:val="single" w:color="000000" w:sz="8" w:space="0"/>
            </w:tcBorders>
            <w:tcMar>
              <w:top w:w="70" w:type="dxa"/>
              <w:left w:w="80" w:type="dxa"/>
              <w:bottom w:w="70" w:type="dxa"/>
              <w:right w:w="80" w:type="dxa"/>
            </w:tcMar>
            <w:vAlign w:val="center"/>
          </w:tcPr>
          <w:p w14:paraId="0602DABD">
            <w:pPr>
              <w:pStyle w:val="166"/>
              <w:spacing w:before="0" w:after="0" w:line="240" w:lineRule="auto"/>
              <w:ind w:firstLine="0"/>
              <w:jc w:val="center"/>
            </w:pPr>
            <w:r>
              <w:rPr>
                <w:rFonts w:ascii="Times New Roman" w:hAnsi="Times New Roman" w:eastAsia="黑体"/>
                <w:b/>
                <w:color w:val="000000"/>
                <w:sz w:val="18"/>
              </w:rPr>
              <w:t>单位、约束与用途</w:t>
            </w:r>
          </w:p>
        </w:tc>
      </w:tr>
      <w:tr w14:paraId="5CADC4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80" w:type="dxa"/>
              <w:bottom w:w="70" w:type="dxa"/>
              <w:right w:w="80" w:type="dxa"/>
            </w:tcMar>
            <w:vAlign w:val="center"/>
          </w:tcPr>
          <w:p w14:paraId="0831F238">
            <w:pPr>
              <w:pStyle w:val="166"/>
              <w:spacing w:before="0" w:after="0" w:line="240" w:lineRule="auto"/>
              <w:ind w:firstLine="0"/>
              <w:jc w:val="center"/>
            </w:pPr>
            <w:r>
              <w:rPr>
                <w:rFonts w:ascii="Times New Roman" w:hAnsi="Times New Roman" w:eastAsia="宋体"/>
                <w:b w:val="0"/>
                <w:color w:val="000000"/>
                <w:sz w:val="17"/>
              </w:rPr>
              <w:t>RA-GCA-CGHTE</w:t>
            </w:r>
            <w:r>
              <w:rPr>
                <w:rFonts w:ascii="Times New Roman" w:hAnsi="Times New Roman" w:eastAsia="宋体"/>
                <w:b w:val="0"/>
                <w:color w:val="000000"/>
                <w:sz w:val="17"/>
              </w:rPr>
              <w:br w:type="textWrapping"/>
            </w:r>
            <w:r>
              <w:rPr>
                <w:rFonts w:ascii="Times New Roman" w:hAnsi="Times New Roman" w:eastAsia="宋体"/>
                <w:b w:val="0"/>
                <w:color w:val="000000"/>
                <w:sz w:val="17"/>
              </w:rPr>
              <w:t>输入</w:t>
            </w:r>
          </w:p>
        </w:tc>
        <w:tc>
          <w:tcPr>
            <w:tcW w:w="0" w:type="auto"/>
            <w:tcMar>
              <w:top w:w="70" w:type="dxa"/>
              <w:left w:w="80" w:type="dxa"/>
              <w:bottom w:w="70" w:type="dxa"/>
              <w:right w:w="80" w:type="dxa"/>
            </w:tcMar>
            <w:vAlign w:val="center"/>
          </w:tcPr>
          <w:p w14:paraId="7F2607A9">
            <w:pPr>
              <w:pStyle w:val="166"/>
              <w:spacing w:before="0" w:after="0" w:line="240" w:lineRule="auto"/>
              <w:ind w:firstLine="0"/>
              <w:jc w:val="center"/>
            </w:pPr>
            <w:r>
              <w:rPr>
                <w:rFonts w:ascii="Times New Roman" w:hAnsi="Times New Roman" w:eastAsia="宋体"/>
                <w:b w:val="0"/>
                <w:color w:val="000000"/>
                <w:sz w:val="17"/>
              </w:rPr>
              <w:t>11 + 18 + 2</w:t>
            </w:r>
          </w:p>
        </w:tc>
        <w:tc>
          <w:tcPr>
            <w:tcW w:w="0" w:type="auto"/>
            <w:tcMar>
              <w:top w:w="70" w:type="dxa"/>
              <w:left w:w="80" w:type="dxa"/>
              <w:bottom w:w="70" w:type="dxa"/>
              <w:right w:w="80" w:type="dxa"/>
            </w:tcMar>
            <w:vAlign w:val="center"/>
          </w:tcPr>
          <w:p w14:paraId="7100DCDF">
            <w:pPr>
              <w:pStyle w:val="166"/>
              <w:spacing w:before="0" w:after="0" w:line="240" w:lineRule="auto"/>
              <w:ind w:firstLine="0"/>
              <w:jc w:val="center"/>
            </w:pPr>
            <w:r>
              <w:rPr>
                <w:rFonts w:ascii="Times New Roman" w:hAnsi="Times New Roman" w:eastAsia="宋体"/>
                <w:b w:val="0"/>
                <w:color w:val="000000"/>
                <w:sz w:val="17"/>
              </w:rPr>
              <w:t>reference：期望位置(3)、速度(3)、加速度(3)、预留偏航量(2)；state：位置(3)、速度(3)、旋转矩阵(9)、机体系角速度(3)；allocator_limit：qmin、qmax</w:t>
            </w:r>
          </w:p>
        </w:tc>
        <w:tc>
          <w:tcPr>
            <w:tcW w:w="0" w:type="auto"/>
            <w:tcMar>
              <w:top w:w="70" w:type="dxa"/>
              <w:left w:w="80" w:type="dxa"/>
              <w:bottom w:w="70" w:type="dxa"/>
              <w:right w:w="80" w:type="dxa"/>
            </w:tcMar>
            <w:vAlign w:val="center"/>
          </w:tcPr>
          <w:p w14:paraId="4926483A">
            <w:pPr>
              <w:pStyle w:val="166"/>
              <w:spacing w:before="0" w:after="0" w:line="240" w:lineRule="auto"/>
              <w:ind w:firstLine="0"/>
              <w:jc w:val="center"/>
            </w:pPr>
            <w:r>
              <w:rPr>
                <w:rFonts w:ascii="Times New Roman" w:hAnsi="Times New Roman" w:eastAsia="宋体"/>
                <w:b w:val="0"/>
                <w:color w:val="000000"/>
                <w:sz w:val="17"/>
              </w:rPr>
              <w:t>位置m，速度m/s，加速度m/s²，角度rad；q为电机幅值平方限制，qmin不大于qmax</w:t>
            </w:r>
          </w:p>
        </w:tc>
      </w:tr>
      <w:tr w14:paraId="3B3160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80" w:type="dxa"/>
              <w:bottom w:w="70" w:type="dxa"/>
              <w:right w:w="80" w:type="dxa"/>
            </w:tcMar>
            <w:vAlign w:val="center"/>
          </w:tcPr>
          <w:p w14:paraId="115BC7CC">
            <w:pPr>
              <w:pStyle w:val="166"/>
              <w:spacing w:before="0" w:after="0" w:line="240" w:lineRule="auto"/>
              <w:ind w:firstLine="0"/>
              <w:jc w:val="center"/>
            </w:pPr>
            <w:r>
              <w:rPr>
                <w:rFonts w:ascii="Times New Roman" w:hAnsi="Times New Roman" w:eastAsia="宋体"/>
                <w:b w:val="0"/>
                <w:color w:val="000000"/>
                <w:sz w:val="17"/>
              </w:rPr>
              <w:t>RA-GCA-CGHTE</w:t>
            </w:r>
            <w:r>
              <w:rPr>
                <w:rFonts w:ascii="Times New Roman" w:hAnsi="Times New Roman" w:eastAsia="宋体"/>
                <w:b w:val="0"/>
                <w:color w:val="000000"/>
                <w:sz w:val="17"/>
              </w:rPr>
              <w:br w:type="textWrapping"/>
            </w:r>
            <w:r>
              <w:rPr>
                <w:rFonts w:ascii="Times New Roman" w:hAnsi="Times New Roman" w:eastAsia="宋体"/>
                <w:b w:val="0"/>
                <w:color w:val="000000"/>
                <w:sz w:val="17"/>
              </w:rPr>
              <w:t>输出</w:t>
            </w:r>
          </w:p>
        </w:tc>
        <w:tc>
          <w:tcPr>
            <w:tcW w:w="0" w:type="auto"/>
            <w:tcMar>
              <w:top w:w="70" w:type="dxa"/>
              <w:left w:w="80" w:type="dxa"/>
              <w:bottom w:w="70" w:type="dxa"/>
              <w:right w:w="80" w:type="dxa"/>
            </w:tcMar>
            <w:vAlign w:val="center"/>
          </w:tcPr>
          <w:p w14:paraId="090CA904">
            <w:pPr>
              <w:pStyle w:val="166"/>
              <w:spacing w:before="0" w:after="0" w:line="240" w:lineRule="auto"/>
              <w:ind w:firstLine="0"/>
              <w:jc w:val="center"/>
            </w:pPr>
            <w:r>
              <w:rPr>
                <w:rFonts w:ascii="Times New Roman" w:hAnsi="Times New Roman" w:eastAsia="宋体"/>
                <w:b w:val="0"/>
                <w:color w:val="000000"/>
                <w:sz w:val="17"/>
              </w:rPr>
              <w:t>4 + 16</w:t>
            </w:r>
          </w:p>
        </w:tc>
        <w:tc>
          <w:tcPr>
            <w:tcW w:w="0" w:type="auto"/>
            <w:tcMar>
              <w:top w:w="70" w:type="dxa"/>
              <w:left w:w="80" w:type="dxa"/>
              <w:bottom w:w="70" w:type="dxa"/>
              <w:right w:w="80" w:type="dxa"/>
            </w:tcMar>
            <w:vAlign w:val="center"/>
          </w:tcPr>
          <w:p w14:paraId="45BCB201">
            <w:pPr>
              <w:pStyle w:val="166"/>
              <w:spacing w:before="0" w:after="0" w:line="240" w:lineRule="auto"/>
              <w:ind w:firstLine="0"/>
              <w:jc w:val="center"/>
            </w:pPr>
            <w:r>
              <w:rPr>
                <w:rFonts w:ascii="Times New Roman" w:hAnsi="Times New Roman" w:eastAsia="宋体"/>
                <w:b w:val="0"/>
                <w:color w:val="000000"/>
                <w:sz w:val="17"/>
              </w:rPr>
              <w:t>motor_cmd：四路带旋向符号的电机幅值；diagnostics 1-10：期望力、两轴力矩、零偏航力矩、分配残差、裁剪数和误差范数；11-16：估计尺度、应用尺度、有效标志、归一化创新、分配上界和标识码914</w:t>
            </w:r>
          </w:p>
        </w:tc>
        <w:tc>
          <w:tcPr>
            <w:tcW w:w="0" w:type="auto"/>
            <w:tcMar>
              <w:top w:w="70" w:type="dxa"/>
              <w:left w:w="80" w:type="dxa"/>
              <w:bottom w:w="70" w:type="dxa"/>
              <w:right w:w="80" w:type="dxa"/>
            </w:tcMar>
            <w:vAlign w:val="center"/>
          </w:tcPr>
          <w:p w14:paraId="7305A900">
            <w:pPr>
              <w:pStyle w:val="166"/>
              <w:spacing w:before="0" w:after="0" w:line="240" w:lineRule="auto"/>
              <w:ind w:firstLine="0"/>
              <w:jc w:val="center"/>
            </w:pPr>
            <w:r>
              <w:rPr>
                <w:rFonts w:ascii="Times New Roman" w:hAnsi="Times New Roman" w:eastAsia="宋体"/>
                <w:b w:val="0"/>
                <w:color w:val="000000"/>
                <w:sz w:val="17"/>
              </w:rPr>
              <w:t>电机输出连接官方执行器；诊断只用于分析；控制范围为约化姿态，无独立持续偏航跟踪</w:t>
            </w:r>
          </w:p>
        </w:tc>
      </w:tr>
      <w:tr w14:paraId="173167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80" w:type="dxa"/>
              <w:bottom w:w="70" w:type="dxa"/>
              <w:right w:w="80" w:type="dxa"/>
            </w:tcMar>
            <w:vAlign w:val="center"/>
          </w:tcPr>
          <w:p w14:paraId="7054F599">
            <w:pPr>
              <w:pStyle w:val="166"/>
              <w:spacing w:before="0" w:after="0" w:line="240" w:lineRule="auto"/>
              <w:ind w:firstLine="0"/>
              <w:jc w:val="center"/>
            </w:pPr>
            <w:r>
              <w:rPr>
                <w:rFonts w:ascii="Times New Roman" w:hAnsi="Times New Roman" w:eastAsia="宋体"/>
                <w:b w:val="0"/>
                <w:color w:val="000000"/>
                <w:sz w:val="17"/>
              </w:rPr>
              <w:t>PP-CBF</w:t>
            </w:r>
            <w:r>
              <w:rPr>
                <w:rFonts w:ascii="Times New Roman" w:hAnsi="Times New Roman" w:eastAsia="宋体"/>
                <w:b w:val="0"/>
                <w:color w:val="000000"/>
                <w:sz w:val="17"/>
              </w:rPr>
              <w:br w:type="textWrapping"/>
            </w:r>
            <w:r>
              <w:rPr>
                <w:rFonts w:ascii="Times New Roman" w:hAnsi="Times New Roman" w:eastAsia="宋体"/>
                <w:b w:val="0"/>
                <w:color w:val="000000"/>
                <w:sz w:val="17"/>
              </w:rPr>
              <w:t>输入</w:t>
            </w:r>
          </w:p>
        </w:tc>
        <w:tc>
          <w:tcPr>
            <w:tcW w:w="0" w:type="auto"/>
            <w:tcMar>
              <w:top w:w="70" w:type="dxa"/>
              <w:left w:w="80" w:type="dxa"/>
              <w:bottom w:w="70" w:type="dxa"/>
              <w:right w:w="80" w:type="dxa"/>
            </w:tcMar>
            <w:vAlign w:val="center"/>
          </w:tcPr>
          <w:p w14:paraId="065EEB1E">
            <w:pPr>
              <w:pStyle w:val="166"/>
              <w:spacing w:before="0" w:after="0" w:line="240" w:lineRule="auto"/>
              <w:ind w:firstLine="0"/>
              <w:jc w:val="center"/>
            </w:pPr>
            <w:r>
              <w:rPr>
                <w:rFonts w:ascii="Times New Roman" w:hAnsi="Times New Roman" w:eastAsia="宋体"/>
                <w:b w:val="0"/>
                <w:color w:val="000000"/>
                <w:sz w:val="17"/>
              </w:rPr>
              <w:t>9 + 18 + 9</w:t>
            </w:r>
          </w:p>
        </w:tc>
        <w:tc>
          <w:tcPr>
            <w:tcW w:w="0" w:type="auto"/>
            <w:tcMar>
              <w:top w:w="70" w:type="dxa"/>
              <w:left w:w="80" w:type="dxa"/>
              <w:bottom w:w="70" w:type="dxa"/>
              <w:right w:w="80" w:type="dxa"/>
            </w:tcMar>
            <w:vAlign w:val="center"/>
          </w:tcPr>
          <w:p w14:paraId="026E8D2F">
            <w:pPr>
              <w:pStyle w:val="166"/>
              <w:spacing w:before="0" w:after="0" w:line="240" w:lineRule="auto"/>
              <w:ind w:firstLine="0"/>
              <w:jc w:val="center"/>
            </w:pPr>
            <w:r>
              <w:rPr>
                <w:rFonts w:ascii="Times New Roman" w:hAnsi="Times New Roman" w:eastAsia="宋体"/>
                <w:b w:val="0"/>
                <w:color w:val="000000"/>
                <w:sz w:val="17"/>
              </w:rPr>
              <w:t>leader_reference：领导机位置、速度、加速度；vehicle_state：三机各自位置与速度；formation_offset：三机三维编队偏置</w:t>
            </w:r>
          </w:p>
        </w:tc>
        <w:tc>
          <w:tcPr>
            <w:tcW w:w="0" w:type="auto"/>
            <w:tcMar>
              <w:top w:w="70" w:type="dxa"/>
              <w:left w:w="80" w:type="dxa"/>
              <w:bottom w:w="70" w:type="dxa"/>
              <w:right w:w="80" w:type="dxa"/>
            </w:tcMar>
            <w:vAlign w:val="center"/>
          </w:tcPr>
          <w:p w14:paraId="662AE8C9">
            <w:pPr>
              <w:pStyle w:val="166"/>
              <w:spacing w:before="0" w:after="0" w:line="240" w:lineRule="auto"/>
              <w:ind w:firstLine="0"/>
              <w:jc w:val="center"/>
            </w:pPr>
            <w:r>
              <w:rPr>
                <w:rFonts w:ascii="Times New Roman" w:hAnsi="Times New Roman" w:eastAsia="宋体"/>
                <w:b w:val="0"/>
                <w:color w:val="000000"/>
                <w:sz w:val="17"/>
              </w:rPr>
              <w:t>位置m，速度m/s，加速度m/s²；固定三机数据布局</w:t>
            </w:r>
          </w:p>
        </w:tc>
      </w:tr>
      <w:tr w14:paraId="43532C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0" w:type="auto"/>
            <w:tcMar>
              <w:top w:w="70" w:type="dxa"/>
              <w:left w:w="80" w:type="dxa"/>
              <w:bottom w:w="70" w:type="dxa"/>
              <w:right w:w="80" w:type="dxa"/>
            </w:tcMar>
            <w:vAlign w:val="center"/>
          </w:tcPr>
          <w:p w14:paraId="5D579E1F">
            <w:pPr>
              <w:pStyle w:val="166"/>
              <w:spacing w:before="0" w:after="0" w:line="240" w:lineRule="auto"/>
              <w:ind w:firstLine="0"/>
              <w:jc w:val="center"/>
            </w:pPr>
            <w:r>
              <w:rPr>
                <w:rFonts w:ascii="Times New Roman" w:hAnsi="Times New Roman" w:eastAsia="宋体"/>
                <w:b w:val="0"/>
                <w:color w:val="000000"/>
                <w:sz w:val="17"/>
              </w:rPr>
              <w:t>PP-CBF</w:t>
            </w:r>
            <w:r>
              <w:rPr>
                <w:rFonts w:ascii="Times New Roman" w:hAnsi="Times New Roman" w:eastAsia="宋体"/>
                <w:b w:val="0"/>
                <w:color w:val="000000"/>
                <w:sz w:val="17"/>
              </w:rPr>
              <w:br w:type="textWrapping"/>
            </w:r>
            <w:r>
              <w:rPr>
                <w:rFonts w:ascii="Times New Roman" w:hAnsi="Times New Roman" w:eastAsia="宋体"/>
                <w:b w:val="0"/>
                <w:color w:val="000000"/>
                <w:sz w:val="17"/>
              </w:rPr>
              <w:t>输出</w:t>
            </w:r>
          </w:p>
        </w:tc>
        <w:tc>
          <w:tcPr>
            <w:tcW w:w="0" w:type="auto"/>
            <w:tcMar>
              <w:top w:w="70" w:type="dxa"/>
              <w:left w:w="80" w:type="dxa"/>
              <w:bottom w:w="70" w:type="dxa"/>
              <w:right w:w="80" w:type="dxa"/>
            </w:tcMar>
            <w:vAlign w:val="center"/>
          </w:tcPr>
          <w:p w14:paraId="0559F9B6">
            <w:pPr>
              <w:pStyle w:val="166"/>
              <w:spacing w:before="0" w:after="0" w:line="240" w:lineRule="auto"/>
              <w:ind w:firstLine="0"/>
              <w:jc w:val="center"/>
            </w:pPr>
            <w:r>
              <w:rPr>
                <w:rFonts w:ascii="Times New Roman" w:hAnsi="Times New Roman" w:eastAsia="宋体"/>
                <w:b w:val="0"/>
                <w:color w:val="000000"/>
                <w:sz w:val="17"/>
              </w:rPr>
              <w:t>27 + 8</w:t>
            </w:r>
          </w:p>
        </w:tc>
        <w:tc>
          <w:tcPr>
            <w:tcW w:w="0" w:type="auto"/>
            <w:tcMar>
              <w:top w:w="70" w:type="dxa"/>
              <w:left w:w="80" w:type="dxa"/>
              <w:bottom w:w="70" w:type="dxa"/>
              <w:right w:w="80" w:type="dxa"/>
            </w:tcMar>
            <w:vAlign w:val="center"/>
          </w:tcPr>
          <w:p w14:paraId="67CD648D">
            <w:pPr>
              <w:pStyle w:val="166"/>
              <w:spacing w:before="0" w:after="0" w:line="240" w:lineRule="auto"/>
              <w:ind w:firstLine="0"/>
              <w:jc w:val="center"/>
            </w:pPr>
            <w:r>
              <w:rPr>
                <w:rFonts w:ascii="Times New Roman" w:hAnsi="Times New Roman" w:eastAsia="宋体"/>
                <w:b w:val="0"/>
                <w:color w:val="000000"/>
                <w:sz w:val="17"/>
              </w:rPr>
              <w:t>formation_reference：三机各9维安全位置、速度和加速度参考；diagnostics：最小距离、最小残差、最大队形误差、激活投影数、最大修正、不可行标志、预留量和最大参考速度</w:t>
            </w:r>
          </w:p>
        </w:tc>
        <w:tc>
          <w:tcPr>
            <w:tcW w:w="0" w:type="auto"/>
            <w:tcMar>
              <w:top w:w="70" w:type="dxa"/>
              <w:left w:w="80" w:type="dxa"/>
              <w:bottom w:w="70" w:type="dxa"/>
              <w:right w:w="80" w:type="dxa"/>
            </w:tcMar>
            <w:vAlign w:val="center"/>
          </w:tcPr>
          <w:p w14:paraId="4D976038">
            <w:pPr>
              <w:pStyle w:val="166"/>
              <w:spacing w:before="0" w:after="0" w:line="240" w:lineRule="auto"/>
              <w:ind w:firstLine="0"/>
              <w:jc w:val="center"/>
            </w:pPr>
            <w:r>
              <w:rPr>
                <w:rFonts w:ascii="Times New Roman" w:hAnsi="Times New Roman" w:eastAsia="宋体"/>
                <w:b w:val="0"/>
                <w:color w:val="000000"/>
                <w:sz w:val="17"/>
              </w:rPr>
              <w:t>27维输出分别接入三套低层控制器；PP-CBF诊断不进入低层动力学</w:t>
            </w:r>
          </w:p>
        </w:tc>
      </w:tr>
    </w:tbl>
    <w:p w14:paraId="68ED2965">
      <w:pPr>
        <w:pStyle w:val="165"/>
      </w:pPr>
      <w:r>
        <w:rPr>
          <w:rFonts w:ascii="Times New Roman" w:hAnsi="Times New Roman" w:eastAsia="宋体"/>
          <w:color w:val="000000"/>
          <w:sz w:val="18"/>
        </w:rPr>
        <w:t>注：接口顺序依据当前Sysblock模型核对；</w:t>
      </w:r>
      <w:r>
        <w:rPr>
          <w:rFonts w:ascii="Consolas" w:hAnsi="Consolas" w:eastAsia="等线"/>
          <w:color w:val="000000"/>
          <w:sz w:val="18"/>
        </w:rPr>
        <w:t>reference[10:11]</w:t>
      </w:r>
      <w:r>
        <w:rPr>
          <w:rFonts w:ascii="Times New Roman" w:hAnsi="Times New Roman" w:eastAsia="宋体"/>
          <w:color w:val="000000"/>
          <w:sz w:val="18"/>
        </w:rPr>
        <w:t>为预留偏航量，当前置零。</w:t>
      </w:r>
    </w:p>
    <w:p w14:paraId="6D5A0558">
      <w:pPr>
        <w:spacing w:before="0" w:after="0" w:line="360" w:lineRule="auto"/>
        <w:ind w:firstLine="480"/>
        <w:jc w:val="both"/>
      </w:pPr>
      <w:r>
        <w:rPr>
          <w:rFonts w:ascii="Times New Roman" w:hAnsi="Times New Roman" w:eastAsia="宋体"/>
          <w:color w:val="000000"/>
        </w:rPr>
        <w:t>主算法配置固定四项CGHTE参数：激活协方差上限0.00253218969247675、激活持续时间0.10 s、尺度变化速率0.868 s⁻¹，以及单步尺度变化上限0.00868。</w:t>
      </w:r>
      <w:r>
        <w:rPr>
          <w:rFonts w:ascii="Consolas" w:hAnsi="Consolas" w:eastAsia="等线"/>
          <w:color w:val="000000"/>
          <w:sz w:val="21"/>
        </w:rPr>
        <w:t>MAIN_ALGORITHM.json</w:t>
      </w:r>
      <w:r>
        <w:rPr>
          <w:rFonts w:ascii="Times New Roman" w:hAnsi="Times New Roman" w:eastAsia="宋体"/>
          <w:color w:val="000000"/>
        </w:rPr>
        <w:t>与</w:t>
      </w:r>
      <w:r>
        <w:rPr>
          <w:rFonts w:ascii="Consolas" w:hAnsi="Consolas" w:eastAsia="等线"/>
          <w:color w:val="000000"/>
          <w:sz w:val="21"/>
        </w:rPr>
        <w:t>config/main_controller.toml</w:t>
      </w:r>
      <w:r>
        <w:rPr>
          <w:rFonts w:ascii="Times New Roman" w:hAnsi="Times New Roman" w:eastAsia="宋体"/>
          <w:color w:val="000000"/>
        </w:rPr>
        <w:t>同时登记这些数值，运行入口不提供覆盖选项。它们用于保证推力尺度只在估计持续可信时平滑介入，属于固定设计参数，不作为普通用户调参项。</w:t>
      </w:r>
    </w:p>
    <w:p w14:paraId="318BF243">
      <w:pPr>
        <w:keepLines/>
        <w:pBdr>
          <w:left w:val="single" w:color="000000" w:sz="16" w:space="5"/>
        </w:pBdr>
        <w:shd w:val="clear" w:color="auto" w:fill="F2F2F2"/>
        <w:spacing w:before="60" w:after="60" w:line="300" w:lineRule="auto"/>
        <w:ind w:left="160" w:right="120" w:firstLine="0"/>
      </w:pPr>
      <w:r>
        <w:rPr>
          <w:rFonts w:ascii="Times New Roman" w:hAnsi="Times New Roman" w:eastAsia="宋体"/>
          <w:b/>
          <w:color w:val="000000"/>
          <w:sz w:val="21"/>
        </w:rPr>
        <w:t>算法替换说明。</w:t>
      </w:r>
      <w:r>
        <w:rPr>
          <w:rFonts w:ascii="Times New Roman" w:hAnsi="Times New Roman" w:eastAsia="宋体"/>
          <w:color w:val="000000"/>
          <w:sz w:val="21"/>
        </w:rPr>
        <w:t>当前系统已配置完成，普通使用者无需操作。本段仅供新增或替换算法的开发者参考。新模块应保持表3-1所列接口、0.01 s控制周期、三机数据顺序和电机方向约定。改变接口或固定参数时，应同步调整相连模型、配置和算法注册信息，并重新测试。</w:t>
      </w:r>
    </w:p>
    <w:p w14:paraId="44CEB518">
      <w:pPr>
        <w:keepLines/>
        <w:pBdr>
          <w:left w:val="single" w:color="000000" w:sz="16" w:space="5"/>
        </w:pBdr>
        <w:shd w:val="clear" w:fill="F2F2F2"/>
        <w:spacing w:before="60" w:after="60" w:line="300" w:lineRule="auto"/>
        <w:ind w:left="160" w:right="120" w:firstLine="0"/>
        <w:jc w:val="both"/>
        <w:rPr>
          <w:sz w:val="21"/>
        </w:rPr>
      </w:pPr>
      <w:r>
        <w:rPr>
          <w:rFonts w:ascii="Times New Roman" w:hAnsi="Times New Roman" w:eastAsia="宋体"/>
          <w:b/>
          <w:color w:val="000000"/>
          <w:sz w:val="21"/>
        </w:rPr>
        <w:t>测试场景替换说明。</w:t>
      </w:r>
      <w:r>
        <w:rPr>
          <w:rFonts w:ascii="Times New Roman" w:hAnsi="Times New Roman" w:eastAsia="宋体"/>
          <w:color w:val="000000"/>
          <w:sz w:val="21"/>
        </w:rPr>
        <w:t>新增场景时，复制最接近的现有场景作为模板，修改轨迹、初始状态、机体参数、扰动或编队条件，并登记名称、入口和指标。控制模块接口、0.01 s周期及固定设计参数保持不变，完成后用统一脚本检查运行和结果。</w:t>
      </w:r>
    </w:p>
    <w:p w14:paraId="65BD0B94">
      <w:pPr>
        <w:pStyle w:val="3"/>
        <w:pageBreakBefore/>
      </w:pPr>
      <w:r>
        <w:rPr>
          <w:rFonts w:ascii="Times New Roman" w:hAnsi="Times New Roman" w:eastAsia="黑体"/>
          <w:b/>
          <w:color w:val="000000"/>
          <w:sz w:val="32"/>
        </w:rPr>
        <w:t>第4章  扩展、验证与数据追溯</w:t>
      </w:r>
    </w:p>
    <w:p w14:paraId="2072094E">
      <w:pPr>
        <w:spacing w:before="0" w:after="0" w:line="360" w:lineRule="auto"/>
        <w:ind w:firstLine="480"/>
        <w:jc w:val="both"/>
      </w:pPr>
      <w:r>
        <w:rPr>
          <w:rFonts w:ascii="Times New Roman" w:hAnsi="Times New Roman" w:eastAsia="宋体"/>
          <w:color w:val="000000"/>
        </w:rPr>
        <w:t>本章说明控制器、场景和评价指标的可修改内容与验证要求，并说明配置、模型、原始数据和报告证据之间的对应关系。当前源文件包保持只读，开发修改在独立副本中完成。</w:t>
      </w:r>
    </w:p>
    <w:p w14:paraId="51DBB553">
      <w:pPr>
        <w:spacing w:before="0" w:after="0" w:line="360" w:lineRule="auto"/>
        <w:ind w:firstLine="480"/>
        <w:jc w:val="both"/>
      </w:pPr>
      <w:r>
        <w:rPr>
          <w:rFonts w:ascii="Times New Roman" w:hAnsi="Times New Roman" w:eastAsia="宋体"/>
          <w:color w:val="000000"/>
        </w:rPr>
        <w:t>工程扩展采用显式注册和场景包装机制。正式主运行器固定加载RA-GCA-CGHTE及其场景模型，用于稳定复现当前主算法；辅助控制器通过独立控制器块、模型包装和评价入口接入。该结构支持受控替换和独立验证，不提供运行时热切换。</w:t>
      </w:r>
    </w:p>
    <w:p w14:paraId="74C80FA2">
      <w:pPr>
        <w:pStyle w:val="4"/>
        <w:pageBreakBefore w:val="0"/>
      </w:pPr>
      <w:r>
        <w:rPr>
          <w:rFonts w:ascii="Times New Roman" w:hAnsi="Times New Roman" w:eastAsia="黑体"/>
          <w:b/>
          <w:color w:val="000000"/>
          <w:sz w:val="26"/>
        </w:rPr>
        <w:t>4.1  配置、场景与数据组织</w:t>
      </w:r>
    </w:p>
    <w:p w14:paraId="3A0CBBEE">
      <w:pPr>
        <w:spacing w:before="0" w:after="0" w:line="360" w:lineRule="auto"/>
        <w:ind w:firstLine="480"/>
        <w:jc w:val="both"/>
      </w:pPr>
      <w:r>
        <w:rPr>
          <w:rFonts w:ascii="Consolas" w:hAnsi="Consolas" w:eastAsia="等线"/>
          <w:color w:val="000000"/>
          <w:sz w:val="21"/>
        </w:rPr>
        <w:t>config/main_controller.toml</w:t>
      </w:r>
      <w:r>
        <w:rPr>
          <w:rFonts w:ascii="Times New Roman" w:hAnsi="Times New Roman" w:eastAsia="宋体"/>
          <w:color w:val="000000"/>
        </w:rPr>
        <w:t>记录主算法身份、控制器类、源码文件和增强参数，</w:t>
      </w:r>
      <w:r>
        <w:rPr>
          <w:rFonts w:ascii="Consolas" w:hAnsi="Consolas" w:eastAsia="等线"/>
          <w:color w:val="000000"/>
          <w:sz w:val="21"/>
        </w:rPr>
        <w:t>config/campaign.toml</w:t>
      </w:r>
      <w:r>
        <w:rPr>
          <w:rFonts w:ascii="Times New Roman" w:hAnsi="Times New Roman" w:eastAsia="宋体"/>
          <w:color w:val="000000"/>
        </w:rPr>
        <w:t>记录求解与评价设置。</w:t>
      </w:r>
      <w:r>
        <w:rPr>
          <w:rFonts w:ascii="Consolas" w:hAnsi="Consolas" w:eastAsia="等线"/>
          <w:color w:val="000000"/>
          <w:sz w:val="21"/>
        </w:rPr>
        <w:t>00_START_HERE/SCENE_INDEX.csv</w:t>
      </w:r>
      <w:r>
        <w:rPr>
          <w:rFonts w:ascii="Times New Roman" w:hAnsi="Times New Roman" w:eastAsia="宋体"/>
          <w:color w:val="000000"/>
        </w:rPr>
        <w:t>登记项目回归集中的32项场景及其正式中文名称、类别和主指标；</w:t>
      </w:r>
      <w:r>
        <w:rPr>
          <w:rFonts w:ascii="Consolas" w:hAnsi="Consolas" w:eastAsia="等线"/>
          <w:color w:val="000000"/>
          <w:sz w:val="21"/>
        </w:rPr>
        <w:t>run_main_controller.py</w:t>
      </w:r>
      <w:r>
        <w:rPr>
          <w:rFonts w:ascii="Times New Roman" w:hAnsi="Times New Roman" w:eastAsia="宋体"/>
          <w:color w:val="000000"/>
        </w:rPr>
        <w:t>将场景标识映射到Modelica包装模型，并把执行状态与原始时序数据（raw）写入用户指定的包外目录。图4-1概括了配置、运行、指标和图件之间的对应关系。</w:t>
      </w:r>
    </w:p>
    <w:p w14:paraId="15925987">
      <w:pPr>
        <w:keepNext/>
        <w:ind w:firstLine="0"/>
        <w:jc w:val="center"/>
      </w:pPr>
      <w:r>
        <w:rPr>
          <w:rFonts w:ascii="Times New Roman" w:hAnsi="Times New Roman" w:eastAsia="宋体"/>
          <w:color w:val="000000"/>
        </w:rPr>
        <w:drawing>
          <wp:inline distT="0" distB="0" distL="0" distR="0">
            <wp:extent cx="5687695" cy="1680210"/>
            <wp:effectExtent l="0" t="0" r="0" b="0"/>
            <wp:docPr id="119050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9048" name="Picture 1"/>
                    <pic:cNvPicPr>
                      <a:picLocks noChangeAspect="1"/>
                    </pic:cNvPicPr>
                  </pic:nvPicPr>
                  <pic:blipFill>
                    <a:blip r:embed="rId11"/>
                    <a:stretch>
                      <a:fillRect/>
                    </a:stretch>
                  </pic:blipFill>
                  <pic:spPr>
                    <a:xfrm>
                      <a:off x="0" y="0"/>
                      <a:ext cx="5688000" cy="1680545"/>
                    </a:xfrm>
                    <a:prstGeom prst="rect">
                      <a:avLst/>
                    </a:prstGeom>
                  </pic:spPr>
                </pic:pic>
              </a:graphicData>
            </a:graphic>
          </wp:inline>
        </w:drawing>
      </w:r>
    </w:p>
    <w:p w14:paraId="2A814F22">
      <w:pPr>
        <w:pStyle w:val="15"/>
        <w:keepNext w:val="0"/>
      </w:pPr>
      <w:r>
        <w:rPr>
          <w:rFonts w:ascii="Times New Roman" w:hAnsi="Times New Roman" w:eastAsia="宋体"/>
          <w:b/>
          <w:color w:val="000000"/>
          <w:sz w:val="21"/>
        </w:rPr>
        <w:t>图4-1  配置、运行、证据与图件的对应关系</w:t>
      </w:r>
    </w:p>
    <w:p w14:paraId="3DC5A2F1">
      <w:pPr>
        <w:pStyle w:val="165"/>
        <w:spacing w:before="40" w:after="100" w:line="240" w:lineRule="auto"/>
      </w:pPr>
      <w:r>
        <w:rPr>
          <w:rFonts w:ascii="Times New Roman" w:hAnsi="Times New Roman" w:eastAsia="宋体"/>
          <w:color w:val="000000"/>
          <w:sz w:val="18"/>
        </w:rPr>
        <w:t>资料来源：根据SCENE_INDEX.csv、RUN_ALL.ps1、REPORT_EVIDENCE_MANIFEST.json、RAW_MANIFEST.json和FINAL_REPORT_ASSET_INDEX.csv整理。</w:t>
      </w:r>
    </w:p>
    <w:p w14:paraId="6208DE5A">
      <w:pPr>
        <w:spacing w:before="0" w:after="0" w:line="360" w:lineRule="auto"/>
        <w:ind w:firstLine="480"/>
        <w:jc w:val="left"/>
      </w:pPr>
      <w:r>
        <w:rPr>
          <w:rFonts w:ascii="Times New Roman" w:hAnsi="Times New Roman" w:eastAsia="宋体"/>
          <w:color w:val="000000"/>
        </w:rPr>
        <w:t>原始时序数据先由Syslab或Python指标脚本计算，再形成</w:t>
      </w:r>
      <w:r>
        <w:rPr>
          <w:rFonts w:ascii="Consolas" w:hAnsi="Consolas" w:eastAsia="等线"/>
          <w:color w:val="000000"/>
          <w:sz w:val="21"/>
        </w:rPr>
        <w:t>04_results/report_evidence</w:t>
      </w:r>
      <w:r>
        <w:rPr>
          <w:rFonts w:ascii="Times New Roman" w:hAnsi="Times New Roman" w:eastAsia="宋体"/>
          <w:color w:val="000000"/>
        </w:rPr>
        <w:t>中的CSV/JSON结果；正式图件及其底稿由</w:t>
      </w:r>
      <w:r>
        <w:rPr>
          <w:rFonts w:ascii="Consolas" w:hAnsi="Consolas" w:eastAsia="等线"/>
          <w:color w:val="000000"/>
          <w:sz w:val="21"/>
        </w:rPr>
        <w:t>FINAL_REPORT_ASSET_INDEX.csv</w:t>
      </w:r>
      <w:r>
        <w:rPr>
          <w:rFonts w:ascii="Times New Roman" w:hAnsi="Times New Roman" w:eastAsia="宋体"/>
          <w:color w:val="000000"/>
        </w:rPr>
        <w:t>逐项关联。补充证据目录保存RA-GCA-CGHTE与RA-GCA/V8在项目回归集32项场景下的64份配对raw。该数量来自项目回归设计，不能表述为官方规定的测试数量。跨算法结论仅使用同场景、同指标和同评价区间的数据。</w:t>
      </w:r>
    </w:p>
    <w:p w14:paraId="094704A1">
      <w:pPr>
        <w:keepLines/>
        <w:pBdr>
          <w:left w:val="single" w:color="4F5B60" w:sz="12" w:space="8"/>
        </w:pBdr>
        <w:spacing w:before="60" w:after="120" w:line="300" w:lineRule="auto"/>
        <w:ind w:left="312" w:right="113" w:firstLine="0"/>
      </w:pPr>
      <w:r>
        <w:rPr>
          <w:rFonts w:ascii="Times New Roman" w:hAnsi="Times New Roman" w:eastAsia="宋体"/>
          <w:b/>
          <w:color w:val="000000"/>
          <w:sz w:val="21"/>
        </w:rPr>
        <w:t xml:space="preserve">数据核对说明  </w:t>
      </w:r>
      <w:r>
        <w:rPr>
          <w:rFonts w:ascii="Times New Roman" w:hAnsi="Times New Roman" w:eastAsia="宋体"/>
          <w:color w:val="000000"/>
          <w:sz w:val="21"/>
        </w:rPr>
        <w:t>结论应依次关联场景登记、raw或权威快照、指标脚本、结构化结果和图件索引。Word中的嵌入图片用于排版，正式原图从</w:t>
      </w:r>
      <w:r>
        <w:rPr>
          <w:rFonts w:ascii="Consolas" w:hAnsi="Consolas" w:eastAsia="等线"/>
          <w:color w:val="000000"/>
          <w:sz w:val="21"/>
        </w:rPr>
        <w:t>05_visuals/assets/report_static</w:t>
      </w:r>
      <w:r>
        <w:rPr>
          <w:rFonts w:ascii="Times New Roman" w:hAnsi="Times New Roman" w:eastAsia="宋体"/>
          <w:color w:val="000000"/>
          <w:sz w:val="21"/>
        </w:rPr>
        <w:t>及其来源索引读取。</w:t>
      </w:r>
    </w:p>
    <w:p w14:paraId="0489577A">
      <w:pPr>
        <w:pStyle w:val="4"/>
        <w:pageBreakBefore w:val="0"/>
      </w:pPr>
      <w:r>
        <w:rPr>
          <w:rFonts w:ascii="Times New Roman" w:hAnsi="Times New Roman" w:eastAsia="黑体"/>
          <w:b/>
          <w:color w:val="000000"/>
          <w:sz w:val="26"/>
        </w:rPr>
        <w:t>4.2  算法替换与最小验证</w:t>
      </w:r>
    </w:p>
    <w:p w14:paraId="23EDA5A2">
      <w:pPr>
        <w:spacing w:before="0" w:after="0" w:line="360" w:lineRule="auto"/>
        <w:ind w:firstLine="480"/>
        <w:jc w:val="both"/>
      </w:pPr>
      <w:r>
        <w:rPr>
          <w:rFonts w:ascii="Times New Roman" w:hAnsi="Times New Roman" w:eastAsia="宋体"/>
          <w:color w:val="000000"/>
        </w:rPr>
        <w:t>第3章表3-1已给出主控制器与PP-CBF接口。PID、RA-GCA/Base、CAP-ADRC和CP-INDI等单机比较控制器共享11维参考输入、18维状态输入、4路电机命令输出和0.01 s采样周期，诊断字段由场景包装层适配。新增控制器应先保持统一外部接口，再登记分配约束和诊断字段的差异。</w:t>
      </w:r>
    </w:p>
    <w:p w14:paraId="6EF8082C">
      <w:pPr>
        <w:spacing w:before="0" w:after="0" w:line="360" w:lineRule="auto"/>
        <w:ind w:firstLine="480"/>
        <w:jc w:val="both"/>
      </w:pPr>
      <w:r>
        <w:rPr>
          <w:rFonts w:ascii="Times New Roman" w:hAnsi="Times New Roman" w:eastAsia="宋体"/>
          <w:color w:val="000000"/>
        </w:rPr>
        <w:t>以现有RA-GCA/Base对照路径为例，</w:t>
      </w:r>
      <w:r>
        <w:rPr>
          <w:rFonts w:ascii="Consolas" w:hAnsi="Consolas" w:eastAsia="等线"/>
          <w:color w:val="000000"/>
          <w:sz w:val="21"/>
        </w:rPr>
        <w:t>A8FormalSO3V1F_20260711.mo</w:t>
      </w:r>
      <w:r>
        <w:rPr>
          <w:rFonts w:ascii="Times New Roman" w:hAnsi="Times New Roman" w:eastAsia="宋体"/>
          <w:color w:val="000000"/>
        </w:rPr>
        <w:t>实现控制器块，</w:t>
      </w:r>
      <w:r>
        <w:rPr>
          <w:rFonts w:ascii="Consolas" w:hAnsi="Consolas" w:eastAsia="等线"/>
          <w:color w:val="000000"/>
          <w:sz w:val="21"/>
        </w:rPr>
        <w:t>comparators/ra_gca_base/plant/package.mo</w:t>
      </w:r>
      <w:r>
        <w:rPr>
          <w:rFonts w:ascii="Times New Roman" w:hAnsi="Times New Roman" w:eastAsia="宋体"/>
          <w:color w:val="000000"/>
        </w:rPr>
        <w:t>完成参考、状态、电机命令和诊断连接，</w:t>
      </w:r>
      <w:r>
        <w:rPr>
          <w:rFonts w:ascii="Consolas" w:hAnsi="Consolas" w:eastAsia="等线"/>
          <w:color w:val="000000"/>
          <w:sz w:val="21"/>
        </w:rPr>
        <w:t>ALGORITHM_REGISTRY.csv</w:t>
      </w:r>
      <w:r>
        <w:rPr>
          <w:rFonts w:ascii="Times New Roman" w:hAnsi="Times New Roman" w:eastAsia="宋体"/>
          <w:color w:val="000000"/>
        </w:rPr>
        <w:t>登记其作用与直接验证范围。当前五控制器检查覆盖5个控制器和4个公共场景，说明包装式接入已经用于工程评价。正式主运行器仍固定加载RA-GCA-CGHTE；若将新控制器设为主算法，还需同步控制器源码、活动模型、运行器、固定参数保护、测试和清单。表4-1汇总控制器、场景和评价指标的最小验证要求。</w:t>
      </w:r>
    </w:p>
    <w:p w14:paraId="3C5E7566">
      <w:pPr>
        <w:pStyle w:val="15"/>
        <w:keepNext/>
      </w:pPr>
      <w:r>
        <w:rPr>
          <w:rFonts w:ascii="Times New Roman" w:hAnsi="Times New Roman" w:eastAsia="宋体"/>
          <w:b/>
          <w:color w:val="000000"/>
          <w:sz w:val="21"/>
        </w:rPr>
        <w:t>表4-1  扩展内容及最小验证要求</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964"/>
        <w:gridCol w:w="2551"/>
        <w:gridCol w:w="2324"/>
        <w:gridCol w:w="2891"/>
      </w:tblGrid>
      <w:tr w14:paraId="44B716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964" w:type="dxa"/>
            <w:tcBorders>
              <w:bottom w:val="single" w:color="000000" w:sz="8" w:space="0"/>
            </w:tcBorders>
            <w:tcMar>
              <w:top w:w="70" w:type="dxa"/>
              <w:left w:w="90" w:type="dxa"/>
              <w:bottom w:w="70" w:type="dxa"/>
              <w:right w:w="90" w:type="dxa"/>
            </w:tcMar>
            <w:vAlign w:val="center"/>
          </w:tcPr>
          <w:p w14:paraId="0ECA95CF">
            <w:pPr>
              <w:keepNext/>
              <w:spacing w:before="0" w:after="0" w:line="240" w:lineRule="auto"/>
              <w:ind w:firstLine="0"/>
              <w:jc w:val="center"/>
            </w:pPr>
            <w:r>
              <w:rPr>
                <w:rFonts w:ascii="Times New Roman" w:hAnsi="Times New Roman" w:eastAsia="黑体"/>
                <w:b/>
                <w:color w:val="000000"/>
                <w:sz w:val="18"/>
              </w:rPr>
              <w:t>扩展对象</w:t>
            </w:r>
          </w:p>
        </w:tc>
        <w:tc>
          <w:tcPr>
            <w:tcW w:w="2551" w:type="dxa"/>
            <w:tcBorders>
              <w:bottom w:val="single" w:color="000000" w:sz="8" w:space="0"/>
            </w:tcBorders>
            <w:tcMar>
              <w:top w:w="70" w:type="dxa"/>
              <w:left w:w="90" w:type="dxa"/>
              <w:bottom w:w="70" w:type="dxa"/>
              <w:right w:w="90" w:type="dxa"/>
            </w:tcMar>
            <w:vAlign w:val="center"/>
          </w:tcPr>
          <w:p w14:paraId="0CE1F22E">
            <w:pPr>
              <w:keepNext/>
              <w:spacing w:before="0" w:after="0" w:line="240" w:lineRule="auto"/>
              <w:ind w:firstLine="0"/>
              <w:jc w:val="center"/>
            </w:pPr>
            <w:r>
              <w:rPr>
                <w:rFonts w:ascii="Times New Roman" w:hAnsi="Times New Roman" w:eastAsia="黑体"/>
                <w:b/>
                <w:color w:val="000000"/>
                <w:sz w:val="18"/>
              </w:rPr>
              <w:t>固定接口要求</w:t>
            </w:r>
          </w:p>
        </w:tc>
        <w:tc>
          <w:tcPr>
            <w:tcW w:w="2324" w:type="dxa"/>
            <w:tcBorders>
              <w:bottom w:val="single" w:color="000000" w:sz="8" w:space="0"/>
            </w:tcBorders>
            <w:tcMar>
              <w:top w:w="70" w:type="dxa"/>
              <w:left w:w="90" w:type="dxa"/>
              <w:bottom w:w="70" w:type="dxa"/>
              <w:right w:w="90" w:type="dxa"/>
            </w:tcMar>
            <w:vAlign w:val="center"/>
          </w:tcPr>
          <w:p w14:paraId="5314893B">
            <w:pPr>
              <w:keepNext/>
              <w:spacing w:before="0" w:after="0" w:line="240" w:lineRule="auto"/>
              <w:ind w:firstLine="0"/>
              <w:jc w:val="center"/>
            </w:pPr>
            <w:r>
              <w:rPr>
                <w:rFonts w:ascii="Times New Roman" w:hAnsi="Times New Roman" w:eastAsia="黑体"/>
                <w:b/>
                <w:color w:val="000000"/>
                <w:sz w:val="18"/>
              </w:rPr>
              <w:t>主要修改位置</w:t>
            </w:r>
          </w:p>
        </w:tc>
        <w:tc>
          <w:tcPr>
            <w:tcW w:w="2891" w:type="dxa"/>
            <w:tcBorders>
              <w:bottom w:val="single" w:color="000000" w:sz="8" w:space="0"/>
            </w:tcBorders>
            <w:tcMar>
              <w:top w:w="70" w:type="dxa"/>
              <w:left w:w="90" w:type="dxa"/>
              <w:bottom w:w="70" w:type="dxa"/>
              <w:right w:w="90" w:type="dxa"/>
            </w:tcMar>
            <w:vAlign w:val="center"/>
          </w:tcPr>
          <w:p w14:paraId="55E170F4">
            <w:pPr>
              <w:keepNext/>
              <w:spacing w:before="0" w:after="0" w:line="240" w:lineRule="auto"/>
              <w:ind w:firstLine="0"/>
              <w:jc w:val="center"/>
            </w:pPr>
            <w:r>
              <w:rPr>
                <w:rFonts w:ascii="Times New Roman" w:hAnsi="Times New Roman" w:eastAsia="黑体"/>
                <w:b/>
                <w:color w:val="000000"/>
                <w:sz w:val="18"/>
              </w:rPr>
              <w:t>最小验证与恢复</w:t>
            </w:r>
          </w:p>
        </w:tc>
      </w:tr>
      <w:tr w14:paraId="568D35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64" w:type="dxa"/>
            <w:tcMar>
              <w:top w:w="70" w:type="dxa"/>
              <w:left w:w="90" w:type="dxa"/>
              <w:bottom w:w="70" w:type="dxa"/>
              <w:right w:w="90" w:type="dxa"/>
            </w:tcMar>
            <w:vAlign w:val="center"/>
          </w:tcPr>
          <w:p w14:paraId="3EDEB999">
            <w:pPr>
              <w:keepNext/>
              <w:spacing w:before="0" w:after="0" w:line="240" w:lineRule="auto"/>
              <w:ind w:firstLine="0"/>
              <w:jc w:val="center"/>
            </w:pPr>
            <w:r>
              <w:rPr>
                <w:rFonts w:ascii="Times New Roman" w:hAnsi="Times New Roman" w:eastAsia="宋体"/>
                <w:b w:val="0"/>
                <w:color w:val="000000"/>
                <w:sz w:val="17"/>
              </w:rPr>
              <w:t>控制器</w:t>
            </w:r>
          </w:p>
        </w:tc>
        <w:tc>
          <w:tcPr>
            <w:tcW w:w="2551" w:type="dxa"/>
            <w:tcMar>
              <w:top w:w="70" w:type="dxa"/>
              <w:left w:w="90" w:type="dxa"/>
              <w:bottom w:w="70" w:type="dxa"/>
              <w:right w:w="90" w:type="dxa"/>
            </w:tcMar>
            <w:vAlign w:val="center"/>
          </w:tcPr>
          <w:p w14:paraId="0182FC93">
            <w:pPr>
              <w:keepNext/>
              <w:spacing w:before="0" w:after="0" w:line="240" w:lineRule="auto"/>
              <w:ind w:firstLine="0"/>
            </w:pPr>
            <w:r>
              <w:rPr>
                <w:rFonts w:ascii="Times New Roman" w:hAnsi="Times New Roman" w:eastAsia="宋体"/>
                <w:b w:val="0"/>
                <w:color w:val="000000"/>
                <w:sz w:val="17"/>
              </w:rPr>
              <w:t>参考11维、状态18维、电机输出4维、采样周期0.01 s；分配约束和诊断通过包装层适配</w:t>
            </w:r>
          </w:p>
        </w:tc>
        <w:tc>
          <w:tcPr>
            <w:tcW w:w="2324" w:type="dxa"/>
            <w:tcMar>
              <w:top w:w="70" w:type="dxa"/>
              <w:left w:w="90" w:type="dxa"/>
              <w:bottom w:w="70" w:type="dxa"/>
              <w:right w:w="90" w:type="dxa"/>
            </w:tcMar>
            <w:vAlign w:val="center"/>
          </w:tcPr>
          <w:p w14:paraId="19204CA6">
            <w:pPr>
              <w:keepNext/>
              <w:spacing w:before="0" w:after="0" w:line="240" w:lineRule="auto"/>
              <w:ind w:firstLine="0"/>
            </w:pPr>
            <w:r>
              <w:rPr>
                <w:rFonts w:ascii="Times New Roman" w:hAnsi="Times New Roman" w:eastAsia="宋体"/>
                <w:b w:val="0"/>
                <w:color w:val="000000"/>
                <w:sz w:val="15"/>
              </w:rPr>
              <w:t>01_models/sysblock或comparators、场景包装、ALGORITHM_REGISTRY.csv</w:t>
            </w:r>
          </w:p>
        </w:tc>
        <w:tc>
          <w:tcPr>
            <w:tcW w:w="2891" w:type="dxa"/>
            <w:tcMar>
              <w:top w:w="70" w:type="dxa"/>
              <w:left w:w="90" w:type="dxa"/>
              <w:bottom w:w="70" w:type="dxa"/>
              <w:right w:w="90" w:type="dxa"/>
            </w:tcMar>
            <w:vAlign w:val="center"/>
          </w:tcPr>
          <w:p w14:paraId="07294D75">
            <w:pPr>
              <w:keepNext/>
              <w:spacing w:before="0" w:after="0" w:line="240" w:lineRule="auto"/>
              <w:ind w:firstLine="0"/>
            </w:pPr>
            <w:r>
              <w:rPr>
                <w:rFonts w:ascii="Times New Roman" w:hAnsi="Times New Roman" w:eastAsia="宋体"/>
                <w:b w:val="0"/>
                <w:color w:val="000000"/>
                <w:sz w:val="17"/>
              </w:rPr>
              <w:t>检查接口与类名，翻译模型并运行至少1个公共场景；复算对应指标。失败时恢复控制器、包装和注册表快照</w:t>
            </w:r>
          </w:p>
        </w:tc>
      </w:tr>
      <w:tr w14:paraId="1B162E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64" w:type="dxa"/>
            <w:tcMar>
              <w:top w:w="70" w:type="dxa"/>
              <w:left w:w="90" w:type="dxa"/>
              <w:bottom w:w="70" w:type="dxa"/>
              <w:right w:w="90" w:type="dxa"/>
            </w:tcMar>
            <w:vAlign w:val="center"/>
          </w:tcPr>
          <w:p w14:paraId="024EC1C3">
            <w:pPr>
              <w:keepNext/>
              <w:spacing w:before="0" w:after="0" w:line="240" w:lineRule="auto"/>
              <w:ind w:firstLine="0"/>
              <w:jc w:val="center"/>
            </w:pPr>
            <w:r>
              <w:rPr>
                <w:rFonts w:ascii="Times New Roman" w:hAnsi="Times New Roman" w:eastAsia="宋体"/>
                <w:b w:val="0"/>
                <w:color w:val="000000"/>
                <w:sz w:val="17"/>
              </w:rPr>
              <w:t>场景</w:t>
            </w:r>
          </w:p>
        </w:tc>
        <w:tc>
          <w:tcPr>
            <w:tcW w:w="2551" w:type="dxa"/>
            <w:tcMar>
              <w:top w:w="70" w:type="dxa"/>
              <w:left w:w="90" w:type="dxa"/>
              <w:bottom w:w="70" w:type="dxa"/>
              <w:right w:w="90" w:type="dxa"/>
            </w:tcMar>
            <w:vAlign w:val="center"/>
          </w:tcPr>
          <w:p w14:paraId="226BF90F">
            <w:pPr>
              <w:keepNext/>
              <w:spacing w:before="0" w:after="0" w:line="240" w:lineRule="auto"/>
              <w:ind w:firstLine="0"/>
            </w:pPr>
            <w:r>
              <w:rPr>
                <w:rFonts w:ascii="Times New Roman" w:hAnsi="Times New Roman" w:eastAsia="宋体"/>
                <w:b w:val="0"/>
                <w:color w:val="000000"/>
                <w:sz w:val="17"/>
              </w:rPr>
              <w:t>唯一场景标识、正式中文名称、类别、主指标和包外raw输出</w:t>
            </w:r>
          </w:p>
        </w:tc>
        <w:tc>
          <w:tcPr>
            <w:tcW w:w="2324" w:type="dxa"/>
            <w:tcMar>
              <w:top w:w="70" w:type="dxa"/>
              <w:left w:w="90" w:type="dxa"/>
              <w:bottom w:w="70" w:type="dxa"/>
              <w:right w:w="90" w:type="dxa"/>
            </w:tcMar>
            <w:vAlign w:val="center"/>
          </w:tcPr>
          <w:p w14:paraId="233E762A">
            <w:pPr>
              <w:keepNext/>
              <w:spacing w:before="0" w:after="0" w:line="240" w:lineRule="auto"/>
              <w:ind w:firstLine="0"/>
            </w:pPr>
            <w:r>
              <w:rPr>
                <w:rFonts w:ascii="Times New Roman" w:hAnsi="Times New Roman" w:eastAsia="宋体"/>
                <w:b w:val="0"/>
                <w:color w:val="000000"/>
                <w:sz w:val="17"/>
              </w:rPr>
              <w:t>Modelica包装、SCENE_INDEX.csv；正式主算法场景还需更新运行器目录</w:t>
            </w:r>
          </w:p>
        </w:tc>
        <w:tc>
          <w:tcPr>
            <w:tcW w:w="2891" w:type="dxa"/>
            <w:tcMar>
              <w:top w:w="70" w:type="dxa"/>
              <w:left w:w="90" w:type="dxa"/>
              <w:bottom w:w="70" w:type="dxa"/>
              <w:right w:w="90" w:type="dxa"/>
            </w:tcMar>
            <w:vAlign w:val="center"/>
          </w:tcPr>
          <w:p w14:paraId="2E47FF34">
            <w:pPr>
              <w:keepNext/>
              <w:spacing w:before="0" w:after="0" w:line="240" w:lineRule="auto"/>
              <w:ind w:firstLine="0"/>
            </w:pPr>
            <w:r>
              <w:rPr>
                <w:rFonts w:ascii="Times New Roman" w:hAnsi="Times New Roman" w:eastAsia="宋体"/>
                <w:b w:val="0"/>
                <w:color w:val="000000"/>
                <w:sz w:val="17"/>
              </w:rPr>
              <w:t>执行场景枚举、模型检查/翻译和单场景仿真，核对raw字段与状态记录；失败时撤销隔离副本中的注册</w:t>
            </w:r>
          </w:p>
        </w:tc>
      </w:tr>
      <w:tr w14:paraId="3B259D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964" w:type="dxa"/>
            <w:tcMar>
              <w:top w:w="70" w:type="dxa"/>
              <w:left w:w="90" w:type="dxa"/>
              <w:bottom w:w="70" w:type="dxa"/>
              <w:right w:w="90" w:type="dxa"/>
            </w:tcMar>
            <w:vAlign w:val="center"/>
          </w:tcPr>
          <w:p w14:paraId="3D01EE30">
            <w:pPr>
              <w:spacing w:before="0" w:after="0" w:line="240" w:lineRule="auto"/>
              <w:ind w:firstLine="0"/>
              <w:jc w:val="center"/>
            </w:pPr>
            <w:r>
              <w:rPr>
                <w:rFonts w:ascii="Times New Roman" w:hAnsi="Times New Roman" w:eastAsia="宋体"/>
                <w:b w:val="0"/>
                <w:color w:val="000000"/>
                <w:sz w:val="17"/>
              </w:rPr>
              <w:t>评价指标</w:t>
            </w:r>
          </w:p>
        </w:tc>
        <w:tc>
          <w:tcPr>
            <w:tcW w:w="2551" w:type="dxa"/>
            <w:tcMar>
              <w:top w:w="70" w:type="dxa"/>
              <w:left w:w="90" w:type="dxa"/>
              <w:bottom w:w="70" w:type="dxa"/>
              <w:right w:w="90" w:type="dxa"/>
            </w:tcMar>
            <w:vAlign w:val="center"/>
          </w:tcPr>
          <w:p w14:paraId="0E1B888C">
            <w:pPr>
              <w:spacing w:before="0" w:after="0" w:line="240" w:lineRule="auto"/>
              <w:ind w:firstLine="0"/>
            </w:pPr>
            <w:r>
              <w:rPr>
                <w:rFonts w:ascii="Times New Roman" w:hAnsi="Times New Roman" w:eastAsia="宋体"/>
                <w:b w:val="0"/>
                <w:color w:val="000000"/>
                <w:sz w:val="17"/>
              </w:rPr>
              <w:t>输入字段、单位、时间区间、缺失值语义和CSV/JSON输出格式</w:t>
            </w:r>
          </w:p>
        </w:tc>
        <w:tc>
          <w:tcPr>
            <w:tcW w:w="2324" w:type="dxa"/>
            <w:tcMar>
              <w:top w:w="70" w:type="dxa"/>
              <w:left w:w="90" w:type="dxa"/>
              <w:bottom w:w="70" w:type="dxa"/>
              <w:right w:w="90" w:type="dxa"/>
            </w:tcMar>
            <w:vAlign w:val="center"/>
          </w:tcPr>
          <w:p w14:paraId="515225EB">
            <w:pPr>
              <w:spacing w:before="0" w:after="0" w:line="240" w:lineRule="auto"/>
              <w:ind w:firstLine="0"/>
            </w:pPr>
            <w:r>
              <w:rPr>
                <w:rFonts w:ascii="Times New Roman" w:hAnsi="Times New Roman" w:eastAsia="宋体"/>
                <w:b w:val="0"/>
                <w:color w:val="000000"/>
                <w:sz w:val="17"/>
              </w:rPr>
              <w:t>02_scripts/syslab或02_scripts/evaluation、证据清单文件及测试</w:t>
            </w:r>
          </w:p>
        </w:tc>
        <w:tc>
          <w:tcPr>
            <w:tcW w:w="2891" w:type="dxa"/>
            <w:tcMar>
              <w:top w:w="70" w:type="dxa"/>
              <w:left w:w="90" w:type="dxa"/>
              <w:bottom w:w="70" w:type="dxa"/>
              <w:right w:w="90" w:type="dxa"/>
            </w:tcMar>
            <w:vAlign w:val="center"/>
          </w:tcPr>
          <w:p w14:paraId="57859803">
            <w:pPr>
              <w:spacing w:before="0" w:after="0" w:line="240" w:lineRule="auto"/>
              <w:ind w:firstLine="0"/>
            </w:pPr>
            <w:r>
              <w:rPr>
                <w:rFonts w:ascii="Times New Roman" w:hAnsi="Times New Roman" w:eastAsia="宋体"/>
                <w:b w:val="0"/>
                <w:color w:val="000000"/>
                <w:sz w:val="17"/>
              </w:rPr>
              <w:t>运行指标单元测试和包外结果重建，比较数据结构与关键字段；失败时恢复脚本和清单快照</w:t>
            </w:r>
          </w:p>
        </w:tc>
      </w:tr>
    </w:tbl>
    <w:p w14:paraId="2D1E0575">
      <w:pPr>
        <w:pStyle w:val="165"/>
        <w:spacing w:before="40" w:after="100" w:line="240" w:lineRule="auto"/>
      </w:pPr>
      <w:r>
        <w:rPr>
          <w:rFonts w:ascii="Times New Roman" w:hAnsi="Times New Roman" w:eastAsia="宋体"/>
          <w:color w:val="000000"/>
          <w:sz w:val="18"/>
        </w:rPr>
        <w:t>资料来源：根据控制器模型端口、场景注册表、运行器及包内测试整理。</w:t>
      </w:r>
    </w:p>
    <w:p w14:paraId="73C421A8">
      <w:pPr>
        <w:keepLines/>
        <w:pBdr>
          <w:left w:val="single" w:color="4F5B60" w:sz="12" w:space="8"/>
        </w:pBdr>
        <w:spacing w:before="60" w:after="120" w:line="300" w:lineRule="auto"/>
        <w:ind w:left="312" w:right="113" w:firstLine="0"/>
      </w:pPr>
      <w:r>
        <w:rPr>
          <w:rFonts w:ascii="Times New Roman" w:hAnsi="Times New Roman" w:eastAsia="宋体"/>
          <w:b/>
          <w:color w:val="000000"/>
          <w:sz w:val="21"/>
        </w:rPr>
        <w:t xml:space="preserve">主运行入口说明  </w:t>
      </w:r>
      <w:r>
        <w:rPr>
          <w:rFonts w:ascii="Consolas" w:hAnsi="Consolas" w:eastAsia="等线"/>
          <w:color w:val="000000"/>
          <w:sz w:val="21"/>
        </w:rPr>
        <w:t>RUN_ALL.ps1</w:t>
      </w:r>
      <w:r>
        <w:rPr>
          <w:rFonts w:ascii="Times New Roman" w:hAnsi="Times New Roman" w:eastAsia="宋体"/>
          <w:color w:val="000000"/>
          <w:sz w:val="21"/>
        </w:rPr>
        <w:t>仅服务于当前正式主算法，不提供通用控制器选择功能。新增算法先通过独立包装和公共场景验证；只有完成接口适配、证据扩展和工程复核后，才可修改正式主入口。</w:t>
      </w:r>
    </w:p>
    <w:p w14:paraId="464C2729">
      <w:pPr>
        <w:pStyle w:val="4"/>
        <w:pageBreakBefore w:val="0"/>
      </w:pPr>
      <w:r>
        <w:rPr>
          <w:rFonts w:ascii="Times New Roman" w:hAnsi="Times New Roman" w:eastAsia="黑体"/>
          <w:b/>
          <w:color w:val="000000"/>
          <w:sz w:val="26"/>
        </w:rPr>
        <w:t>4.3  分层验证与常见故障</w:t>
      </w:r>
    </w:p>
    <w:p w14:paraId="728736EB">
      <w:pPr>
        <w:spacing w:before="0" w:after="0" w:line="360" w:lineRule="auto"/>
        <w:ind w:firstLine="480"/>
        <w:jc w:val="both"/>
      </w:pPr>
      <w:r>
        <w:rPr>
          <w:rFonts w:ascii="Times New Roman" w:hAnsi="Times New Roman" w:eastAsia="宋体"/>
          <w:color w:val="000000"/>
        </w:rPr>
        <w:t>验证按静态检查、结果生成、图件、指标、raw及整包清单分别执行。每组结果只说明其直接检查范围，不能将不同测试相加为一个总通过率。2026年7月16日的复核结果见表4-2。</w:t>
      </w:r>
    </w:p>
    <w:p w14:paraId="4852CC35">
      <w:pPr>
        <w:pStyle w:val="15"/>
        <w:keepNext/>
      </w:pPr>
      <w:r>
        <w:rPr>
          <w:rFonts w:ascii="Times New Roman" w:hAnsi="Times New Roman" w:eastAsia="宋体"/>
          <w:b/>
          <w:color w:val="000000"/>
          <w:sz w:val="21"/>
        </w:rPr>
        <w:t>表4-2  当前验证项目与结果</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098"/>
        <w:gridCol w:w="2268"/>
        <w:gridCol w:w="4365"/>
      </w:tblGrid>
      <w:tr w14:paraId="0DD247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098" w:type="dxa"/>
            <w:tcBorders>
              <w:bottom w:val="single" w:color="000000" w:sz="8" w:space="0"/>
            </w:tcBorders>
            <w:tcMar>
              <w:top w:w="70" w:type="dxa"/>
              <w:left w:w="90" w:type="dxa"/>
              <w:bottom w:w="70" w:type="dxa"/>
              <w:right w:w="90" w:type="dxa"/>
            </w:tcMar>
            <w:vAlign w:val="center"/>
          </w:tcPr>
          <w:p w14:paraId="2B70EA64">
            <w:pPr>
              <w:keepNext/>
              <w:spacing w:before="0" w:after="0" w:line="240" w:lineRule="auto"/>
              <w:ind w:firstLine="0"/>
              <w:jc w:val="center"/>
            </w:pPr>
            <w:r>
              <w:rPr>
                <w:rFonts w:ascii="Times New Roman" w:hAnsi="Times New Roman" w:eastAsia="黑体"/>
                <w:b/>
                <w:color w:val="000000"/>
                <w:sz w:val="18"/>
              </w:rPr>
              <w:t>验证内容</w:t>
            </w:r>
          </w:p>
        </w:tc>
        <w:tc>
          <w:tcPr>
            <w:tcW w:w="2268" w:type="dxa"/>
            <w:tcBorders>
              <w:bottom w:val="single" w:color="000000" w:sz="8" w:space="0"/>
            </w:tcBorders>
            <w:tcMar>
              <w:top w:w="70" w:type="dxa"/>
              <w:left w:w="90" w:type="dxa"/>
              <w:bottom w:w="70" w:type="dxa"/>
              <w:right w:w="90" w:type="dxa"/>
            </w:tcMar>
            <w:vAlign w:val="center"/>
          </w:tcPr>
          <w:p w14:paraId="25DCCFB4">
            <w:pPr>
              <w:keepNext/>
              <w:spacing w:before="0" w:after="0" w:line="240" w:lineRule="auto"/>
              <w:ind w:firstLine="0"/>
              <w:jc w:val="center"/>
            </w:pPr>
            <w:r>
              <w:rPr>
                <w:rFonts w:ascii="Times New Roman" w:hAnsi="Times New Roman" w:eastAsia="黑体"/>
                <w:b/>
                <w:color w:val="000000"/>
                <w:sz w:val="18"/>
              </w:rPr>
              <w:t>当前结果</w:t>
            </w:r>
          </w:p>
        </w:tc>
        <w:tc>
          <w:tcPr>
            <w:tcW w:w="4365" w:type="dxa"/>
            <w:tcBorders>
              <w:bottom w:val="single" w:color="000000" w:sz="8" w:space="0"/>
            </w:tcBorders>
            <w:tcMar>
              <w:top w:w="70" w:type="dxa"/>
              <w:left w:w="90" w:type="dxa"/>
              <w:bottom w:w="70" w:type="dxa"/>
              <w:right w:w="90" w:type="dxa"/>
            </w:tcMar>
            <w:vAlign w:val="center"/>
          </w:tcPr>
          <w:p w14:paraId="2318E9E9">
            <w:pPr>
              <w:keepNext/>
              <w:spacing w:before="0" w:after="0" w:line="240" w:lineRule="auto"/>
              <w:ind w:firstLine="0"/>
              <w:jc w:val="center"/>
            </w:pPr>
            <w:r>
              <w:rPr>
                <w:rFonts w:ascii="Times New Roman" w:hAnsi="Times New Roman" w:eastAsia="黑体"/>
                <w:b/>
                <w:color w:val="000000"/>
                <w:sz w:val="18"/>
              </w:rPr>
              <w:t>确认内容</w:t>
            </w:r>
          </w:p>
        </w:tc>
      </w:tr>
      <w:tr w14:paraId="0C3542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98" w:type="dxa"/>
            <w:tcMar>
              <w:top w:w="70" w:type="dxa"/>
              <w:left w:w="90" w:type="dxa"/>
              <w:bottom w:w="70" w:type="dxa"/>
              <w:right w:w="90" w:type="dxa"/>
            </w:tcMar>
            <w:vAlign w:val="center"/>
          </w:tcPr>
          <w:p w14:paraId="4789D471">
            <w:pPr>
              <w:spacing w:before="0" w:after="0" w:line="240" w:lineRule="auto"/>
              <w:ind w:firstLine="0"/>
            </w:pPr>
            <w:r>
              <w:rPr>
                <w:rFonts w:ascii="Times New Roman" w:hAnsi="Times New Roman" w:eastAsia="宋体"/>
                <w:b w:val="0"/>
                <w:color w:val="000000"/>
                <w:sz w:val="17"/>
              </w:rPr>
              <w:t>控制器配置检查</w:t>
            </w:r>
          </w:p>
        </w:tc>
        <w:tc>
          <w:tcPr>
            <w:tcW w:w="2268" w:type="dxa"/>
            <w:tcMar>
              <w:top w:w="70" w:type="dxa"/>
              <w:left w:w="90" w:type="dxa"/>
              <w:bottom w:w="70" w:type="dxa"/>
              <w:right w:w="90" w:type="dxa"/>
            </w:tcMar>
            <w:vAlign w:val="center"/>
          </w:tcPr>
          <w:p w14:paraId="346AE419">
            <w:pPr>
              <w:spacing w:before="0" w:after="0" w:line="240" w:lineRule="auto"/>
              <w:ind w:firstLine="0"/>
            </w:pPr>
            <w:r>
              <w:rPr>
                <w:rFonts w:ascii="Times New Roman" w:hAnsi="Times New Roman" w:eastAsia="宋体"/>
                <w:b w:val="0"/>
                <w:color w:val="000000"/>
                <w:sz w:val="17"/>
              </w:rPr>
              <w:t>8/8通过</w:t>
            </w:r>
          </w:p>
        </w:tc>
        <w:tc>
          <w:tcPr>
            <w:tcW w:w="4365" w:type="dxa"/>
            <w:tcMar>
              <w:top w:w="70" w:type="dxa"/>
              <w:left w:w="90" w:type="dxa"/>
              <w:bottom w:w="70" w:type="dxa"/>
              <w:right w:w="90" w:type="dxa"/>
            </w:tcMar>
            <w:vAlign w:val="center"/>
          </w:tcPr>
          <w:p w14:paraId="3264BD74">
            <w:pPr>
              <w:spacing w:before="0" w:after="0" w:line="240" w:lineRule="auto"/>
              <w:ind w:firstLine="0"/>
            </w:pPr>
            <w:r>
              <w:rPr>
                <w:rFonts w:ascii="Times New Roman" w:hAnsi="Times New Roman" w:eastAsia="宋体"/>
                <w:b w:val="0"/>
                <w:color w:val="000000"/>
                <w:sz w:val="17"/>
              </w:rPr>
              <w:t>算法身份、控制器源码、固定参数、活动模型与包外输出要求</w:t>
            </w:r>
          </w:p>
        </w:tc>
      </w:tr>
      <w:tr w14:paraId="4E4C3B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98" w:type="dxa"/>
            <w:tcMar>
              <w:top w:w="70" w:type="dxa"/>
              <w:left w:w="90" w:type="dxa"/>
              <w:bottom w:w="70" w:type="dxa"/>
              <w:right w:w="90" w:type="dxa"/>
            </w:tcMar>
            <w:vAlign w:val="center"/>
          </w:tcPr>
          <w:p w14:paraId="6E8AF7BB">
            <w:pPr>
              <w:spacing w:before="0" w:after="0" w:line="240" w:lineRule="auto"/>
              <w:ind w:firstLine="0"/>
            </w:pPr>
            <w:r>
              <w:rPr>
                <w:rFonts w:ascii="Times New Roman" w:hAnsi="Times New Roman" w:eastAsia="宋体"/>
                <w:b w:val="0"/>
                <w:color w:val="000000"/>
                <w:sz w:val="17"/>
              </w:rPr>
              <w:t>报告结果、入口与图件检查</w:t>
            </w:r>
          </w:p>
        </w:tc>
        <w:tc>
          <w:tcPr>
            <w:tcW w:w="2268" w:type="dxa"/>
            <w:tcMar>
              <w:top w:w="70" w:type="dxa"/>
              <w:left w:w="90" w:type="dxa"/>
              <w:bottom w:w="70" w:type="dxa"/>
              <w:right w:w="90" w:type="dxa"/>
            </w:tcMar>
            <w:vAlign w:val="center"/>
          </w:tcPr>
          <w:p w14:paraId="132EC17B">
            <w:pPr>
              <w:spacing w:before="0" w:after="0" w:line="240" w:lineRule="auto"/>
              <w:ind w:firstLine="0"/>
            </w:pPr>
            <w:r>
              <w:rPr>
                <w:rFonts w:ascii="Times New Roman" w:hAnsi="Times New Roman" w:eastAsia="宋体"/>
                <w:b w:val="0"/>
                <w:color w:val="000000"/>
                <w:sz w:val="17"/>
              </w:rPr>
              <w:t>报告证据10/10、入口3/3、图件5/5通过</w:t>
            </w:r>
          </w:p>
        </w:tc>
        <w:tc>
          <w:tcPr>
            <w:tcW w:w="4365" w:type="dxa"/>
            <w:tcMar>
              <w:top w:w="70" w:type="dxa"/>
              <w:left w:w="90" w:type="dxa"/>
              <w:bottom w:w="70" w:type="dxa"/>
              <w:right w:w="90" w:type="dxa"/>
            </w:tcMar>
            <w:vAlign w:val="center"/>
          </w:tcPr>
          <w:p w14:paraId="4020290B">
            <w:pPr>
              <w:spacing w:before="0" w:after="0" w:line="240" w:lineRule="auto"/>
              <w:ind w:firstLine="0"/>
            </w:pPr>
            <w:r>
              <w:rPr>
                <w:rFonts w:ascii="Times New Roman" w:hAnsi="Times New Roman" w:eastAsia="宋体"/>
                <w:b w:val="0"/>
                <w:color w:val="000000"/>
                <w:sz w:val="17"/>
              </w:rPr>
              <w:t>结果文件、相对路径、入口保护及28幅正式图</w:t>
            </w:r>
          </w:p>
        </w:tc>
      </w:tr>
      <w:tr w14:paraId="18DD6B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98" w:type="dxa"/>
            <w:tcMar>
              <w:top w:w="70" w:type="dxa"/>
              <w:left w:w="90" w:type="dxa"/>
              <w:bottom w:w="70" w:type="dxa"/>
              <w:right w:w="90" w:type="dxa"/>
            </w:tcMar>
            <w:vAlign w:val="center"/>
          </w:tcPr>
          <w:p w14:paraId="54D2CCC2">
            <w:pPr>
              <w:spacing w:before="0" w:after="0" w:line="240" w:lineRule="auto"/>
              <w:ind w:firstLine="0"/>
            </w:pPr>
            <w:r>
              <w:rPr>
                <w:rFonts w:ascii="Times New Roman" w:hAnsi="Times New Roman" w:eastAsia="宋体"/>
                <w:b w:val="0"/>
                <w:color w:val="000000"/>
                <w:sz w:val="17"/>
              </w:rPr>
              <w:t>指标、公共比较与复现记录</w:t>
            </w:r>
          </w:p>
        </w:tc>
        <w:tc>
          <w:tcPr>
            <w:tcW w:w="2268" w:type="dxa"/>
            <w:tcMar>
              <w:top w:w="70" w:type="dxa"/>
              <w:left w:w="90" w:type="dxa"/>
              <w:bottom w:w="70" w:type="dxa"/>
              <w:right w:w="90" w:type="dxa"/>
            </w:tcMar>
            <w:vAlign w:val="center"/>
          </w:tcPr>
          <w:p w14:paraId="704201DB">
            <w:pPr>
              <w:spacing w:before="0" w:after="0" w:line="240" w:lineRule="auto"/>
              <w:ind w:firstLine="0"/>
            </w:pPr>
            <w:r>
              <w:rPr>
                <w:rFonts w:ascii="Times New Roman" w:hAnsi="Times New Roman" w:eastAsia="宋体"/>
                <w:b w:val="0"/>
                <w:color w:val="000000"/>
                <w:sz w:val="17"/>
              </w:rPr>
              <w:t>指标9/9通过；5个控制器、4个公共场景；64份配对raw和3项代表场景记录完整</w:t>
            </w:r>
          </w:p>
        </w:tc>
        <w:tc>
          <w:tcPr>
            <w:tcW w:w="4365" w:type="dxa"/>
            <w:tcMar>
              <w:top w:w="70" w:type="dxa"/>
              <w:left w:w="90" w:type="dxa"/>
              <w:bottom w:w="70" w:type="dxa"/>
              <w:right w:w="90" w:type="dxa"/>
            </w:tcMar>
            <w:vAlign w:val="center"/>
          </w:tcPr>
          <w:p w14:paraId="306318E5">
            <w:pPr>
              <w:spacing w:before="0" w:after="0" w:line="240" w:lineRule="auto"/>
              <w:ind w:firstLine="0"/>
            </w:pPr>
            <w:r>
              <w:rPr>
                <w:rFonts w:ascii="Times New Roman" w:hAnsi="Times New Roman" w:eastAsia="宋体"/>
                <w:b w:val="0"/>
                <w:color w:val="000000"/>
                <w:sz w:val="17"/>
              </w:rPr>
              <w:t>指标设置、公共比较数据结构、配对raw记录和代表场景记录</w:t>
            </w:r>
          </w:p>
        </w:tc>
      </w:tr>
      <w:tr w14:paraId="4CB0A8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098" w:type="dxa"/>
            <w:tcMar>
              <w:top w:w="70" w:type="dxa"/>
              <w:left w:w="90" w:type="dxa"/>
              <w:bottom w:w="70" w:type="dxa"/>
              <w:right w:w="90" w:type="dxa"/>
            </w:tcMar>
            <w:vAlign w:val="center"/>
          </w:tcPr>
          <w:p w14:paraId="205D68C5">
            <w:pPr>
              <w:spacing w:before="0" w:after="0" w:line="240" w:lineRule="auto"/>
              <w:ind w:firstLine="0"/>
            </w:pPr>
            <w:r>
              <w:rPr>
                <w:rFonts w:ascii="Times New Roman" w:hAnsi="Times New Roman" w:eastAsia="宋体"/>
                <w:b w:val="0"/>
                <w:color w:val="000000"/>
                <w:sz w:val="17"/>
              </w:rPr>
              <w:t>源文件包完整性检查</w:t>
            </w:r>
          </w:p>
        </w:tc>
        <w:tc>
          <w:tcPr>
            <w:tcW w:w="2268" w:type="dxa"/>
            <w:tcMar>
              <w:top w:w="70" w:type="dxa"/>
              <w:left w:w="90" w:type="dxa"/>
              <w:bottom w:w="70" w:type="dxa"/>
              <w:right w:w="90" w:type="dxa"/>
            </w:tcMar>
            <w:vAlign w:val="center"/>
          </w:tcPr>
          <w:p w14:paraId="2B599F10">
            <w:pPr>
              <w:spacing w:before="0" w:after="0" w:line="240" w:lineRule="auto"/>
              <w:ind w:firstLine="0"/>
            </w:pPr>
            <w:r>
              <w:rPr>
                <w:rFonts w:ascii="Times New Roman" w:hAnsi="Times New Roman" w:eastAsia="宋体"/>
                <w:b w:val="0"/>
                <w:color w:val="000000"/>
                <w:sz w:val="17"/>
              </w:rPr>
              <w:t>通过</w:t>
            </w:r>
          </w:p>
        </w:tc>
        <w:tc>
          <w:tcPr>
            <w:tcW w:w="4365" w:type="dxa"/>
            <w:tcMar>
              <w:top w:w="70" w:type="dxa"/>
              <w:left w:w="90" w:type="dxa"/>
              <w:bottom w:w="70" w:type="dxa"/>
              <w:right w:w="90" w:type="dxa"/>
            </w:tcMar>
            <w:vAlign w:val="center"/>
          </w:tcPr>
          <w:p w14:paraId="46983ED6">
            <w:pPr>
              <w:spacing w:before="0" w:after="0" w:line="240" w:lineRule="auto"/>
              <w:ind w:firstLine="0"/>
            </w:pPr>
            <w:r>
              <w:rPr>
                <w:rFonts w:ascii="Times New Roman" w:hAnsi="Times New Roman" w:eastAsia="宋体"/>
                <w:b w:val="0"/>
                <w:color w:val="000000"/>
                <w:sz w:val="17"/>
              </w:rPr>
              <w:t>314个物理文件与文件清单一致</w:t>
            </w:r>
          </w:p>
        </w:tc>
      </w:tr>
    </w:tbl>
    <w:p w14:paraId="303A1C6D">
      <w:pPr>
        <w:pStyle w:val="165"/>
        <w:spacing w:before="40" w:after="100" w:line="240" w:lineRule="auto"/>
      </w:pPr>
      <w:r>
        <w:rPr>
          <w:rFonts w:ascii="Times New Roman" w:hAnsi="Times New Roman" w:eastAsia="宋体"/>
          <w:color w:val="000000"/>
          <w:sz w:val="18"/>
        </w:rPr>
        <w:t>资料来源：RUN_QUICK_VERIFY.ps1的分组输出、PACKAGE_BUILD_INFO.json、RAW_MANIFEST.json及当前整包审计结果。</w:t>
      </w:r>
    </w:p>
    <w:p w14:paraId="40615405">
      <w:pPr>
        <w:spacing w:before="0" w:after="0" w:line="360" w:lineRule="auto"/>
        <w:ind w:firstLine="480"/>
        <w:jc w:val="both"/>
      </w:pPr>
      <w:r>
        <w:rPr>
          <w:rFonts w:ascii="Times New Roman" w:hAnsi="Times New Roman" w:eastAsia="宋体"/>
          <w:color w:val="000000"/>
        </w:rPr>
        <w:t>表4-2中的各组检查均已通过。文档仍分别列出每组结果，不把不同检查相加为一个总通过数量；工程文件发生变化后，应重新执行对应检查。</w:t>
      </w:r>
    </w:p>
    <w:p w14:paraId="70E11629">
      <w:pPr>
        <w:pStyle w:val="15"/>
        <w:keepNext/>
      </w:pPr>
      <w:r>
        <w:rPr>
          <w:rFonts w:ascii="Times New Roman" w:hAnsi="Times New Roman" w:eastAsia="宋体"/>
          <w:b/>
          <w:color w:val="000000"/>
          <w:sz w:val="21"/>
        </w:rPr>
        <w:t>表4-3  常见故障定位与恢复</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268"/>
        <w:gridCol w:w="3061"/>
        <w:gridCol w:w="3402"/>
      </w:tblGrid>
      <w:tr w14:paraId="69C4CF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268" w:type="dxa"/>
            <w:tcBorders>
              <w:bottom w:val="single" w:color="000000" w:sz="8" w:space="0"/>
            </w:tcBorders>
            <w:tcMar>
              <w:top w:w="70" w:type="dxa"/>
              <w:left w:w="90" w:type="dxa"/>
              <w:bottom w:w="70" w:type="dxa"/>
              <w:right w:w="90" w:type="dxa"/>
            </w:tcMar>
            <w:vAlign w:val="center"/>
          </w:tcPr>
          <w:p w14:paraId="061C14A4">
            <w:pPr>
              <w:keepNext/>
              <w:spacing w:before="0" w:after="0" w:line="240" w:lineRule="auto"/>
              <w:ind w:firstLine="0"/>
              <w:jc w:val="center"/>
            </w:pPr>
            <w:r>
              <w:rPr>
                <w:rFonts w:ascii="Times New Roman" w:hAnsi="Times New Roman" w:eastAsia="黑体"/>
                <w:b/>
                <w:color w:val="000000"/>
                <w:sz w:val="18"/>
              </w:rPr>
              <w:t>可见症状</w:t>
            </w:r>
          </w:p>
        </w:tc>
        <w:tc>
          <w:tcPr>
            <w:tcW w:w="3061" w:type="dxa"/>
            <w:tcBorders>
              <w:bottom w:val="single" w:color="000000" w:sz="8" w:space="0"/>
            </w:tcBorders>
            <w:tcMar>
              <w:top w:w="70" w:type="dxa"/>
              <w:left w:w="90" w:type="dxa"/>
              <w:bottom w:w="70" w:type="dxa"/>
              <w:right w:w="90" w:type="dxa"/>
            </w:tcMar>
            <w:vAlign w:val="center"/>
          </w:tcPr>
          <w:p w14:paraId="7E5080DC">
            <w:pPr>
              <w:keepNext/>
              <w:spacing w:before="0" w:after="0" w:line="240" w:lineRule="auto"/>
              <w:ind w:firstLine="0"/>
              <w:jc w:val="center"/>
            </w:pPr>
            <w:r>
              <w:rPr>
                <w:rFonts w:ascii="Times New Roman" w:hAnsi="Times New Roman" w:eastAsia="黑体"/>
                <w:b/>
                <w:color w:val="000000"/>
                <w:sz w:val="18"/>
              </w:rPr>
              <w:t>优先核对</w:t>
            </w:r>
          </w:p>
        </w:tc>
        <w:tc>
          <w:tcPr>
            <w:tcW w:w="3402" w:type="dxa"/>
            <w:tcBorders>
              <w:bottom w:val="single" w:color="000000" w:sz="8" w:space="0"/>
            </w:tcBorders>
            <w:tcMar>
              <w:top w:w="70" w:type="dxa"/>
              <w:left w:w="90" w:type="dxa"/>
              <w:bottom w:w="70" w:type="dxa"/>
              <w:right w:w="90" w:type="dxa"/>
            </w:tcMar>
            <w:vAlign w:val="center"/>
          </w:tcPr>
          <w:p w14:paraId="716C7B58">
            <w:pPr>
              <w:keepNext/>
              <w:spacing w:before="0" w:after="0" w:line="240" w:lineRule="auto"/>
              <w:ind w:firstLine="0"/>
              <w:jc w:val="center"/>
            </w:pPr>
            <w:r>
              <w:rPr>
                <w:rFonts w:ascii="Times New Roman" w:hAnsi="Times New Roman" w:eastAsia="黑体"/>
                <w:b/>
                <w:color w:val="000000"/>
                <w:sz w:val="18"/>
              </w:rPr>
              <w:t>恢复动作</w:t>
            </w:r>
          </w:p>
        </w:tc>
      </w:tr>
      <w:tr w14:paraId="0679E6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3E68071D">
            <w:pPr>
              <w:keepNext/>
              <w:spacing w:before="0" w:after="0" w:line="240" w:lineRule="auto"/>
              <w:ind w:firstLine="0"/>
              <w:jc w:val="center"/>
            </w:pPr>
            <w:r>
              <w:rPr>
                <w:rFonts w:ascii="Times New Roman" w:hAnsi="Times New Roman" w:eastAsia="宋体"/>
                <w:b w:val="0"/>
                <w:color w:val="000000"/>
                <w:sz w:val="17"/>
              </w:rPr>
              <w:t>提示找不到MWORKS Python</w:t>
            </w:r>
          </w:p>
        </w:tc>
        <w:tc>
          <w:tcPr>
            <w:tcW w:w="3061" w:type="dxa"/>
            <w:tcMar>
              <w:top w:w="70" w:type="dxa"/>
              <w:left w:w="90" w:type="dxa"/>
              <w:bottom w:w="70" w:type="dxa"/>
              <w:right w:w="90" w:type="dxa"/>
            </w:tcMar>
            <w:vAlign w:val="center"/>
          </w:tcPr>
          <w:p w14:paraId="37E5C099">
            <w:pPr>
              <w:keepNext/>
              <w:spacing w:before="0" w:after="0" w:line="240" w:lineRule="auto"/>
              <w:ind w:firstLine="0"/>
            </w:pPr>
            <w:r>
              <w:rPr>
                <w:rFonts w:ascii="Times New Roman" w:hAnsi="Times New Roman" w:eastAsia="宋体"/>
                <w:b w:val="0"/>
                <w:color w:val="000000"/>
                <w:sz w:val="17"/>
              </w:rPr>
              <w:t>MWORKS_PYTHON及标准安装路径</w:t>
            </w:r>
          </w:p>
        </w:tc>
        <w:tc>
          <w:tcPr>
            <w:tcW w:w="3402" w:type="dxa"/>
            <w:tcMar>
              <w:top w:w="70" w:type="dxa"/>
              <w:left w:w="90" w:type="dxa"/>
              <w:bottom w:w="70" w:type="dxa"/>
              <w:right w:w="90" w:type="dxa"/>
            </w:tcMar>
            <w:vAlign w:val="center"/>
          </w:tcPr>
          <w:p w14:paraId="041A77FD">
            <w:pPr>
              <w:keepNext/>
              <w:spacing w:before="0" w:after="0" w:line="240" w:lineRule="auto"/>
              <w:ind w:firstLine="0"/>
            </w:pPr>
            <w:r>
              <w:rPr>
                <w:rFonts w:ascii="Times New Roman" w:hAnsi="Times New Roman" w:eastAsia="宋体"/>
                <w:b w:val="0"/>
                <w:color w:val="000000"/>
                <w:sz w:val="17"/>
              </w:rPr>
              <w:t>设置用户环境变量并重新执行预检，不在脚本中写入个人路径</w:t>
            </w:r>
          </w:p>
        </w:tc>
      </w:tr>
      <w:tr w14:paraId="5A7CCD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0D8E6733">
            <w:pPr>
              <w:keepNext/>
              <w:spacing w:before="0" w:after="0" w:line="240" w:lineRule="auto"/>
              <w:ind w:firstLine="0"/>
              <w:jc w:val="center"/>
            </w:pPr>
            <w:r>
              <w:rPr>
                <w:rFonts w:ascii="Times New Roman" w:hAnsi="Times New Roman" w:eastAsia="宋体"/>
                <w:b w:val="0"/>
                <w:color w:val="000000"/>
                <w:sz w:val="17"/>
              </w:rPr>
              <w:t>提示找不到julia-ty</w:t>
            </w:r>
          </w:p>
        </w:tc>
        <w:tc>
          <w:tcPr>
            <w:tcW w:w="3061" w:type="dxa"/>
            <w:tcMar>
              <w:top w:w="70" w:type="dxa"/>
              <w:left w:w="90" w:type="dxa"/>
              <w:bottom w:w="70" w:type="dxa"/>
              <w:right w:w="90" w:type="dxa"/>
            </w:tcMar>
            <w:vAlign w:val="center"/>
          </w:tcPr>
          <w:p w14:paraId="2B19B6F1">
            <w:pPr>
              <w:keepNext/>
              <w:spacing w:before="0" w:after="0" w:line="240" w:lineRule="auto"/>
              <w:ind w:firstLine="0"/>
            </w:pPr>
            <w:r>
              <w:rPr>
                <w:rFonts w:ascii="Times New Roman" w:hAnsi="Times New Roman" w:eastAsia="宋体"/>
                <w:b w:val="0"/>
                <w:color w:val="000000"/>
                <w:sz w:val="17"/>
              </w:rPr>
              <w:t>JULIA_TY或PATH中的绑定运行时</w:t>
            </w:r>
          </w:p>
        </w:tc>
        <w:tc>
          <w:tcPr>
            <w:tcW w:w="3402" w:type="dxa"/>
            <w:tcMar>
              <w:top w:w="70" w:type="dxa"/>
              <w:left w:w="90" w:type="dxa"/>
              <w:bottom w:w="70" w:type="dxa"/>
              <w:right w:w="90" w:type="dxa"/>
            </w:tcMar>
            <w:vAlign w:val="center"/>
          </w:tcPr>
          <w:p w14:paraId="148C03DC">
            <w:pPr>
              <w:keepNext/>
              <w:spacing w:before="0" w:after="0" w:line="240" w:lineRule="auto"/>
              <w:ind w:firstLine="0"/>
            </w:pPr>
            <w:r>
              <w:rPr>
                <w:rFonts w:ascii="Times New Roman" w:hAnsi="Times New Roman" w:eastAsia="宋体"/>
                <w:b w:val="0"/>
                <w:color w:val="000000"/>
                <w:sz w:val="17"/>
              </w:rPr>
              <w:t>指向Syslab 2026a配套运行时，再单独运行指标测试</w:t>
            </w:r>
          </w:p>
        </w:tc>
      </w:tr>
      <w:tr w14:paraId="034016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00DB61FA">
            <w:pPr>
              <w:keepNext/>
              <w:spacing w:before="0" w:after="0" w:line="240" w:lineRule="auto"/>
              <w:ind w:firstLine="0"/>
              <w:jc w:val="center"/>
            </w:pPr>
            <w:r>
              <w:rPr>
                <w:rFonts w:ascii="Times New Roman" w:hAnsi="Times New Roman" w:eastAsia="宋体"/>
                <w:b w:val="0"/>
                <w:color w:val="000000"/>
                <w:sz w:val="17"/>
              </w:rPr>
              <w:t>Sysplorer端口或实例数量不符</w:t>
            </w:r>
          </w:p>
        </w:tc>
        <w:tc>
          <w:tcPr>
            <w:tcW w:w="3061" w:type="dxa"/>
            <w:tcMar>
              <w:top w:w="70" w:type="dxa"/>
              <w:left w:w="90" w:type="dxa"/>
              <w:bottom w:w="70" w:type="dxa"/>
              <w:right w:w="90" w:type="dxa"/>
            </w:tcMar>
            <w:vAlign w:val="center"/>
          </w:tcPr>
          <w:p w14:paraId="7B4A771A">
            <w:pPr>
              <w:keepNext/>
              <w:spacing w:before="0" w:after="0" w:line="240" w:lineRule="auto"/>
              <w:ind w:firstLine="0"/>
            </w:pPr>
            <w:r>
              <w:rPr>
                <w:rFonts w:ascii="Times New Roman" w:hAnsi="Times New Roman" w:eastAsia="宋体"/>
                <w:b w:val="0"/>
                <w:color w:val="000000"/>
                <w:sz w:val="17"/>
              </w:rPr>
              <w:t>49152端口及当前Sysplorer进程</w:t>
            </w:r>
          </w:p>
        </w:tc>
        <w:tc>
          <w:tcPr>
            <w:tcW w:w="3402" w:type="dxa"/>
            <w:tcMar>
              <w:top w:w="70" w:type="dxa"/>
              <w:left w:w="90" w:type="dxa"/>
              <w:bottom w:w="70" w:type="dxa"/>
              <w:right w:w="90" w:type="dxa"/>
            </w:tcMar>
            <w:vAlign w:val="center"/>
          </w:tcPr>
          <w:p w14:paraId="72C824FE">
            <w:pPr>
              <w:keepNext/>
              <w:spacing w:before="0" w:after="0" w:line="240" w:lineRule="auto"/>
              <w:ind w:firstLine="0"/>
            </w:pPr>
            <w:r>
              <w:rPr>
                <w:rFonts w:ascii="Times New Roman" w:hAnsi="Times New Roman" w:eastAsia="宋体"/>
                <w:b w:val="0"/>
                <w:color w:val="000000"/>
                <w:sz w:val="17"/>
              </w:rPr>
              <w:t>保留一个目标实例后重试；运行器不会自动清空或关闭会话</w:t>
            </w:r>
          </w:p>
        </w:tc>
      </w:tr>
      <w:tr w14:paraId="60BC6D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4C9C46E6">
            <w:pPr>
              <w:keepNext/>
              <w:spacing w:before="0" w:after="0" w:line="240" w:lineRule="auto"/>
              <w:ind w:firstLine="0"/>
              <w:jc w:val="center"/>
            </w:pPr>
            <w:r>
              <w:rPr>
                <w:rFonts w:ascii="Times New Roman" w:hAnsi="Times New Roman" w:eastAsia="宋体"/>
                <w:b w:val="0"/>
                <w:color w:val="000000"/>
                <w:sz w:val="17"/>
              </w:rPr>
              <w:t>输出目录被拒绝</w:t>
            </w:r>
          </w:p>
        </w:tc>
        <w:tc>
          <w:tcPr>
            <w:tcW w:w="3061" w:type="dxa"/>
            <w:tcMar>
              <w:top w:w="70" w:type="dxa"/>
              <w:left w:w="90" w:type="dxa"/>
              <w:bottom w:w="70" w:type="dxa"/>
              <w:right w:w="90" w:type="dxa"/>
            </w:tcMar>
            <w:vAlign w:val="center"/>
          </w:tcPr>
          <w:p w14:paraId="2258B788">
            <w:pPr>
              <w:keepNext/>
              <w:spacing w:before="0" w:after="0" w:line="240" w:lineRule="auto"/>
              <w:ind w:firstLine="0"/>
            </w:pPr>
            <w:r>
              <w:rPr>
                <w:rFonts w:ascii="Times New Roman" w:hAnsi="Times New Roman" w:eastAsia="宋体"/>
                <w:b w:val="0"/>
                <w:color w:val="000000"/>
                <w:sz w:val="17"/>
              </w:rPr>
              <w:t>-Output是否为包外绝对路径</w:t>
            </w:r>
          </w:p>
        </w:tc>
        <w:tc>
          <w:tcPr>
            <w:tcW w:w="3402" w:type="dxa"/>
            <w:tcMar>
              <w:top w:w="70" w:type="dxa"/>
              <w:left w:w="90" w:type="dxa"/>
              <w:bottom w:w="70" w:type="dxa"/>
              <w:right w:w="90" w:type="dxa"/>
            </w:tcMar>
            <w:vAlign w:val="center"/>
          </w:tcPr>
          <w:p w14:paraId="40859BF2">
            <w:pPr>
              <w:keepNext/>
              <w:spacing w:before="0" w:after="0" w:line="240" w:lineRule="auto"/>
              <w:ind w:firstLine="0"/>
            </w:pPr>
            <w:r>
              <w:rPr>
                <w:rFonts w:ascii="Times New Roman" w:hAnsi="Times New Roman" w:eastAsia="宋体"/>
                <w:b w:val="0"/>
                <w:color w:val="000000"/>
                <w:sz w:val="17"/>
              </w:rPr>
              <w:t>改用独立结果目录，保持源文件包只读</w:t>
            </w:r>
          </w:p>
        </w:tc>
      </w:tr>
      <w:tr w14:paraId="649835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37D2F7B7">
            <w:pPr>
              <w:spacing w:before="0" w:after="0" w:line="240" w:lineRule="auto"/>
              <w:ind w:firstLine="0"/>
              <w:jc w:val="center"/>
            </w:pPr>
            <w:r>
              <w:rPr>
                <w:rFonts w:ascii="Times New Roman" w:hAnsi="Times New Roman" w:eastAsia="宋体"/>
                <w:b w:val="0"/>
                <w:color w:val="000000"/>
                <w:sz w:val="17"/>
              </w:rPr>
              <w:t>文件清单与实际文件不一致</w:t>
            </w:r>
          </w:p>
        </w:tc>
        <w:tc>
          <w:tcPr>
            <w:tcW w:w="3061" w:type="dxa"/>
            <w:tcMar>
              <w:top w:w="70" w:type="dxa"/>
              <w:left w:w="90" w:type="dxa"/>
              <w:bottom w:w="70" w:type="dxa"/>
              <w:right w:w="90" w:type="dxa"/>
            </w:tcMar>
            <w:vAlign w:val="center"/>
          </w:tcPr>
          <w:p w14:paraId="33760BA9">
            <w:pPr>
              <w:spacing w:before="0" w:after="0" w:line="240" w:lineRule="auto"/>
              <w:ind w:firstLine="0"/>
            </w:pPr>
            <w:r>
              <w:rPr>
                <w:rFonts w:ascii="Times New Roman" w:hAnsi="Times New Roman" w:eastAsia="宋体"/>
                <w:b w:val="0"/>
                <w:color w:val="000000"/>
                <w:sz w:val="17"/>
              </w:rPr>
              <w:t>缺失文件、README版本、清单登记值和物理文件数</w:t>
            </w:r>
          </w:p>
        </w:tc>
        <w:tc>
          <w:tcPr>
            <w:tcW w:w="3402" w:type="dxa"/>
            <w:tcMar>
              <w:top w:w="70" w:type="dxa"/>
              <w:left w:w="90" w:type="dxa"/>
              <w:bottom w:w="70" w:type="dxa"/>
              <w:right w:w="90" w:type="dxa"/>
            </w:tcMar>
            <w:vAlign w:val="center"/>
          </w:tcPr>
          <w:p w14:paraId="52AA269D">
            <w:pPr>
              <w:spacing w:before="0" w:after="0" w:line="240" w:lineRule="auto"/>
              <w:ind w:firstLine="0"/>
            </w:pPr>
            <w:r>
              <w:rPr>
                <w:rFonts w:ascii="Times New Roman" w:hAnsi="Times New Roman" w:eastAsia="宋体"/>
                <w:b w:val="0"/>
                <w:color w:val="000000"/>
                <w:sz w:val="17"/>
              </w:rPr>
              <w:t>先确定权威文件，再重建清单并复验；不要只修改审计结果文件</w:t>
            </w:r>
          </w:p>
        </w:tc>
      </w:tr>
    </w:tbl>
    <w:p w14:paraId="3E3C8E2F">
      <w:pPr>
        <w:pStyle w:val="165"/>
        <w:spacing w:before="40" w:after="100" w:line="240" w:lineRule="auto"/>
      </w:pPr>
      <w:r>
        <w:rPr>
          <w:rFonts w:ascii="Times New Roman" w:hAnsi="Times New Roman" w:eastAsia="宋体"/>
          <w:color w:val="000000"/>
          <w:sz w:val="18"/>
        </w:rPr>
        <w:t>资料来源：根据RUN_QUICK_VERIFY.ps1、RUN_ALL.ps1、运行器错误处理和本章整包复核结果整理。</w:t>
      </w:r>
    </w:p>
    <w:p w14:paraId="34277991">
      <w:pPr>
        <w:spacing w:before="0" w:after="0" w:line="360" w:lineRule="auto"/>
        <w:ind w:firstLine="480"/>
        <w:jc w:val="both"/>
      </w:pPr>
      <w:r>
        <w:rPr>
          <w:rFonts w:ascii="Times New Roman" w:hAnsi="Times New Roman" w:eastAsia="宋体"/>
          <w:color w:val="000000"/>
        </w:rPr>
        <w:t>表4-3覆盖运行环境、单实例、输出目录和文件一致性四类常见问题。处理顺序统一为先核对原因，再恢复环境或文件，最后重新执行对应检查。</w:t>
      </w:r>
    </w:p>
    <w:p w14:paraId="696F7701"/>
    <w:p w14:paraId="74355E91">
      <w:pPr>
        <w:pStyle w:val="3"/>
        <w:pageBreakBefore/>
      </w:pPr>
      <w:r>
        <w:rPr>
          <w:rFonts w:ascii="Times New Roman" w:hAnsi="Times New Roman" w:eastAsia="黑体"/>
          <w:b/>
          <w:color w:val="000000"/>
          <w:sz w:val="32"/>
        </w:rPr>
        <w:t>第5章  代码规范、来源与维护</w:t>
      </w:r>
    </w:p>
    <w:p w14:paraId="3E79CE85">
      <w:pPr>
        <w:pStyle w:val="4"/>
        <w:pageBreakBefore w:val="0"/>
      </w:pPr>
      <w:r>
        <w:rPr>
          <w:rFonts w:ascii="Times New Roman" w:hAnsi="Times New Roman" w:eastAsia="黑体"/>
          <w:b/>
          <w:color w:val="000000"/>
          <w:sz w:val="26"/>
        </w:rPr>
        <w:t>5.1  可读性与来源说明</w:t>
      </w:r>
    </w:p>
    <w:p w14:paraId="61F4A93E">
      <w:pPr>
        <w:spacing w:before="0" w:after="0" w:line="360" w:lineRule="auto"/>
        <w:ind w:firstLine="480"/>
        <w:jc w:val="both"/>
      </w:pPr>
      <w:r>
        <w:rPr>
          <w:rFonts w:ascii="Times New Roman" w:hAnsi="Times New Roman" w:eastAsia="宋体"/>
          <w:color w:val="000000"/>
        </w:rPr>
        <w:t>模型、脚本、配置和结果使用稳定名称，对外入口集中在README、注册表和根目录运行脚本。注释写清接口、单位和恢复逻辑；错误信息指出依赖、路径或接口问题。仿真结果写入包外目录，raw、图件和清单保持只读。表5-1汇总主要来源类别及说明要求。</w:t>
      </w:r>
    </w:p>
    <w:p w14:paraId="020DA311">
      <w:pPr>
        <w:pStyle w:val="15"/>
        <w:keepNext/>
      </w:pPr>
      <w:r>
        <w:rPr>
          <w:rFonts w:ascii="Times New Roman" w:hAnsi="Times New Roman" w:eastAsia="宋体"/>
          <w:b/>
          <w:color w:val="000000"/>
          <w:sz w:val="21"/>
        </w:rPr>
        <w:t>表5-1  主要来源类别与说明要求</w:t>
      </w:r>
    </w:p>
    <w:tbl>
      <w:tblPr>
        <w:tblStyle w:val="32"/>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28"/>
        <w:gridCol w:w="3402"/>
        <w:gridCol w:w="3402"/>
      </w:tblGrid>
      <w:tr w14:paraId="36B8E6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928" w:type="dxa"/>
            <w:tcBorders>
              <w:bottom w:val="single" w:color="000000" w:sz="8" w:space="0"/>
            </w:tcBorders>
            <w:tcMar>
              <w:top w:w="70" w:type="dxa"/>
              <w:left w:w="90" w:type="dxa"/>
              <w:bottom w:w="70" w:type="dxa"/>
              <w:right w:w="90" w:type="dxa"/>
            </w:tcMar>
            <w:vAlign w:val="center"/>
          </w:tcPr>
          <w:p w14:paraId="60357A19">
            <w:pPr>
              <w:keepNext/>
              <w:spacing w:before="0" w:after="0" w:line="240" w:lineRule="auto"/>
              <w:ind w:firstLine="0"/>
              <w:jc w:val="center"/>
            </w:pPr>
            <w:r>
              <w:rPr>
                <w:rFonts w:ascii="Times New Roman" w:hAnsi="Times New Roman" w:eastAsia="黑体"/>
                <w:b/>
                <w:color w:val="000000"/>
                <w:sz w:val="18"/>
              </w:rPr>
              <w:t>对象类别</w:t>
            </w:r>
          </w:p>
        </w:tc>
        <w:tc>
          <w:tcPr>
            <w:tcW w:w="3402" w:type="dxa"/>
            <w:tcBorders>
              <w:bottom w:val="single" w:color="000000" w:sz="8" w:space="0"/>
            </w:tcBorders>
            <w:tcMar>
              <w:top w:w="70" w:type="dxa"/>
              <w:left w:w="90" w:type="dxa"/>
              <w:bottom w:w="70" w:type="dxa"/>
              <w:right w:w="90" w:type="dxa"/>
            </w:tcMar>
            <w:vAlign w:val="center"/>
          </w:tcPr>
          <w:p w14:paraId="7E99F064">
            <w:pPr>
              <w:keepNext/>
              <w:spacing w:before="0" w:after="0" w:line="240" w:lineRule="auto"/>
              <w:ind w:firstLine="0"/>
              <w:jc w:val="center"/>
            </w:pPr>
            <w:r>
              <w:rPr>
                <w:rFonts w:ascii="Times New Roman" w:hAnsi="Times New Roman" w:eastAsia="黑体"/>
                <w:b/>
                <w:color w:val="000000"/>
                <w:sz w:val="18"/>
              </w:rPr>
              <w:t>当前登记</w:t>
            </w:r>
          </w:p>
        </w:tc>
        <w:tc>
          <w:tcPr>
            <w:tcW w:w="3402" w:type="dxa"/>
            <w:tcBorders>
              <w:bottom w:val="single" w:color="000000" w:sz="8" w:space="0"/>
            </w:tcBorders>
            <w:tcMar>
              <w:top w:w="70" w:type="dxa"/>
              <w:left w:w="90" w:type="dxa"/>
              <w:bottom w:w="70" w:type="dxa"/>
              <w:right w:w="90" w:type="dxa"/>
            </w:tcMar>
            <w:vAlign w:val="center"/>
          </w:tcPr>
          <w:p w14:paraId="72A81EF7">
            <w:pPr>
              <w:keepNext/>
              <w:spacing w:before="0" w:after="0" w:line="240" w:lineRule="auto"/>
              <w:ind w:firstLine="0"/>
              <w:jc w:val="center"/>
            </w:pPr>
            <w:r>
              <w:rPr>
                <w:rFonts w:ascii="Times New Roman" w:hAnsi="Times New Roman" w:eastAsia="黑体"/>
                <w:b/>
                <w:color w:val="000000"/>
                <w:sz w:val="18"/>
              </w:rPr>
              <w:t>文档与维护规则</w:t>
            </w:r>
          </w:p>
        </w:tc>
      </w:tr>
      <w:tr w14:paraId="30777F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28" w:type="dxa"/>
            <w:tcMar>
              <w:top w:w="70" w:type="dxa"/>
              <w:left w:w="90" w:type="dxa"/>
              <w:bottom w:w="70" w:type="dxa"/>
              <w:right w:w="90" w:type="dxa"/>
            </w:tcMar>
            <w:vAlign w:val="center"/>
          </w:tcPr>
          <w:p w14:paraId="6E74CD42">
            <w:pPr>
              <w:keepNext/>
              <w:spacing w:before="0" w:after="0" w:line="240" w:lineRule="auto"/>
              <w:ind w:firstLine="0"/>
              <w:jc w:val="center"/>
            </w:pPr>
            <w:r>
              <w:rPr>
                <w:rFonts w:ascii="Times New Roman" w:hAnsi="Times New Roman" w:eastAsia="宋体"/>
                <w:b w:val="0"/>
                <w:color w:val="000000"/>
                <w:sz w:val="17"/>
              </w:rPr>
              <w:t>团队工程实现与派生资产</w:t>
            </w:r>
          </w:p>
        </w:tc>
        <w:tc>
          <w:tcPr>
            <w:tcW w:w="3402" w:type="dxa"/>
            <w:tcMar>
              <w:top w:w="70" w:type="dxa"/>
              <w:left w:w="90" w:type="dxa"/>
              <w:bottom w:w="70" w:type="dxa"/>
              <w:right w:w="90" w:type="dxa"/>
            </w:tcMar>
            <w:vAlign w:val="center"/>
          </w:tcPr>
          <w:p w14:paraId="11F35936">
            <w:pPr>
              <w:keepNext/>
              <w:spacing w:before="0" w:after="0" w:line="240" w:lineRule="auto"/>
              <w:ind w:firstLine="0"/>
            </w:pPr>
            <w:r>
              <w:rPr>
                <w:rFonts w:ascii="Times New Roman" w:hAnsi="Times New Roman" w:eastAsia="宋体"/>
                <w:b w:val="0"/>
                <w:color w:val="000000"/>
                <w:sz w:val="17"/>
              </w:rPr>
              <w:t>RA-GCA-CGHTE、PP-CBF、场景包装、评价脚本、raw与图件</w:t>
            </w:r>
          </w:p>
        </w:tc>
        <w:tc>
          <w:tcPr>
            <w:tcW w:w="3402" w:type="dxa"/>
            <w:tcMar>
              <w:top w:w="70" w:type="dxa"/>
              <w:left w:w="90" w:type="dxa"/>
              <w:bottom w:w="70" w:type="dxa"/>
              <w:right w:w="90" w:type="dxa"/>
            </w:tcMar>
            <w:vAlign w:val="center"/>
          </w:tcPr>
          <w:p w14:paraId="3FB22663">
            <w:pPr>
              <w:keepNext/>
              <w:spacing w:before="0" w:after="0" w:line="240" w:lineRule="auto"/>
              <w:ind w:firstLine="0"/>
            </w:pPr>
            <w:r>
              <w:rPr>
                <w:rFonts w:ascii="Times New Roman" w:hAnsi="Times New Roman" w:eastAsia="宋体"/>
                <w:b w:val="0"/>
                <w:color w:val="000000"/>
                <w:sz w:val="17"/>
              </w:rPr>
              <w:t>说明团队实现和直接验证范围；历史基线与派生图件不得写成当前主算法或原始数据</w:t>
            </w:r>
          </w:p>
        </w:tc>
      </w:tr>
      <w:tr w14:paraId="4EB33F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28" w:type="dxa"/>
            <w:tcMar>
              <w:top w:w="70" w:type="dxa"/>
              <w:left w:w="90" w:type="dxa"/>
              <w:bottom w:w="70" w:type="dxa"/>
              <w:right w:w="90" w:type="dxa"/>
            </w:tcMar>
            <w:vAlign w:val="center"/>
          </w:tcPr>
          <w:p w14:paraId="73643688">
            <w:pPr>
              <w:keepNext/>
              <w:spacing w:before="0" w:after="0" w:line="240" w:lineRule="auto"/>
              <w:ind w:firstLine="0"/>
              <w:jc w:val="center"/>
            </w:pPr>
            <w:r>
              <w:rPr>
                <w:rFonts w:ascii="Times New Roman" w:hAnsi="Times New Roman" w:eastAsia="宋体"/>
                <w:b w:val="0"/>
                <w:color w:val="000000"/>
                <w:sz w:val="17"/>
              </w:rPr>
              <w:t>赛题官方材料</w:t>
            </w:r>
          </w:p>
        </w:tc>
        <w:tc>
          <w:tcPr>
            <w:tcW w:w="3402" w:type="dxa"/>
            <w:tcMar>
              <w:top w:w="70" w:type="dxa"/>
              <w:left w:w="90" w:type="dxa"/>
              <w:bottom w:w="70" w:type="dxa"/>
              <w:right w:w="90" w:type="dxa"/>
            </w:tcMar>
            <w:vAlign w:val="center"/>
          </w:tcPr>
          <w:p w14:paraId="668CED19">
            <w:pPr>
              <w:keepNext/>
              <w:spacing w:before="0" w:after="0" w:line="240" w:lineRule="auto"/>
              <w:ind w:firstLine="0"/>
            </w:pPr>
            <w:r>
              <w:rPr>
                <w:rFonts w:ascii="Times New Roman" w:hAnsi="Times New Roman" w:eastAsia="宋体"/>
                <w:b w:val="0"/>
                <w:color w:val="000000"/>
                <w:sz w:val="17"/>
              </w:rPr>
              <w:t>QuadrotorModel及官方PID</w:t>
            </w:r>
          </w:p>
        </w:tc>
        <w:tc>
          <w:tcPr>
            <w:tcW w:w="3402" w:type="dxa"/>
            <w:tcMar>
              <w:top w:w="70" w:type="dxa"/>
              <w:left w:w="90" w:type="dxa"/>
              <w:bottom w:w="70" w:type="dxa"/>
              <w:right w:w="90" w:type="dxa"/>
            </w:tcMar>
            <w:vAlign w:val="center"/>
          </w:tcPr>
          <w:p w14:paraId="4770D549">
            <w:pPr>
              <w:keepNext/>
              <w:spacing w:before="0" w:after="0" w:line="240" w:lineRule="auto"/>
              <w:ind w:firstLine="0"/>
            </w:pPr>
            <w:r>
              <w:rPr>
                <w:rFonts w:ascii="Times New Roman" w:hAnsi="Times New Roman" w:eastAsia="宋体"/>
                <w:b w:val="0"/>
                <w:color w:val="000000"/>
                <w:sz w:val="17"/>
              </w:rPr>
              <w:t>保留官方身份与文件来源，团队包装不改变原控制器归属</w:t>
            </w:r>
          </w:p>
        </w:tc>
      </w:tr>
      <w:tr w14:paraId="1A4D58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28" w:type="dxa"/>
            <w:tcMar>
              <w:top w:w="70" w:type="dxa"/>
              <w:left w:w="90" w:type="dxa"/>
              <w:bottom w:w="70" w:type="dxa"/>
              <w:right w:w="90" w:type="dxa"/>
            </w:tcMar>
            <w:vAlign w:val="center"/>
          </w:tcPr>
          <w:p w14:paraId="4D92B790">
            <w:pPr>
              <w:keepNext/>
              <w:spacing w:before="0" w:after="0" w:line="240" w:lineRule="auto"/>
              <w:ind w:firstLine="0"/>
              <w:jc w:val="center"/>
            </w:pPr>
            <w:r>
              <w:rPr>
                <w:rFonts w:ascii="Times New Roman" w:hAnsi="Times New Roman" w:eastAsia="宋体"/>
                <w:b w:val="0"/>
                <w:color w:val="000000"/>
                <w:sz w:val="17"/>
              </w:rPr>
              <w:t>通行控制方法</w:t>
            </w:r>
          </w:p>
        </w:tc>
        <w:tc>
          <w:tcPr>
            <w:tcW w:w="3402" w:type="dxa"/>
            <w:tcMar>
              <w:top w:w="70" w:type="dxa"/>
              <w:left w:w="90" w:type="dxa"/>
              <w:bottom w:w="70" w:type="dxa"/>
              <w:right w:w="90" w:type="dxa"/>
            </w:tcMar>
            <w:vAlign w:val="center"/>
          </w:tcPr>
          <w:p w14:paraId="1098F4EB">
            <w:pPr>
              <w:keepNext/>
              <w:spacing w:before="0" w:after="0" w:line="240" w:lineRule="auto"/>
              <w:ind w:firstLine="0"/>
            </w:pPr>
            <w:r>
              <w:rPr>
                <w:rFonts w:ascii="Times New Roman" w:hAnsi="Times New Roman" w:eastAsia="宋体"/>
                <w:b w:val="0"/>
                <w:color w:val="000000"/>
                <w:sz w:val="17"/>
              </w:rPr>
              <w:t>RA-GCA、ADRC、INDI、CBF等方法名称</w:t>
            </w:r>
          </w:p>
        </w:tc>
        <w:tc>
          <w:tcPr>
            <w:tcW w:w="3402" w:type="dxa"/>
            <w:tcMar>
              <w:top w:w="70" w:type="dxa"/>
              <w:left w:w="90" w:type="dxa"/>
              <w:bottom w:w="70" w:type="dxa"/>
              <w:right w:w="90" w:type="dxa"/>
            </w:tcMar>
            <w:vAlign w:val="center"/>
          </w:tcPr>
          <w:p w14:paraId="56F89A89">
            <w:pPr>
              <w:keepNext/>
              <w:spacing w:before="0" w:after="0" w:line="240" w:lineRule="auto"/>
              <w:ind w:firstLine="0"/>
            </w:pPr>
            <w:r>
              <w:rPr>
                <w:rFonts w:ascii="Times New Roman" w:hAnsi="Times New Roman" w:eastAsia="宋体"/>
                <w:b w:val="0"/>
                <w:color w:val="000000"/>
                <w:sz w:val="17"/>
              </w:rPr>
              <w:t>区分方法来源与包内具体实现，不用方法名称代替代码来源说明</w:t>
            </w:r>
          </w:p>
        </w:tc>
      </w:tr>
      <w:tr w14:paraId="392E55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928" w:type="dxa"/>
            <w:tcMar>
              <w:top w:w="70" w:type="dxa"/>
              <w:left w:w="90" w:type="dxa"/>
              <w:bottom w:w="70" w:type="dxa"/>
              <w:right w:w="90" w:type="dxa"/>
            </w:tcMar>
            <w:vAlign w:val="center"/>
          </w:tcPr>
          <w:p w14:paraId="24427133">
            <w:pPr>
              <w:spacing w:before="0" w:after="0" w:line="240" w:lineRule="auto"/>
              <w:ind w:firstLine="0"/>
              <w:jc w:val="center"/>
            </w:pPr>
            <w:r>
              <w:rPr>
                <w:rFonts w:ascii="Times New Roman" w:hAnsi="Times New Roman" w:eastAsia="宋体"/>
                <w:b w:val="0"/>
                <w:color w:val="000000"/>
                <w:sz w:val="17"/>
              </w:rPr>
              <w:t>商业与标准运行环境</w:t>
            </w:r>
          </w:p>
        </w:tc>
        <w:tc>
          <w:tcPr>
            <w:tcW w:w="3402" w:type="dxa"/>
            <w:tcMar>
              <w:top w:w="70" w:type="dxa"/>
              <w:left w:w="90" w:type="dxa"/>
              <w:bottom w:w="70" w:type="dxa"/>
              <w:right w:w="90" w:type="dxa"/>
            </w:tcMar>
            <w:vAlign w:val="center"/>
          </w:tcPr>
          <w:p w14:paraId="23FD6D79">
            <w:pPr>
              <w:spacing w:before="0" w:after="0" w:line="240" w:lineRule="auto"/>
              <w:ind w:firstLine="0"/>
            </w:pPr>
            <w:r>
              <w:rPr>
                <w:rFonts w:ascii="Times New Roman" w:hAnsi="Times New Roman" w:eastAsia="宋体"/>
                <w:b w:val="0"/>
                <w:color w:val="000000"/>
                <w:sz w:val="17"/>
              </w:rPr>
              <w:t>MWORKS Sysplorer、Syslab、Sysblock、Modelica标准库</w:t>
            </w:r>
          </w:p>
        </w:tc>
        <w:tc>
          <w:tcPr>
            <w:tcW w:w="3402" w:type="dxa"/>
            <w:tcMar>
              <w:top w:w="70" w:type="dxa"/>
              <w:left w:w="90" w:type="dxa"/>
              <w:bottom w:w="70" w:type="dxa"/>
              <w:right w:w="90" w:type="dxa"/>
            </w:tcMar>
            <w:vAlign w:val="center"/>
          </w:tcPr>
          <w:p w14:paraId="4C5D7A6C">
            <w:pPr>
              <w:spacing w:before="0" w:after="0" w:line="240" w:lineRule="auto"/>
              <w:ind w:firstLine="0"/>
            </w:pPr>
            <w:r>
              <w:rPr>
                <w:rFonts w:ascii="Times New Roman" w:hAnsi="Times New Roman" w:eastAsia="宋体"/>
                <w:b w:val="0"/>
                <w:color w:val="000000"/>
                <w:sz w:val="17"/>
              </w:rPr>
              <w:t>运行时不随源文件包分发，遵循供应商许可和环境兼容要求</w:t>
            </w:r>
          </w:p>
        </w:tc>
      </w:tr>
    </w:tbl>
    <w:p w14:paraId="418B6388">
      <w:pPr>
        <w:pStyle w:val="165"/>
        <w:spacing w:before="40" w:after="100" w:line="240" w:lineRule="auto"/>
      </w:pPr>
      <w:r>
        <w:rPr>
          <w:rFonts w:ascii="Times New Roman" w:hAnsi="Times New Roman" w:eastAsia="宋体"/>
          <w:color w:val="000000"/>
          <w:sz w:val="18"/>
        </w:rPr>
        <w:t>资料来源：SOURCE_PROVENANCE.csv、DEPENDENCY_MANIFEST.csv、SOURCE_COPY_MANIFEST.csv及第三方依赖与来源说明。</w:t>
      </w:r>
    </w:p>
    <w:p w14:paraId="1B763C37">
      <w:pPr>
        <w:spacing w:before="0" w:after="0" w:line="360" w:lineRule="auto"/>
        <w:ind w:firstLine="480"/>
        <w:jc w:val="both"/>
      </w:pPr>
      <w:r>
        <w:rPr>
          <w:rFonts w:ascii="Consolas" w:hAnsi="Consolas" w:eastAsia="等线"/>
          <w:color w:val="000000"/>
          <w:sz w:val="21"/>
        </w:rPr>
        <w:t>SOURCE_PROVENANCE.csv</w:t>
      </w:r>
      <w:r>
        <w:rPr>
          <w:rFonts w:ascii="Times New Roman" w:hAnsi="Times New Roman" w:eastAsia="宋体"/>
          <w:color w:val="000000"/>
        </w:rPr>
        <w:t>记录来源类别，</w:t>
      </w:r>
      <w:r>
        <w:rPr>
          <w:rFonts w:ascii="Consolas" w:hAnsi="Consolas" w:eastAsia="等线"/>
          <w:color w:val="000000"/>
          <w:sz w:val="21"/>
        </w:rPr>
        <w:t>SOURCE_COPY_MANIFEST.csv</w:t>
      </w:r>
      <w:r>
        <w:rPr>
          <w:rFonts w:ascii="Times New Roman" w:hAnsi="Times New Roman" w:eastAsia="宋体"/>
          <w:color w:val="000000"/>
        </w:rPr>
        <w:t>记录包内复制文件及其核对信息。这些记录便于核对来源，但不替代第三方许可证、商用软件协议或项目总许可证决定。</w:t>
      </w:r>
    </w:p>
    <w:p w14:paraId="21F0BB5C">
      <w:pPr>
        <w:pStyle w:val="4"/>
        <w:pageBreakBefore w:val="0"/>
      </w:pPr>
      <w:r>
        <w:rPr>
          <w:rFonts w:ascii="Times New Roman" w:hAnsi="Times New Roman" w:eastAsia="黑体"/>
          <w:b/>
          <w:color w:val="000000"/>
          <w:sz w:val="26"/>
        </w:rPr>
        <w:t>5.2  变更控制</w:t>
      </w:r>
    </w:p>
    <w:p w14:paraId="60F383F3">
      <w:pPr>
        <w:keepLines/>
        <w:spacing w:before="0" w:after="0" w:line="360" w:lineRule="auto"/>
        <w:ind w:firstLine="480"/>
        <w:jc w:val="both"/>
      </w:pPr>
      <w:r>
        <w:rPr>
          <w:rFonts w:ascii="Times New Roman" w:hAnsi="Times New Roman" w:eastAsia="宋体"/>
          <w:color w:val="000000"/>
        </w:rPr>
        <w:t>修改遵循“预检、备份、修改、验证、记录”的顺序。控制器或端口变化需复核包装、运行器和代表场景；场景或指标变化需复核注册表、raw字段和结果清单；依赖与工程文件变化需复核来源、许可证和文件清单。验证失败后恢复最近可用备份并记录原因。</w:t>
      </w:r>
    </w:p>
    <w:p w14:paraId="31F49D00">
      <w:pPr>
        <w:pStyle w:val="3"/>
        <w:keepNext/>
        <w:pageBreakBefore/>
        <w:jc w:val="center"/>
      </w:pPr>
      <w:r>
        <w:rPr>
          <w:rFonts w:ascii="Times New Roman" w:hAnsi="Times New Roman" w:eastAsia="黑体"/>
          <w:b/>
          <w:color w:val="000000"/>
          <w:sz w:val="32"/>
        </w:rPr>
        <w:t>总结</w:t>
      </w:r>
    </w:p>
    <w:p w14:paraId="3B00945C">
      <w:pPr>
        <w:spacing w:before="0" w:after="0" w:line="360" w:lineRule="auto"/>
        <w:ind w:firstLine="480"/>
        <w:jc w:val="both"/>
        <w:rPr>
          <w:rFonts w:ascii="Times New Roman" w:hAnsi="Times New Roman" w:eastAsia="宋体"/>
          <w:color w:val="000000"/>
          <w:sz w:val="24"/>
        </w:rPr>
      </w:pPr>
      <w:r>
        <w:rPr>
          <w:rFonts w:ascii="Times New Roman" w:hAnsi="Times New Roman" w:eastAsia="宋体"/>
          <w:color w:val="000000"/>
          <w:sz w:val="24"/>
        </w:rPr>
        <w:t>本文说明了A8四旋翼项目的开发入口、工程架构、核心接口、扩展验证、数据追溯和来源维护规则。工程以RA-GCA-CGHTE为默认低层控制器，以PP-CBF为独立上层安全监督器，通过统一接口、显式注册、场景包装和分层测试支持受控算法替换。开发修改应在独立副本中按“预检、备份、修改、验证、记录”顺序完成，并依据场景登记、原始时序数据、指标结果和图件索引核对结论。README、用户手册、仿真分析报告与本文共同构成项目文档体系。</w:t>
      </w:r>
    </w:p>
    <w:p w14:paraId="3D47B085">
      <w:pPr>
        <w:spacing w:before="0" w:after="0" w:line="360" w:lineRule="auto"/>
        <w:ind w:firstLine="480"/>
        <w:jc w:val="both"/>
        <w:rPr>
          <w:rFonts w:ascii="Times New Roman" w:hAnsi="Times New Roman" w:eastAsia="宋体"/>
          <w:color w:val="000000"/>
          <w:sz w:val="24"/>
        </w:rPr>
      </w:pPr>
      <w:bookmarkStart w:id="0" w:name="_GoBack"/>
      <w:r>
        <w:rPr>
          <w:rFonts w:hint="eastAsia" w:ascii="Times New Roman" w:hAnsi="Times New Roman" w:eastAsia="宋体"/>
          <w:color w:val="000000"/>
          <w:sz w:val="24"/>
        </w:rPr>
        <w:t>本项目已在GitHub开源，仓库包含控制算法、仿真模型、运行脚本、实验数据、成果图件及复现说明。项目地址：</w:t>
      </w:r>
      <w:r>
        <w:rPr>
          <w:rFonts w:hint="eastAsia" w:ascii="Times New Roman" w:hAnsi="Times New Roman" w:eastAsia="宋体" w:cs="Times New Roman"/>
          <w:color w:val="000000"/>
          <w:sz w:val="24"/>
        </w:rPr>
        <w:fldChar w:fldCharType="begin"/>
      </w:r>
      <w:r>
        <w:rPr>
          <w:rFonts w:hint="eastAsia" w:ascii="Times New Roman" w:hAnsi="Times New Roman" w:eastAsia="宋体" w:cs="Times New Roman"/>
          <w:color w:val="000000"/>
          <w:sz w:val="24"/>
        </w:rPr>
        <w:instrText xml:space="preserve"> HYPERLINK "https://github.com/Jerrysonny/yuqiong-robust-pose-control-quadrotor-formation。" </w:instrText>
      </w:r>
      <w:r>
        <w:rPr>
          <w:rFonts w:hint="eastAsia" w:ascii="Times New Roman" w:hAnsi="Times New Roman" w:eastAsia="宋体" w:cs="Times New Roman"/>
          <w:color w:val="000000"/>
          <w:sz w:val="24"/>
        </w:rPr>
        <w:fldChar w:fldCharType="separate"/>
      </w:r>
      <w:r>
        <w:rPr>
          <w:rStyle w:val="135"/>
          <w:rFonts w:hint="eastAsia" w:ascii="Times New Roman" w:hAnsi="Times New Roman" w:eastAsia="宋体" w:cs="Times New Roman"/>
          <w:sz w:val="24"/>
        </w:rPr>
        <w:t>https://github.com</w:t>
      </w:r>
      <w:r>
        <w:rPr>
          <w:rStyle w:val="135"/>
          <w:rFonts w:hint="eastAsia" w:ascii="Times New Roman" w:hAnsi="Times New Roman" w:eastAsia="宋体" w:cs="Times New Roman"/>
          <w:sz w:val="24"/>
          <w:lang w:val="en-US" w:eastAsia="zh-CN"/>
        </w:rPr>
        <w:t>/</w:t>
      </w:r>
      <w:r>
        <w:rPr>
          <w:rStyle w:val="135"/>
          <w:rFonts w:hint="eastAsia" w:ascii="Times New Roman" w:hAnsi="Times New Roman" w:eastAsia="宋体" w:cs="Times New Roman"/>
          <w:sz w:val="24"/>
        </w:rPr>
        <w:t>Jerrysonny/yuqiong-robust-pose-control-quadrotor-formation</w:t>
      </w:r>
      <w:r>
        <w:rPr>
          <w:rFonts w:hint="eastAsia" w:ascii="Times New Roman" w:hAnsi="Times New Roman" w:eastAsia="宋体" w:cs="Times New Roman"/>
          <w:color w:val="000000"/>
          <w:sz w:val="24"/>
        </w:rPr>
        <w:fldChar w:fldCharType="end"/>
      </w:r>
    </w:p>
    <w:bookmarkEnd w:id="0"/>
    <w:sectPr>
      <w:headerReference r:id="rId5" w:type="default"/>
      <w:footerReference r:id="rId6" w:type="default"/>
      <w:pgSz w:w="11906" w:h="16838"/>
      <w:pgMar w:top="1417" w:right="1361" w:bottom="1304" w:left="1474"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0F8EE">
    <w:pPr>
      <w:pStyle w:val="24"/>
      <w:jc w:val="center"/>
    </w:pPr>
    <w:r>
      <w:rPr>
        <w:rFonts w:ascii="Times New Roman" w:hAnsi="Times New Roman" w:eastAsia="宋体"/>
        <w:sz w:val="18"/>
      </w:rPr>
      <w:t xml:space="preserve">第 </w:t>
    </w:r>
    <w:r>
      <w:fldChar w:fldCharType="begin"/>
    </w:r>
    <w:r>
      <w:instrText xml:space="preserve"> PAGE </w:instrText>
    </w:r>
    <w:r>
      <w:fldChar w:fldCharType="end"/>
    </w:r>
    <w:r>
      <w:rPr>
        <w:rFonts w:ascii="Times New Roman" w:hAnsi="Times New Roman"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D3824">
    <w:pPr>
      <w:pStyle w:val="25"/>
      <w:keepNext w:val="0"/>
      <w:keepLines w:val="0"/>
      <w:pageBreakBefore w:val="0"/>
      <w:widowControl/>
      <w:tabs>
        <w:tab w:val="center" w:pos="4153"/>
        <w:tab w:val="right" w:pos="8306"/>
        <w:tab w:val="clear" w:pos="4680"/>
        <w:tab w:val="clear" w:pos="9360"/>
      </w:tabs>
      <w:kinsoku/>
      <w:wordWrap/>
      <w:overflowPunct/>
      <w:topLinePunct w:val="0"/>
      <w:bidi w:val="0"/>
      <w:adjustRightInd/>
      <w:snapToGrid w:val="0"/>
      <w:textAlignment w:val="auto"/>
    </w:pPr>
    <w:r>
      <w:rPr>
        <w:rFonts w:ascii="宋体" w:hAnsi="宋体" w:eastAsia="宋体" w:cs="宋体"/>
        <w:sz w:val="24"/>
        <w:szCs w:val="24"/>
      </w:rPr>
      <w:drawing>
        <wp:inline distT="0" distB="0" distL="114300" distR="114300">
          <wp:extent cx="1137920" cy="304800"/>
          <wp:effectExtent l="0" t="0" r="5080" b="0"/>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val="en-US" w:eastAsia="zh-CN"/>
      </w:rPr>
      <w:t xml:space="preserve">                                                                                         </w:t>
    </w:r>
    <w:r>
      <w:rPr>
        <w:rFonts w:hint="eastAsia" w:ascii="Times New Roman" w:hAnsi="Times New Roman" w:cs="Times New Roman"/>
        <w:b/>
        <w:bCs/>
        <w:sz w:val="21"/>
        <w:szCs w:val="21"/>
        <w:lang w:val="en-US" w:eastAsia="zh-CN"/>
      </w:rPr>
      <w:t>代码开发文档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7A4"/>
    <w:rsid w:val="00034616"/>
    <w:rsid w:val="0006063C"/>
    <w:rsid w:val="00103569"/>
    <w:rsid w:val="0015074B"/>
    <w:rsid w:val="001E4F35"/>
    <w:rsid w:val="0029639D"/>
    <w:rsid w:val="00326F90"/>
    <w:rsid w:val="004D2E31"/>
    <w:rsid w:val="00AA1D8D"/>
    <w:rsid w:val="00B47730"/>
    <w:rsid w:val="00CB0664"/>
    <w:rsid w:val="00FC693F"/>
    <w:rsid w:val="109E0A4B"/>
    <w:rsid w:val="162B4E44"/>
    <w:rsid w:val="2E7B09AD"/>
    <w:rsid w:val="6FC564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9"/>
    <w:qFormat/>
    <w:uiPriority w:val="9"/>
    <w:pPr>
      <w:keepNext/>
      <w:keepLines/>
      <w:spacing w:before="240" w:after="240" w:line="300" w:lineRule="auto"/>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00" w:after="100" w:line="300" w:lineRule="auto"/>
      <w:jc w:val="left"/>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60" w:line="240" w:lineRule="auto"/>
      <w:jc w:val="center"/>
    </w:pPr>
    <w:rPr>
      <w:rFonts w:ascii="Times New Roman" w:hAnsi="Times New Roman" w:eastAsia="宋体"/>
      <w:b/>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line="240" w:lineRule="auto"/>
    </w:pPr>
  </w:style>
  <w:style w:type="paragraph" w:styleId="25">
    <w:name w:val="header"/>
    <w:basedOn w:val="1"/>
    <w:link w:val="136"/>
    <w:unhideWhenUsed/>
    <w:uiPriority w:val="99"/>
    <w:pPr>
      <w:tabs>
        <w:tab w:val="center" w:pos="4680"/>
        <w:tab w:val="right" w:pos="9360"/>
      </w:tabs>
      <w:spacing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qFormat/>
    <w:uiPriority w:val="0"/>
    <w:rPr>
      <w:color w:val="0000FF"/>
      <w:u w:val="single"/>
    </w:rPr>
  </w:style>
  <w:style w:type="character" w:customStyle="1" w:styleId="136">
    <w:name w:val="页眉 字符"/>
    <w:basedOn w:val="132"/>
    <w:link w:val="25"/>
    <w:qFormat/>
    <w:uiPriority w:val="99"/>
  </w:style>
  <w:style w:type="character" w:customStyle="1" w:styleId="137">
    <w:name w:val="页脚 字符"/>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2"/>
    <w:link w:val="19"/>
    <w:qFormat/>
    <w:uiPriority w:val="99"/>
  </w:style>
  <w:style w:type="character" w:customStyle="1" w:styleId="146">
    <w:name w:val="正文文本 2 字符"/>
    <w:basedOn w:val="132"/>
    <w:link w:val="28"/>
    <w:qFormat/>
    <w:uiPriority w:val="99"/>
  </w:style>
  <w:style w:type="character" w:customStyle="1" w:styleId="147">
    <w:name w:val="正文文本 3 字符"/>
    <w:basedOn w:val="132"/>
    <w:link w:val="17"/>
    <w:qFormat/>
    <w:uiPriority w:val="99"/>
    <w:rPr>
      <w:sz w:val="16"/>
      <w:szCs w:val="16"/>
    </w:rPr>
  </w:style>
  <w:style w:type="character" w:customStyle="1" w:styleId="148">
    <w:name w:val="宏文本 字符"/>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2"/>
    <w:link w:val="149"/>
    <w:uiPriority w:val="29"/>
    <w:rPr>
      <w:i/>
      <w:iCs/>
      <w:color w:val="000000" w:themeColor="text1"/>
      <w14:textFill>
        <w14:solidFill>
          <w14:schemeClr w14:val="tx1"/>
        </w14:solidFill>
      </w14:textFill>
    </w:rPr>
  </w:style>
  <w:style w:type="character" w:customStyle="1" w:styleId="151">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Source Note"/>
    <w:qFormat/>
    <w:uiPriority w:val="0"/>
    <w:pPr>
      <w:spacing w:before="0" w:after="60" w:line="240" w:lineRule="auto"/>
      <w:ind w:firstLine="0"/>
    </w:pPr>
    <w:rPr>
      <w:rFonts w:ascii="Times New Roman" w:hAnsi="Times New Roman" w:eastAsia="宋体" w:cstheme="minorBidi"/>
      <w:color w:val="000000"/>
      <w:sz w:val="18"/>
      <w:szCs w:val="22"/>
      <w:lang w:val="en-US" w:eastAsia="en-US" w:bidi="ar-SA"/>
    </w:rPr>
  </w:style>
  <w:style w:type="paragraph" w:customStyle="1" w:styleId="166">
    <w:name w:val="Table Text"/>
    <w:uiPriority w:val="0"/>
    <w:pPr>
      <w:spacing w:after="0" w:line="240" w:lineRule="auto"/>
    </w:pPr>
    <w:rPr>
      <w:rFonts w:ascii="Times New Roman" w:hAnsi="Times New Roman" w:eastAsia="宋体" w:cstheme="minorBidi"/>
      <w:color w:val="000000"/>
      <w:sz w:val="17"/>
      <w:szCs w:val="22"/>
      <w:lang w:val="en-US" w:eastAsia="en-US" w:bidi="ar-SA"/>
    </w:rPr>
  </w:style>
  <w:style w:type="paragraph" w:customStyle="1" w:styleId="167">
    <w:name w:val="Compact TOC"/>
    <w:qFormat/>
    <w:uiPriority w:val="0"/>
    <w:pPr>
      <w:spacing w:before="60" w:after="60" w:line="300" w:lineRule="auto"/>
      <w:ind w:firstLine="0"/>
    </w:pPr>
    <w:rPr>
      <w:rFonts w:ascii="Times New Roman" w:hAnsi="Times New Roman" w:eastAsia="宋体" w:cstheme="minorBidi"/>
      <w:color w:val="000000"/>
      <w:sz w:val="22"/>
      <w:szCs w:val="22"/>
      <w:lang w:val="en-US" w:eastAsia="en-US" w:bidi="ar-SA"/>
    </w:rPr>
  </w:style>
  <w:style w:type="paragraph" w:customStyle="1" w:styleId="168">
    <w:name w:val="Compact TOC 2"/>
    <w:qFormat/>
    <w:uiPriority w:val="0"/>
    <w:pPr>
      <w:spacing w:before="16" w:after="16" w:line="264" w:lineRule="auto"/>
      <w:ind w:firstLine="0"/>
    </w:pPr>
    <w:rPr>
      <w:rFonts w:ascii="Times New Roman" w:hAnsi="Times New Roman" w:eastAsia="宋体" w:cstheme="minorBidi"/>
      <w:color w:val="000000"/>
      <w:sz w:val="19"/>
      <w:szCs w:val="22"/>
      <w:lang w:val="en-US" w:eastAsia="en-US" w:bidi="ar-SA"/>
    </w:rPr>
  </w:style>
  <w:style w:type="paragraph" w:customStyle="1" w:styleId="169">
    <w:name w:val="Cover Title"/>
    <w:qFormat/>
    <w:uiPriority w:val="0"/>
    <w:pPr>
      <w:spacing w:after="360" w:line="276" w:lineRule="auto"/>
      <w:ind w:firstLine="0"/>
      <w:jc w:val="center"/>
    </w:pPr>
    <w:rPr>
      <w:rFonts w:ascii="Times New Roman" w:hAnsi="Times New Roman" w:eastAsia="黑体" w:cs="Times New Roman"/>
      <w:b/>
      <w:color w:val="000000"/>
      <w:sz w:val="44"/>
      <w:szCs w:val="22"/>
      <w:lang w:val="en-US" w:eastAsia="en-US" w:bidi="ar-SA"/>
    </w:rPr>
  </w:style>
  <w:style w:type="paragraph" w:customStyle="1" w:styleId="170">
    <w:name w:val="Cover Subtitle"/>
    <w:qFormat/>
    <w:uiPriority w:val="0"/>
    <w:pPr>
      <w:spacing w:after="960" w:line="276" w:lineRule="auto"/>
      <w:ind w:firstLine="0"/>
      <w:jc w:val="center"/>
    </w:pPr>
    <w:rPr>
      <w:rFonts w:ascii="Times New Roman" w:hAnsi="Times New Roman" w:eastAsia="黑体" w:cs="Times New Roman"/>
      <w:b/>
      <w:color w:val="000000"/>
      <w:sz w:val="52"/>
      <w:szCs w:val="22"/>
      <w:lang w:val="en-US" w:eastAsia="en-US" w:bidi="ar-SA"/>
    </w:rPr>
  </w:style>
  <w:style w:type="paragraph" w:customStyle="1" w:styleId="171">
    <w:name w:val="Cover Metadata"/>
    <w:qFormat/>
    <w:uiPriority w:val="0"/>
    <w:pPr>
      <w:spacing w:after="200" w:line="432" w:lineRule="auto"/>
      <w:ind w:firstLine="0"/>
      <w:jc w:val="center"/>
    </w:pPr>
    <w:rPr>
      <w:rFonts w:ascii="Times New Roman" w:hAnsi="Times New Roman" w:eastAsia="宋体" w:cs="Times New Roman"/>
      <w:color w:val="000000"/>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6001</Words>
  <Characters>8420</Characters>
  <Lines>206</Lines>
  <Paragraphs>158</Paragraphs>
  <TotalTime>0</TotalTime>
  <ScaleCrop>false</ScaleCrop>
  <LinksUpToDate>false</LinksUpToDate>
  <CharactersWithSpaces>8602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A8项目组</dc:creator>
  <dc:description>generated by python-docx</dc:description>
  <cp:keywords>RA-GCA-CGHTE; PP-CBF; MWORKS; 代码开发文档</cp:keywords>
  <cp:lastModifiedBy>殇战雷圣</cp:lastModifiedBy>
  <dcterms:modified xsi:type="dcterms:W3CDTF">2026-07-18T13:01:44Z</dcterms:modified>
  <dc:subject>工程架构、核心接口、扩展验证、来源与维护</dc:subject>
  <dc:title>A8四旋翼无人机位姿控制系统设计优化代码开发文档</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eyJoZGlkIjoiMjk0OGM4Njk5NTM1NDk2ZWEwODQwMjc2YTNiMmZiMTIiLCJ1c2VySWQiOiIxNDE0NTcyODQxIn0=</vt:lpwstr>
  </property>
  <property fmtid="{D5CDD505-2E9C-101B-9397-08002B2CF9AE}" pid="3" name="KSOProductBuildVer">
    <vt:lpwstr>2052-12.1.0.26895</vt:lpwstr>
  </property>
  <property fmtid="{D5CDD505-2E9C-101B-9397-08002B2CF9AE}" pid="4" name="ICV">
    <vt:lpwstr>E0657C4E508644F8B8CC272A792D4353_12</vt:lpwstr>
  </property>
</Properties>
</file>