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1.webp" ContentType="image/webp"/>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7C6B73">
      <w:pPr>
        <w:pStyle w:val="14"/>
        <w:rPr>
          <w:rFonts w:hint="eastAsia" w:ascii="Times New Roman" w:hAnsi="Times New Roman" w:eastAsia="黑体" w:cs="Times New Roman"/>
          <w:b/>
          <w:color w:val="000000"/>
          <w:sz w:val="44"/>
        </w:rPr>
      </w:pPr>
      <w:r>
        <w:rPr>
          <w:rFonts w:hint="eastAsia" w:ascii="Times New Roman" w:hAnsi="Times New Roman" w:eastAsia="黑体" w:cs="Times New Roman"/>
          <w:b/>
          <w:color w:val="000000"/>
          <w:sz w:val="44"/>
        </w:rPr>
        <w:t>第十五届“中国软件杯”大学生软件设计大赛</w:t>
      </w:r>
    </w:p>
    <w:p w14:paraId="5E7CDC6A">
      <w:pPr>
        <w:pStyle w:val="14"/>
        <w:rPr>
          <w:rFonts w:hint="eastAsia" w:ascii="Times New Roman" w:hAnsi="Times New Roman" w:eastAsia="黑体" w:cs="Times New Roman"/>
          <w:b/>
          <w:color w:val="000000"/>
          <w:sz w:val="44"/>
          <w:lang w:eastAsia="zh-CN"/>
        </w:rPr>
      </w:pPr>
      <w:r>
        <w:rPr>
          <w:rFonts w:ascii="Times New Roman" w:hAnsi="Times New Roman" w:eastAsia="黑体" w:cs="Times New Roman"/>
          <w:b/>
          <w:color w:val="000000"/>
          <w:sz w:val="44"/>
        </w:rPr>
        <w:t>A8 四旋翼无人机位姿控制系统设计优化</w:t>
      </w:r>
    </w:p>
    <w:p w14:paraId="18545913">
      <w:pPr>
        <w:pStyle w:val="14"/>
        <w:jc w:val="center"/>
        <w:rPr>
          <w:rFonts w:hint="eastAsia" w:ascii="Times New Roman" w:hAnsi="Times New Roman" w:eastAsia="黑体" w:cs="Times New Roman"/>
          <w:b/>
          <w:color w:val="000000"/>
          <w:sz w:val="44"/>
          <w:lang w:eastAsia="zh-CN"/>
        </w:rPr>
      </w:pPr>
      <w:r>
        <w:rPr>
          <w:rFonts w:hint="eastAsia" w:ascii="Times New Roman" w:hAnsi="Times New Roman" w:eastAsia="黑体" w:cs="Times New Roman"/>
          <w:b/>
          <w:color w:val="000000"/>
          <w:sz w:val="44"/>
          <w:lang w:eastAsia="zh-CN"/>
        </w:rPr>
        <w:drawing>
          <wp:inline distT="0" distB="0" distL="114300" distR="114300">
            <wp:extent cx="1489710" cy="1489710"/>
            <wp:effectExtent l="0" t="0" r="15240" b="15240"/>
            <wp:docPr id="30" name="图片 30" descr="395265667d5f073599668e43faec55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395265667d5f073599668e43faec550b"/>
                    <pic:cNvPicPr>
                      <a:picLocks noChangeAspect="1"/>
                    </pic:cNvPicPr>
                  </pic:nvPicPr>
                  <pic:blipFill>
                    <a:blip r:embed="rId11"/>
                    <a:stretch>
                      <a:fillRect/>
                    </a:stretch>
                  </pic:blipFill>
                  <pic:spPr>
                    <a:xfrm>
                      <a:off x="0" y="0"/>
                      <a:ext cx="1489710" cy="1489710"/>
                    </a:xfrm>
                    <a:prstGeom prst="rect">
                      <a:avLst/>
                    </a:prstGeom>
                  </pic:spPr>
                </pic:pic>
              </a:graphicData>
            </a:graphic>
          </wp:inline>
        </w:drawing>
      </w:r>
    </w:p>
    <w:p w14:paraId="73C97D2C">
      <w:pPr>
        <w:pStyle w:val="14"/>
        <w:rPr>
          <w:rFonts w:hint="eastAsia" w:ascii="黑体" w:hAnsi="黑体" w:eastAsia="黑体" w:cs="黑体"/>
          <w:b/>
          <w:bCs w:val="0"/>
          <w:color w:val="000000"/>
          <w:sz w:val="52"/>
          <w:szCs w:val="52"/>
          <w:lang w:eastAsia="zh-CN"/>
        </w:rPr>
      </w:pPr>
      <w:r>
        <w:rPr>
          <w:rFonts w:hint="eastAsia" w:ascii="黑体" w:hAnsi="黑体" w:eastAsia="黑体" w:cs="黑体"/>
          <w:b/>
          <w:bCs w:val="0"/>
          <w:color w:val="000000"/>
          <w:sz w:val="52"/>
          <w:szCs w:val="52"/>
        </w:rPr>
        <w:t>驭穹稳控</w:t>
      </w:r>
      <w:r>
        <w:rPr>
          <w:rFonts w:hint="eastAsia" w:ascii="黑体" w:hAnsi="黑体" w:eastAsia="黑体" w:cs="黑体"/>
          <w:b/>
          <w:bCs w:val="0"/>
          <w:color w:val="000000"/>
          <w:sz w:val="52"/>
          <w:szCs w:val="52"/>
          <w:lang w:eastAsia="zh-CN"/>
        </w:rPr>
        <w:t>——</w:t>
      </w:r>
    </w:p>
    <w:p w14:paraId="1401E91D">
      <w:pPr>
        <w:pStyle w:val="14"/>
        <w:rPr>
          <w:rFonts w:hint="eastAsia" w:ascii="黑体" w:hAnsi="黑体" w:eastAsia="黑体" w:cs="黑体"/>
          <w:b/>
          <w:bCs w:val="0"/>
          <w:color w:val="000000"/>
          <w:sz w:val="52"/>
          <w:szCs w:val="52"/>
        </w:rPr>
      </w:pPr>
      <w:r>
        <w:rPr>
          <w:rFonts w:hint="eastAsia" w:ascii="黑体" w:hAnsi="黑体" w:eastAsia="黑体" w:cs="黑体"/>
          <w:b/>
          <w:bCs w:val="0"/>
          <w:color w:val="000000"/>
          <w:sz w:val="52"/>
          <w:szCs w:val="52"/>
        </w:rPr>
        <w:t>基于MWORKS的四旋翼鲁棒位姿控制与编队安全仿真系统</w:t>
      </w:r>
    </w:p>
    <w:p w14:paraId="45993CCA">
      <w:pPr>
        <w:pStyle w:val="15"/>
      </w:pPr>
      <w:r>
        <w:rPr>
          <w:rFonts w:ascii="Times New Roman" w:hAnsi="Times New Roman" w:eastAsia="黑体" w:cs="Times New Roman"/>
          <w:b/>
          <w:color w:val="000000"/>
          <w:sz w:val="52"/>
        </w:rPr>
        <w:t>仿真分析报告</w:t>
      </w:r>
    </w:p>
    <w:p w14:paraId="6C43399E">
      <w:pPr>
        <w:pStyle w:val="16"/>
        <w:rPr>
          <w:rFonts w:hint="eastAsia" w:eastAsia="宋体"/>
          <w:lang w:val="en-US" w:eastAsia="zh-CN"/>
        </w:rPr>
      </w:pPr>
      <w:r>
        <w:rPr>
          <w:rFonts w:ascii="Times New Roman" w:hAnsi="Times New Roman" w:eastAsia="宋体" w:cs="Times New Roman"/>
          <w:color w:val="000000"/>
          <w:sz w:val="28"/>
        </w:rPr>
        <w:t>赛题组别：A组</w:t>
      </w:r>
      <w:r>
        <w:rPr>
          <w:rFonts w:hint="eastAsia" w:cs="Times New Roman"/>
          <w:color w:val="000000"/>
          <w:sz w:val="28"/>
          <w:lang w:val="en-US" w:eastAsia="zh-CN"/>
        </w:rPr>
        <w:t xml:space="preserve"> </w:t>
      </w:r>
    </w:p>
    <w:p w14:paraId="38595594">
      <w:pPr>
        <w:pStyle w:val="16"/>
        <w:rPr>
          <w:rFonts w:hint="default" w:eastAsia="宋体"/>
          <w:lang w:val="en-US" w:eastAsia="zh-CN"/>
        </w:rPr>
      </w:pPr>
      <w:r>
        <w:rPr>
          <w:rFonts w:ascii="Times New Roman" w:hAnsi="Times New Roman" w:eastAsia="宋体" w:cs="Times New Roman"/>
          <w:color w:val="000000"/>
          <w:sz w:val="28"/>
        </w:rPr>
        <w:t>参赛单位：</w:t>
      </w:r>
      <w:r>
        <w:rPr>
          <w:rFonts w:hint="eastAsia" w:cs="Times New Roman"/>
          <w:color w:val="000000"/>
          <w:sz w:val="28"/>
          <w:u w:val="single"/>
          <w:lang w:val="en-US" w:eastAsia="zh-CN"/>
        </w:rPr>
        <w:t xml:space="preserve">    西</w:t>
      </w:r>
      <w:r>
        <w:rPr>
          <w:rFonts w:hint="eastAsia" w:ascii="Times New Roman" w:hAnsi="Times New Roman" w:eastAsia="宋体" w:cs="Times New Roman"/>
          <w:color w:val="000000"/>
          <w:sz w:val="28"/>
          <w:u w:val="single"/>
        </w:rPr>
        <w:t>安交通大学</w:t>
      </w:r>
      <w:r>
        <w:rPr>
          <w:rFonts w:hint="eastAsia" w:cs="Times New Roman"/>
          <w:color w:val="000000"/>
          <w:sz w:val="28"/>
          <w:u w:val="single"/>
          <w:lang w:val="en-US" w:eastAsia="zh-CN"/>
        </w:rPr>
        <w:t xml:space="preserve">    </w:t>
      </w:r>
    </w:p>
    <w:p w14:paraId="1C2FDCB9">
      <w:pPr>
        <w:pStyle w:val="16"/>
        <w:rPr>
          <w:rFonts w:hint="default" w:eastAsia="宋体"/>
          <w:lang w:val="en-US" w:eastAsia="zh-CN"/>
        </w:rPr>
      </w:pPr>
      <w:r>
        <w:rPr>
          <w:rFonts w:ascii="Times New Roman" w:hAnsi="Times New Roman" w:eastAsia="宋体" w:cs="Times New Roman"/>
          <w:color w:val="000000"/>
          <w:sz w:val="28"/>
        </w:rPr>
        <w:t>团队名称：</w:t>
      </w:r>
      <w:r>
        <w:rPr>
          <w:rFonts w:hint="eastAsia" w:cs="Times New Roman"/>
          <w:color w:val="000000"/>
          <w:sz w:val="28"/>
          <w:u w:val="single"/>
          <w:lang w:val="en-US" w:eastAsia="zh-CN"/>
        </w:rPr>
        <w:t xml:space="preserve">    </w:t>
      </w:r>
      <w:r>
        <w:rPr>
          <w:rFonts w:hint="eastAsia" w:ascii="Times New Roman" w:hAnsi="Times New Roman" w:eastAsia="宋体" w:cs="Times New Roman"/>
          <w:color w:val="000000"/>
          <w:sz w:val="28"/>
          <w:u w:val="single"/>
        </w:rPr>
        <w:t>驭</w:t>
      </w:r>
      <w:r>
        <w:rPr>
          <w:rFonts w:hint="eastAsia" w:ascii="Times New Roman" w:hAnsi="Times New Roman" w:eastAsia="宋体" w:cs="Times New Roman"/>
          <w:color w:val="000000"/>
          <w:sz w:val="28"/>
          <w:u w:val="single"/>
        </w:rPr>
        <w:t>穹稳控团队</w:t>
      </w:r>
      <w:r>
        <w:rPr>
          <w:rFonts w:hint="eastAsia" w:cs="Times New Roman"/>
          <w:color w:val="000000"/>
          <w:sz w:val="28"/>
          <w:u w:val="single"/>
          <w:lang w:val="en-US" w:eastAsia="zh-CN"/>
        </w:rPr>
        <w:t xml:space="preserve">    </w:t>
      </w:r>
      <w:bookmarkStart w:id="60" w:name="_GoBack"/>
      <w:bookmarkEnd w:id="60"/>
    </w:p>
    <w:p w14:paraId="7734F864">
      <w:pPr>
        <w:pStyle w:val="16"/>
        <w:rPr>
          <w:rFonts w:hint="default" w:eastAsia="宋体"/>
          <w:lang w:val="en-US" w:eastAsia="zh-CN"/>
        </w:rPr>
      </w:pPr>
      <w:r>
        <w:rPr>
          <w:rFonts w:hint="eastAsia" w:cs="Times New Roman"/>
          <w:color w:val="000000"/>
          <w:sz w:val="28"/>
          <w:lang w:val="en-US" w:eastAsia="zh-CN"/>
        </w:rPr>
        <w:t>适用平台</w:t>
      </w:r>
      <w:r>
        <w:rPr>
          <w:rFonts w:ascii="Times New Roman" w:hAnsi="Times New Roman" w:eastAsia="宋体" w:cs="Times New Roman"/>
          <w:color w:val="000000"/>
          <w:sz w:val="28"/>
        </w:rPr>
        <w:t>：</w:t>
      </w:r>
      <w:r>
        <w:rPr>
          <w:rFonts w:hint="eastAsia" w:cs="Times New Roman"/>
          <w:color w:val="000000"/>
          <w:sz w:val="28"/>
          <w:lang w:val="en-US" w:eastAsia="zh-CN"/>
        </w:rPr>
        <w:t xml:space="preserve"> </w:t>
      </w:r>
      <w:r>
        <w:rPr>
          <w:rFonts w:hint="eastAsia" w:cs="Times New Roman"/>
          <w:color w:val="000000"/>
          <w:sz w:val="28"/>
          <w:u w:val="single"/>
          <w:lang w:val="en-US" w:eastAsia="zh-CN"/>
        </w:rPr>
        <w:t xml:space="preserve">   M</w:t>
      </w:r>
      <w:r>
        <w:rPr>
          <w:rFonts w:hint="eastAsia" w:ascii="Times New Roman" w:hAnsi="Times New Roman" w:eastAsia="宋体" w:cs="Times New Roman"/>
          <w:color w:val="000000"/>
          <w:sz w:val="28"/>
          <w:u w:val="single"/>
        </w:rPr>
        <w:t>WORKS 2026a</w:t>
      </w:r>
      <w:r>
        <w:rPr>
          <w:rFonts w:hint="eastAsia" w:cs="Times New Roman"/>
          <w:color w:val="000000"/>
          <w:sz w:val="28"/>
          <w:u w:val="single"/>
          <w:lang w:val="en-US" w:eastAsia="zh-CN"/>
        </w:rPr>
        <w:t xml:space="preserve">   </w:t>
      </w:r>
    </w:p>
    <w:p w14:paraId="316E79CB">
      <w:pPr>
        <w:pStyle w:val="16"/>
      </w:pPr>
      <w:r>
        <w:rPr>
          <w:rFonts w:ascii="Times New Roman" w:hAnsi="Times New Roman" w:eastAsia="宋体" w:cs="Times New Roman"/>
          <w:color w:val="000000"/>
          <w:sz w:val="28"/>
        </w:rPr>
        <w:t>日期：2026年7月</w:t>
      </w:r>
    </w:p>
    <w:p w14:paraId="0A90AAB4">
      <w:pPr>
        <w:sectPr>
          <w:headerReference r:id="rId5" w:type="default"/>
          <w:pgSz w:w="11906" w:h="16838"/>
          <w:pgMar w:top="1417" w:right="1361" w:bottom="1304" w:left="1474" w:header="680" w:footer="680" w:gutter="0"/>
          <w:cols w:space="720" w:num="1"/>
          <w:vAlign w:val="center"/>
          <w:docGrid w:linePitch="360" w:charSpace="0"/>
        </w:sectPr>
      </w:pPr>
    </w:p>
    <w:p w14:paraId="35C5A17C">
      <w:pPr>
        <w:pStyle w:val="17"/>
      </w:pPr>
      <w:r>
        <w:rPr>
          <w:rFonts w:ascii="Times New Roman" w:hAnsi="Times New Roman" w:eastAsia="黑体" w:cs="Times New Roman"/>
          <w:b/>
          <w:color w:val="000000"/>
          <w:sz w:val="32"/>
        </w:rPr>
        <w:t>摘要</w:t>
      </w:r>
    </w:p>
    <w:p w14:paraId="13900E6D">
      <w:pPr>
        <w:pStyle w:val="18"/>
        <w:spacing w:before="0" w:after="0" w:line="360" w:lineRule="auto"/>
        <w:ind w:firstLine="480"/>
        <w:jc w:val="both"/>
      </w:pPr>
      <w:r>
        <w:rPr>
          <w:rFonts w:ascii="Times New Roman" w:hAnsi="Times New Roman" w:eastAsia="宋体" w:cs="Times New Roman"/>
          <w:color w:val="000000"/>
          <w:sz w:val="24"/>
        </w:rPr>
        <w:t>针对四旋翼无人机在连续轨迹跟踪、参数变化、外部扰动和多机近距离协同中的控制问题，本文基于本赛题给定的四旋翼物理模型和PID控制器，建立统一的仿真与评价环境。设计了置信门控悬停推力估计增强的约化姿态几何控制与约束感知分配算法（RA-GCA-CGHTE），并在三机系统上配置预测型成对投影控制障碍函数安全监督器（PP-CBF）。控制器在Sysblock中实现，经Sysplorer接入物理模型，使用Syslab计算阶跃超调、位置均方根误差、扰动恢复、执行器状态和编队安全指标。仿真结果表明，X、Y、Z三个方向的阶跃超调量由PID的24.29%、24.28%和23.81%降至0、0和1.98%；分段爬升、定点悬停、螺旋爬升和8字轨迹的位置均方根误差相对PID</w:t>
      </w:r>
      <w:r>
        <w:rPr>
          <w:rFonts w:hint="eastAsia" w:cs="Times New Roman"/>
          <w:color w:val="000000"/>
          <w:sz w:val="24"/>
          <w:lang w:val="en-US" w:eastAsia="zh-CN"/>
        </w:rPr>
        <w:t>分别</w:t>
      </w:r>
      <w:r>
        <w:rPr>
          <w:rFonts w:ascii="Times New Roman" w:hAnsi="Times New Roman" w:eastAsia="宋体" w:cs="Times New Roman"/>
          <w:color w:val="000000"/>
          <w:sz w:val="24"/>
        </w:rPr>
        <w:t>降低</w:t>
      </w:r>
      <w:r>
        <w:rPr>
          <w:rFonts w:hint="eastAsia" w:cs="Times New Roman"/>
          <w:color w:val="000000"/>
          <w:sz w:val="24"/>
          <w:lang w:val="en-US" w:eastAsia="zh-CN"/>
        </w:rPr>
        <w:t>了</w:t>
      </w:r>
      <w:r>
        <w:rPr>
          <w:rFonts w:ascii="Times New Roman" w:hAnsi="Times New Roman" w:eastAsia="宋体" w:cs="Times New Roman"/>
          <w:color w:val="000000"/>
          <w:sz w:val="24"/>
        </w:rPr>
        <w:t>25.0%</w:t>
      </w:r>
      <w:r>
        <w:rPr>
          <w:rFonts w:hint="eastAsia" w:cs="Times New Roman"/>
          <w:color w:val="000000"/>
          <w:sz w:val="24"/>
          <w:lang w:val="en-US" w:eastAsia="zh-CN"/>
        </w:rPr>
        <w:t xml:space="preserve"> - </w:t>
      </w:r>
      <w:r>
        <w:rPr>
          <w:rFonts w:ascii="Times New Roman" w:hAnsi="Times New Roman" w:eastAsia="宋体" w:cs="Times New Roman"/>
          <w:color w:val="000000"/>
          <w:sz w:val="24"/>
        </w:rPr>
        <w:t>91.2%，四个共同任务相对RA-GCA/Base降低2.3%至15.3%。在11项参数设置中，主算法的位置均方根误差为0.01469 m至0.03368 m。PP-CBF使近距离交汇的最小间距由0.3832 m提高到0.6113 m，并将低于0.60 m的累计时间由2.04 s降为0 s，同时使全局位置跟踪误差增加23.95%。三事件外扰中CP-INDI取得更低误差，说明不同控制方法在特定任务中各有优势。结果支持RA-GCA-CGHTE用于本文模型下的位置与约化姿态控制，并表明安全监督需要与跟踪精度共同评价；持续偏航、硬件在环和实机飞行仍需进一步验证。</w:t>
      </w:r>
    </w:p>
    <w:p w14:paraId="4AF8C58A">
      <w:pPr>
        <w:pStyle w:val="19"/>
      </w:pPr>
      <w:r>
        <w:rPr>
          <w:rFonts w:ascii="Times New Roman" w:hAnsi="Times New Roman" w:eastAsia="宋体" w:cs="Times New Roman"/>
          <w:color w:val="000000"/>
          <w:sz w:val="24"/>
        </w:rPr>
        <w:t>关键词：四旋翼无人机；约化姿态几何控制；悬停推力估计；控制分配；编队安全</w:t>
      </w:r>
    </w:p>
    <w:p w14:paraId="720997CD">
      <w:r>
        <w:br w:type="page"/>
      </w:r>
    </w:p>
    <w:p w14:paraId="2414DDB8">
      <w:pPr>
        <w:pStyle w:val="20"/>
      </w:pPr>
      <w:r>
        <w:rPr>
          <w:rFonts w:ascii="Times New Roman" w:hAnsi="Times New Roman" w:eastAsia="黑体" w:cs="Times New Roman"/>
          <w:b/>
          <w:color w:val="000000"/>
          <w:sz w:val="32"/>
        </w:rPr>
        <w:t>目录</w:t>
      </w:r>
    </w:p>
    <w:p w14:paraId="5D9374C7">
      <w:pPr>
        <w:pStyle w:val="7"/>
        <w:tabs>
          <w:tab w:val="right" w:leader="dot" w:pos="9071"/>
        </w:tabs>
      </w:pPr>
      <w:r>
        <w:rPr>
          <w:rFonts w:ascii="Times New Roman" w:hAnsi="Times New Roman" w:eastAsia="宋体" w:cs="Times New Roman"/>
          <w:b/>
          <w:color w:val="000000"/>
          <w:sz w:val="21"/>
          <w:u w:val="none"/>
        </w:rPr>
        <w:fldChar w:fldCharType="begin"/>
      </w:r>
      <w:r>
        <w:rPr>
          <w:rFonts w:ascii="Times New Roman" w:hAnsi="Times New Roman" w:eastAsia="宋体" w:cs="Times New Roman"/>
          <w:b/>
          <w:color w:val="000000"/>
          <w:sz w:val="21"/>
          <w:u w:val="none"/>
        </w:rPr>
        <w:instrText xml:space="preserve"> TOC \o "1-3" \h \z \u </w:instrText>
      </w:r>
      <w:r>
        <w:rPr>
          <w:rFonts w:ascii="Times New Roman" w:hAnsi="Times New Roman" w:eastAsia="宋体" w:cs="Times New Roman"/>
          <w:b/>
          <w:color w:val="000000"/>
          <w:sz w:val="21"/>
          <w:u w:val="none"/>
        </w:rPr>
        <w:fldChar w:fldCharType="separate"/>
      </w:r>
      <w:r>
        <w:rPr>
          <w:rFonts w:ascii="Times New Roman" w:hAnsi="Times New Roman" w:eastAsia="宋体" w:cs="Times New Roman"/>
          <w:color w:val="000000"/>
          <w:u w:val="none"/>
        </w:rPr>
        <w:fldChar w:fldCharType="begin"/>
      </w:r>
      <w:r>
        <w:rPr>
          <w:rFonts w:ascii="Times New Roman" w:hAnsi="Times New Roman" w:eastAsia="宋体" w:cs="Times New Roman"/>
        </w:rPr>
        <w:instrText xml:space="preserve"> HYPERLINK \l _Toc9472 </w:instrText>
      </w:r>
      <w:r>
        <w:rPr>
          <w:rFonts w:ascii="Times New Roman" w:hAnsi="Times New Roman" w:eastAsia="宋体" w:cs="Times New Roman"/>
        </w:rPr>
        <w:fldChar w:fldCharType="separate"/>
      </w:r>
      <w:r>
        <w:rPr>
          <w:rFonts w:ascii="Times New Roman" w:hAnsi="Times New Roman" w:eastAsia="黑体" w:cs="Times New Roman"/>
        </w:rPr>
        <w:t>第1章 赛题要求、研究现状与问题定义</w:t>
      </w:r>
      <w:r>
        <w:tab/>
      </w:r>
      <w:r>
        <w:fldChar w:fldCharType="begin"/>
      </w:r>
      <w:r>
        <w:instrText xml:space="preserve"> PAGEREF _Toc9472 \h </w:instrText>
      </w:r>
      <w:r>
        <w:fldChar w:fldCharType="separate"/>
      </w:r>
      <w:r>
        <w:t>1</w:t>
      </w:r>
      <w:r>
        <w:fldChar w:fldCharType="end"/>
      </w:r>
      <w:r>
        <w:rPr>
          <w:rFonts w:ascii="Times New Roman" w:hAnsi="Times New Roman" w:eastAsia="宋体" w:cs="Times New Roman"/>
          <w:color w:val="000000"/>
          <w:u w:val="none"/>
        </w:rPr>
        <w:fldChar w:fldCharType="end"/>
      </w:r>
    </w:p>
    <w:p w14:paraId="6EB87763">
      <w:pPr>
        <w:pStyle w:val="8"/>
        <w:tabs>
          <w:tab w:val="right" w:leader="dot" w:pos="9071"/>
        </w:tabs>
      </w:pPr>
      <w:r>
        <w:rPr>
          <w:rFonts w:ascii="Times New Roman" w:hAnsi="Times New Roman" w:eastAsia="宋体" w:cs="Times New Roman"/>
          <w:color w:val="000000"/>
        </w:rPr>
        <w:fldChar w:fldCharType="begin"/>
      </w:r>
      <w:r>
        <w:rPr>
          <w:rFonts w:ascii="Times New Roman" w:hAnsi="Times New Roman" w:eastAsia="宋体" w:cs="Times New Roman"/>
        </w:rPr>
        <w:instrText xml:space="preserve"> HYPERLINK \l _Toc16020 </w:instrText>
      </w:r>
      <w:r>
        <w:rPr>
          <w:rFonts w:ascii="Times New Roman" w:hAnsi="Times New Roman" w:eastAsia="宋体" w:cs="Times New Roman"/>
        </w:rPr>
        <w:fldChar w:fldCharType="separate"/>
      </w:r>
      <w:r>
        <w:rPr>
          <w:rFonts w:ascii="Times New Roman" w:hAnsi="Times New Roman" w:eastAsia="黑体" w:cs="Times New Roman"/>
        </w:rPr>
        <w:t>1.1 应用背景与控制问题</w:t>
      </w:r>
      <w:r>
        <w:tab/>
      </w:r>
      <w:r>
        <w:fldChar w:fldCharType="begin"/>
      </w:r>
      <w:r>
        <w:instrText xml:space="preserve"> PAGEREF _Toc16020 \h </w:instrText>
      </w:r>
      <w:r>
        <w:fldChar w:fldCharType="separate"/>
      </w:r>
      <w:r>
        <w:t>1</w:t>
      </w:r>
      <w:r>
        <w:fldChar w:fldCharType="end"/>
      </w:r>
      <w:r>
        <w:rPr>
          <w:rFonts w:ascii="Times New Roman" w:hAnsi="Times New Roman" w:eastAsia="宋体" w:cs="Times New Roman"/>
          <w:color w:val="000000"/>
        </w:rPr>
        <w:fldChar w:fldCharType="end"/>
      </w:r>
    </w:p>
    <w:p w14:paraId="2BE8B99E">
      <w:pPr>
        <w:pStyle w:val="8"/>
        <w:tabs>
          <w:tab w:val="right" w:leader="dot" w:pos="9071"/>
        </w:tabs>
      </w:pPr>
      <w:r>
        <w:rPr>
          <w:rFonts w:ascii="Times New Roman" w:hAnsi="Times New Roman" w:eastAsia="宋体" w:cs="Times New Roman"/>
          <w:color w:val="000000"/>
        </w:rPr>
        <w:fldChar w:fldCharType="begin"/>
      </w:r>
      <w:r>
        <w:rPr>
          <w:rFonts w:ascii="Times New Roman" w:hAnsi="Times New Roman" w:eastAsia="宋体" w:cs="Times New Roman"/>
        </w:rPr>
        <w:instrText xml:space="preserve"> HYPERLINK \l _Toc27506 </w:instrText>
      </w:r>
      <w:r>
        <w:rPr>
          <w:rFonts w:ascii="Times New Roman" w:hAnsi="Times New Roman" w:eastAsia="宋体" w:cs="Times New Roman"/>
        </w:rPr>
        <w:fldChar w:fldCharType="separate"/>
      </w:r>
      <w:r>
        <w:rPr>
          <w:rFonts w:ascii="Times New Roman" w:hAnsi="Times New Roman" w:eastAsia="黑体" w:cs="Times New Roman"/>
        </w:rPr>
        <w:t>1.2 赛题任务、项目目标与主要问题</w:t>
      </w:r>
      <w:r>
        <w:tab/>
      </w:r>
      <w:r>
        <w:fldChar w:fldCharType="begin"/>
      </w:r>
      <w:r>
        <w:instrText xml:space="preserve"> PAGEREF _Toc27506 \h </w:instrText>
      </w:r>
      <w:r>
        <w:fldChar w:fldCharType="separate"/>
      </w:r>
      <w:r>
        <w:t>2</w:t>
      </w:r>
      <w:r>
        <w:fldChar w:fldCharType="end"/>
      </w:r>
      <w:r>
        <w:rPr>
          <w:rFonts w:ascii="Times New Roman" w:hAnsi="Times New Roman" w:eastAsia="宋体" w:cs="Times New Roman"/>
          <w:color w:val="000000"/>
        </w:rPr>
        <w:fldChar w:fldCharType="end"/>
      </w:r>
    </w:p>
    <w:p w14:paraId="1D248F10">
      <w:pPr>
        <w:pStyle w:val="8"/>
        <w:tabs>
          <w:tab w:val="right" w:leader="dot" w:pos="9071"/>
        </w:tabs>
      </w:pPr>
      <w:r>
        <w:rPr>
          <w:rFonts w:ascii="Times New Roman" w:hAnsi="Times New Roman" w:eastAsia="宋体" w:cs="Times New Roman"/>
          <w:color w:val="000000"/>
        </w:rPr>
        <w:fldChar w:fldCharType="begin"/>
      </w:r>
      <w:r>
        <w:rPr>
          <w:rFonts w:ascii="Times New Roman" w:hAnsi="Times New Roman" w:eastAsia="宋体" w:cs="Times New Roman"/>
        </w:rPr>
        <w:instrText xml:space="preserve"> HYPERLINK \l _Toc7866 </w:instrText>
      </w:r>
      <w:r>
        <w:rPr>
          <w:rFonts w:ascii="Times New Roman" w:hAnsi="Times New Roman" w:eastAsia="宋体" w:cs="Times New Roman"/>
        </w:rPr>
        <w:fldChar w:fldCharType="separate"/>
      </w:r>
      <w:r>
        <w:rPr>
          <w:rFonts w:ascii="Times New Roman" w:hAnsi="Times New Roman" w:eastAsia="黑体" w:cs="Times New Roman"/>
        </w:rPr>
        <w:t>1.3 相关研究与本文方法</w:t>
      </w:r>
      <w:r>
        <w:tab/>
      </w:r>
      <w:r>
        <w:fldChar w:fldCharType="begin"/>
      </w:r>
      <w:r>
        <w:instrText xml:space="preserve"> PAGEREF _Toc7866 \h </w:instrText>
      </w:r>
      <w:r>
        <w:fldChar w:fldCharType="separate"/>
      </w:r>
      <w:r>
        <w:t>3</w:t>
      </w:r>
      <w:r>
        <w:fldChar w:fldCharType="end"/>
      </w:r>
      <w:r>
        <w:rPr>
          <w:rFonts w:ascii="Times New Roman" w:hAnsi="Times New Roman" w:eastAsia="宋体" w:cs="Times New Roman"/>
          <w:color w:val="000000"/>
        </w:rPr>
        <w:fldChar w:fldCharType="end"/>
      </w:r>
    </w:p>
    <w:p w14:paraId="557F1FDC">
      <w:pPr>
        <w:pStyle w:val="7"/>
        <w:tabs>
          <w:tab w:val="right" w:leader="dot" w:pos="9071"/>
        </w:tabs>
      </w:pPr>
      <w:r>
        <w:rPr>
          <w:rFonts w:ascii="Times New Roman" w:hAnsi="Times New Roman" w:eastAsia="宋体" w:cs="Times New Roman"/>
          <w:color w:val="000000"/>
        </w:rPr>
        <w:fldChar w:fldCharType="begin"/>
      </w:r>
      <w:r>
        <w:rPr>
          <w:rFonts w:ascii="Times New Roman" w:hAnsi="Times New Roman" w:eastAsia="宋体" w:cs="Times New Roman"/>
        </w:rPr>
        <w:instrText xml:space="preserve"> HYPERLINK \l _Toc9004 </w:instrText>
      </w:r>
      <w:r>
        <w:rPr>
          <w:rFonts w:ascii="Times New Roman" w:hAnsi="Times New Roman" w:eastAsia="宋体" w:cs="Times New Roman"/>
        </w:rPr>
        <w:fldChar w:fldCharType="separate"/>
      </w:r>
      <w:r>
        <w:rPr>
          <w:rFonts w:ascii="Times New Roman" w:hAnsi="Times New Roman" w:eastAsia="黑体" w:cs="Times New Roman"/>
        </w:rPr>
        <w:t>第2章 官方模型与PID基准分析</w:t>
      </w:r>
      <w:r>
        <w:tab/>
      </w:r>
      <w:r>
        <w:fldChar w:fldCharType="begin"/>
      </w:r>
      <w:r>
        <w:instrText xml:space="preserve"> PAGEREF _Toc9004 \h </w:instrText>
      </w:r>
      <w:r>
        <w:fldChar w:fldCharType="separate"/>
      </w:r>
      <w:r>
        <w:t>7</w:t>
      </w:r>
      <w:r>
        <w:fldChar w:fldCharType="end"/>
      </w:r>
      <w:r>
        <w:rPr>
          <w:rFonts w:ascii="Times New Roman" w:hAnsi="Times New Roman" w:eastAsia="宋体" w:cs="Times New Roman"/>
          <w:color w:val="000000"/>
        </w:rPr>
        <w:fldChar w:fldCharType="end"/>
      </w:r>
    </w:p>
    <w:p w14:paraId="3ED1D044">
      <w:pPr>
        <w:pStyle w:val="8"/>
        <w:tabs>
          <w:tab w:val="right" w:leader="dot" w:pos="9071"/>
        </w:tabs>
      </w:pPr>
      <w:r>
        <w:rPr>
          <w:rFonts w:ascii="Times New Roman" w:hAnsi="Times New Roman" w:eastAsia="宋体" w:cs="Times New Roman"/>
          <w:color w:val="000000"/>
        </w:rPr>
        <w:fldChar w:fldCharType="begin"/>
      </w:r>
      <w:r>
        <w:rPr>
          <w:rFonts w:ascii="Times New Roman" w:hAnsi="Times New Roman" w:eastAsia="宋体" w:cs="Times New Roman"/>
        </w:rPr>
        <w:instrText xml:space="preserve"> HYPERLINK \l _Toc5928 </w:instrText>
      </w:r>
      <w:r>
        <w:rPr>
          <w:rFonts w:ascii="Times New Roman" w:hAnsi="Times New Roman" w:eastAsia="宋体" w:cs="Times New Roman"/>
        </w:rPr>
        <w:fldChar w:fldCharType="separate"/>
      </w:r>
      <w:r>
        <w:rPr>
          <w:rFonts w:ascii="Times New Roman" w:hAnsi="Times New Roman" w:eastAsia="黑体" w:cs="Times New Roman"/>
        </w:rPr>
        <w:t>2.1  官方四旋翼仿真系统</w:t>
      </w:r>
      <w:r>
        <w:tab/>
      </w:r>
      <w:r>
        <w:fldChar w:fldCharType="begin"/>
      </w:r>
      <w:r>
        <w:instrText xml:space="preserve"> PAGEREF _Toc5928 \h </w:instrText>
      </w:r>
      <w:r>
        <w:fldChar w:fldCharType="separate"/>
      </w:r>
      <w:r>
        <w:t>7</w:t>
      </w:r>
      <w:r>
        <w:fldChar w:fldCharType="end"/>
      </w:r>
      <w:r>
        <w:rPr>
          <w:rFonts w:ascii="Times New Roman" w:hAnsi="Times New Roman" w:eastAsia="宋体" w:cs="Times New Roman"/>
          <w:color w:val="000000"/>
        </w:rPr>
        <w:fldChar w:fldCharType="end"/>
      </w:r>
    </w:p>
    <w:p w14:paraId="3088E67B">
      <w:pPr>
        <w:pStyle w:val="8"/>
        <w:tabs>
          <w:tab w:val="right" w:leader="dot" w:pos="9071"/>
        </w:tabs>
      </w:pPr>
      <w:r>
        <w:rPr>
          <w:rFonts w:ascii="Times New Roman" w:hAnsi="Times New Roman" w:eastAsia="宋体" w:cs="Times New Roman"/>
          <w:color w:val="000000"/>
        </w:rPr>
        <w:fldChar w:fldCharType="begin"/>
      </w:r>
      <w:r>
        <w:rPr>
          <w:rFonts w:ascii="Times New Roman" w:hAnsi="Times New Roman" w:eastAsia="宋体" w:cs="Times New Roman"/>
        </w:rPr>
        <w:instrText xml:space="preserve"> HYPERLINK \l _Toc25256 </w:instrText>
      </w:r>
      <w:r>
        <w:rPr>
          <w:rFonts w:ascii="Times New Roman" w:hAnsi="Times New Roman" w:eastAsia="宋体" w:cs="Times New Roman"/>
        </w:rPr>
        <w:fldChar w:fldCharType="separate"/>
      </w:r>
      <w:r>
        <w:rPr>
          <w:rFonts w:ascii="Times New Roman" w:hAnsi="Times New Roman" w:eastAsia="黑体" w:cs="Times New Roman"/>
        </w:rPr>
        <w:t>2.2  建模约定、接口与控制范围</w:t>
      </w:r>
      <w:r>
        <w:tab/>
      </w:r>
      <w:r>
        <w:fldChar w:fldCharType="begin"/>
      </w:r>
      <w:r>
        <w:instrText xml:space="preserve"> PAGEREF _Toc25256 \h </w:instrText>
      </w:r>
      <w:r>
        <w:fldChar w:fldCharType="separate"/>
      </w:r>
      <w:r>
        <w:t>8</w:t>
      </w:r>
      <w:r>
        <w:fldChar w:fldCharType="end"/>
      </w:r>
      <w:r>
        <w:rPr>
          <w:rFonts w:ascii="Times New Roman" w:hAnsi="Times New Roman" w:eastAsia="宋体" w:cs="Times New Roman"/>
          <w:color w:val="000000"/>
        </w:rPr>
        <w:fldChar w:fldCharType="end"/>
      </w:r>
    </w:p>
    <w:p w14:paraId="1F0372BF">
      <w:pPr>
        <w:pStyle w:val="8"/>
        <w:tabs>
          <w:tab w:val="right" w:leader="dot" w:pos="9071"/>
        </w:tabs>
      </w:pPr>
      <w:r>
        <w:rPr>
          <w:rFonts w:ascii="Times New Roman" w:hAnsi="Times New Roman" w:eastAsia="宋体" w:cs="Times New Roman"/>
          <w:color w:val="000000"/>
        </w:rPr>
        <w:fldChar w:fldCharType="begin"/>
      </w:r>
      <w:r>
        <w:rPr>
          <w:rFonts w:ascii="Times New Roman" w:hAnsi="Times New Roman" w:eastAsia="宋体" w:cs="Times New Roman"/>
        </w:rPr>
        <w:instrText xml:space="preserve"> HYPERLINK \l _Toc18302 </w:instrText>
      </w:r>
      <w:r>
        <w:rPr>
          <w:rFonts w:ascii="Times New Roman" w:hAnsi="Times New Roman" w:eastAsia="宋体" w:cs="Times New Roman"/>
        </w:rPr>
        <w:fldChar w:fldCharType="separate"/>
      </w:r>
      <w:r>
        <w:rPr>
          <w:rFonts w:ascii="Times New Roman" w:hAnsi="Times New Roman" w:eastAsia="黑体" w:cs="Times New Roman"/>
        </w:rPr>
        <w:t>2.3  PID结构与参数</w:t>
      </w:r>
      <w:r>
        <w:tab/>
      </w:r>
      <w:r>
        <w:fldChar w:fldCharType="begin"/>
      </w:r>
      <w:r>
        <w:instrText xml:space="preserve"> PAGEREF _Toc18302 \h </w:instrText>
      </w:r>
      <w:r>
        <w:fldChar w:fldCharType="separate"/>
      </w:r>
      <w:r>
        <w:t>8</w:t>
      </w:r>
      <w:r>
        <w:fldChar w:fldCharType="end"/>
      </w:r>
      <w:r>
        <w:rPr>
          <w:rFonts w:ascii="Times New Roman" w:hAnsi="Times New Roman" w:eastAsia="宋体" w:cs="Times New Roman"/>
          <w:color w:val="000000"/>
        </w:rPr>
        <w:fldChar w:fldCharType="end"/>
      </w:r>
    </w:p>
    <w:p w14:paraId="51481690">
      <w:pPr>
        <w:pStyle w:val="8"/>
        <w:tabs>
          <w:tab w:val="right" w:leader="dot" w:pos="9071"/>
        </w:tabs>
      </w:pPr>
      <w:r>
        <w:rPr>
          <w:rFonts w:ascii="Times New Roman" w:hAnsi="Times New Roman" w:eastAsia="宋体" w:cs="Times New Roman"/>
          <w:color w:val="000000"/>
        </w:rPr>
        <w:fldChar w:fldCharType="begin"/>
      </w:r>
      <w:r>
        <w:rPr>
          <w:rFonts w:ascii="Times New Roman" w:hAnsi="Times New Roman" w:eastAsia="宋体" w:cs="Times New Roman"/>
        </w:rPr>
        <w:instrText xml:space="preserve"> HYPERLINK \l _Toc18924 </w:instrText>
      </w:r>
      <w:r>
        <w:rPr>
          <w:rFonts w:ascii="Times New Roman" w:hAnsi="Times New Roman" w:eastAsia="宋体" w:cs="Times New Roman"/>
        </w:rPr>
        <w:fldChar w:fldCharType="separate"/>
      </w:r>
      <w:r>
        <w:rPr>
          <w:rFonts w:ascii="Times New Roman" w:hAnsi="Times New Roman" w:eastAsia="黑体" w:cs="Times New Roman"/>
        </w:rPr>
        <w:t>2.4  PID响应与改进需求</w:t>
      </w:r>
      <w:r>
        <w:tab/>
      </w:r>
      <w:r>
        <w:fldChar w:fldCharType="begin"/>
      </w:r>
      <w:r>
        <w:instrText xml:space="preserve"> PAGEREF _Toc18924 \h </w:instrText>
      </w:r>
      <w:r>
        <w:fldChar w:fldCharType="separate"/>
      </w:r>
      <w:r>
        <w:t>10</w:t>
      </w:r>
      <w:r>
        <w:fldChar w:fldCharType="end"/>
      </w:r>
      <w:r>
        <w:rPr>
          <w:rFonts w:ascii="Times New Roman" w:hAnsi="Times New Roman" w:eastAsia="宋体" w:cs="Times New Roman"/>
          <w:color w:val="000000"/>
        </w:rPr>
        <w:fldChar w:fldCharType="end"/>
      </w:r>
    </w:p>
    <w:p w14:paraId="4E5D16E1">
      <w:pPr>
        <w:pStyle w:val="7"/>
        <w:tabs>
          <w:tab w:val="right" w:leader="dot" w:pos="9071"/>
        </w:tabs>
      </w:pPr>
      <w:r>
        <w:rPr>
          <w:rFonts w:ascii="Times New Roman" w:hAnsi="Times New Roman" w:eastAsia="宋体" w:cs="Times New Roman"/>
          <w:color w:val="000000"/>
        </w:rPr>
        <w:fldChar w:fldCharType="begin"/>
      </w:r>
      <w:r>
        <w:rPr>
          <w:rFonts w:ascii="Times New Roman" w:hAnsi="Times New Roman" w:eastAsia="宋体" w:cs="Times New Roman"/>
        </w:rPr>
        <w:instrText xml:space="preserve"> HYPERLINK \l _Toc23296 </w:instrText>
      </w:r>
      <w:r>
        <w:rPr>
          <w:rFonts w:ascii="Times New Roman" w:hAnsi="Times New Roman" w:eastAsia="宋体" w:cs="Times New Roman"/>
        </w:rPr>
        <w:fldChar w:fldCharType="separate"/>
      </w:r>
      <w:r>
        <w:rPr>
          <w:rFonts w:ascii="Times New Roman" w:hAnsi="Times New Roman" w:eastAsia="黑体" w:cs="Times New Roman"/>
        </w:rPr>
        <w:t>第3章 五对象控制框架与RA-GCA-CGHTE方法实现</w:t>
      </w:r>
      <w:r>
        <w:tab/>
      </w:r>
      <w:r>
        <w:fldChar w:fldCharType="begin"/>
      </w:r>
      <w:r>
        <w:instrText xml:space="preserve"> PAGEREF _Toc23296 \h </w:instrText>
      </w:r>
      <w:r>
        <w:fldChar w:fldCharType="separate"/>
      </w:r>
      <w:r>
        <w:t>12</w:t>
      </w:r>
      <w:r>
        <w:fldChar w:fldCharType="end"/>
      </w:r>
      <w:r>
        <w:rPr>
          <w:rFonts w:ascii="Times New Roman" w:hAnsi="Times New Roman" w:eastAsia="宋体" w:cs="Times New Roman"/>
          <w:color w:val="000000"/>
        </w:rPr>
        <w:fldChar w:fldCharType="end"/>
      </w:r>
    </w:p>
    <w:p w14:paraId="581A435D">
      <w:pPr>
        <w:pStyle w:val="8"/>
        <w:tabs>
          <w:tab w:val="right" w:leader="dot" w:pos="9071"/>
        </w:tabs>
      </w:pPr>
      <w:r>
        <w:rPr>
          <w:rFonts w:ascii="Times New Roman" w:hAnsi="Times New Roman" w:eastAsia="宋体" w:cs="Times New Roman"/>
          <w:color w:val="000000"/>
        </w:rPr>
        <w:fldChar w:fldCharType="begin"/>
      </w:r>
      <w:r>
        <w:rPr>
          <w:rFonts w:ascii="Times New Roman" w:hAnsi="Times New Roman" w:eastAsia="宋体" w:cs="Times New Roman"/>
        </w:rPr>
        <w:instrText xml:space="preserve"> HYPERLINK \l _Toc7451 </w:instrText>
      </w:r>
      <w:r>
        <w:rPr>
          <w:rFonts w:ascii="Times New Roman" w:hAnsi="Times New Roman" w:eastAsia="宋体" w:cs="Times New Roman"/>
        </w:rPr>
        <w:fldChar w:fldCharType="separate"/>
      </w:r>
      <w:r>
        <w:rPr>
          <w:rFonts w:ascii="Times New Roman" w:hAnsi="Times New Roman" w:eastAsia="黑体" w:cs="Times New Roman"/>
        </w:rPr>
        <w:t>3.1 五对象统一控制架构</w:t>
      </w:r>
      <w:r>
        <w:tab/>
      </w:r>
      <w:r>
        <w:fldChar w:fldCharType="begin"/>
      </w:r>
      <w:r>
        <w:instrText xml:space="preserve"> PAGEREF _Toc7451 \h </w:instrText>
      </w:r>
      <w:r>
        <w:fldChar w:fldCharType="separate"/>
      </w:r>
      <w:r>
        <w:t>12</w:t>
      </w:r>
      <w:r>
        <w:fldChar w:fldCharType="end"/>
      </w:r>
      <w:r>
        <w:rPr>
          <w:rFonts w:ascii="Times New Roman" w:hAnsi="Times New Roman" w:eastAsia="宋体" w:cs="Times New Roman"/>
          <w:color w:val="000000"/>
        </w:rPr>
        <w:fldChar w:fldCharType="end"/>
      </w:r>
    </w:p>
    <w:p w14:paraId="0D2079D3">
      <w:pPr>
        <w:pStyle w:val="8"/>
        <w:tabs>
          <w:tab w:val="right" w:leader="dot" w:pos="9071"/>
        </w:tabs>
      </w:pPr>
      <w:r>
        <w:rPr>
          <w:rFonts w:ascii="Times New Roman" w:hAnsi="Times New Roman" w:eastAsia="宋体" w:cs="Times New Roman"/>
          <w:color w:val="000000"/>
        </w:rPr>
        <w:fldChar w:fldCharType="begin"/>
      </w:r>
      <w:r>
        <w:rPr>
          <w:rFonts w:ascii="Times New Roman" w:hAnsi="Times New Roman" w:eastAsia="宋体" w:cs="Times New Roman"/>
        </w:rPr>
        <w:instrText xml:space="preserve"> HYPERLINK \l _Toc31598 </w:instrText>
      </w:r>
      <w:r>
        <w:rPr>
          <w:rFonts w:ascii="Times New Roman" w:hAnsi="Times New Roman" w:eastAsia="宋体" w:cs="Times New Roman"/>
        </w:rPr>
        <w:fldChar w:fldCharType="separate"/>
      </w:r>
      <w:r>
        <w:rPr>
          <w:rFonts w:ascii="Times New Roman" w:hAnsi="Times New Roman" w:eastAsia="黑体" w:cs="Times New Roman"/>
        </w:rPr>
        <w:t>3.2 公共接口、Sysblock实现与Sysplorer集成</w:t>
      </w:r>
      <w:r>
        <w:tab/>
      </w:r>
      <w:r>
        <w:fldChar w:fldCharType="begin"/>
      </w:r>
      <w:r>
        <w:instrText xml:space="preserve"> PAGEREF _Toc31598 \h </w:instrText>
      </w:r>
      <w:r>
        <w:fldChar w:fldCharType="separate"/>
      </w:r>
      <w:r>
        <w:t>13</w:t>
      </w:r>
      <w:r>
        <w:fldChar w:fldCharType="end"/>
      </w:r>
      <w:r>
        <w:rPr>
          <w:rFonts w:ascii="Times New Roman" w:hAnsi="Times New Roman" w:eastAsia="宋体" w:cs="Times New Roman"/>
          <w:color w:val="000000"/>
        </w:rPr>
        <w:fldChar w:fldCharType="end"/>
      </w:r>
    </w:p>
    <w:p w14:paraId="2FC1B16A">
      <w:pPr>
        <w:pStyle w:val="8"/>
        <w:tabs>
          <w:tab w:val="right" w:leader="dot" w:pos="9071"/>
        </w:tabs>
      </w:pPr>
      <w:r>
        <w:rPr>
          <w:rFonts w:ascii="Times New Roman" w:hAnsi="Times New Roman" w:eastAsia="宋体" w:cs="Times New Roman"/>
          <w:color w:val="000000"/>
        </w:rPr>
        <w:fldChar w:fldCharType="begin"/>
      </w:r>
      <w:r>
        <w:rPr>
          <w:rFonts w:ascii="Times New Roman" w:hAnsi="Times New Roman" w:eastAsia="宋体" w:cs="Times New Roman"/>
        </w:rPr>
        <w:instrText xml:space="preserve"> HYPERLINK \l _Toc9339 </w:instrText>
      </w:r>
      <w:r>
        <w:rPr>
          <w:rFonts w:ascii="Times New Roman" w:hAnsi="Times New Roman" w:eastAsia="宋体" w:cs="Times New Roman"/>
        </w:rPr>
        <w:fldChar w:fldCharType="separate"/>
      </w:r>
      <w:r>
        <w:rPr>
          <w:rFonts w:ascii="Times New Roman" w:hAnsi="Times New Roman" w:eastAsia="黑体" w:cs="Times New Roman"/>
        </w:rPr>
        <w:t>3.3 平移控制与期望推力方向</w:t>
      </w:r>
      <w:r>
        <w:tab/>
      </w:r>
      <w:r>
        <w:fldChar w:fldCharType="begin"/>
      </w:r>
      <w:r>
        <w:instrText xml:space="preserve"> PAGEREF _Toc9339 \h </w:instrText>
      </w:r>
      <w:r>
        <w:fldChar w:fldCharType="separate"/>
      </w:r>
      <w:r>
        <w:t>14</w:t>
      </w:r>
      <w:r>
        <w:fldChar w:fldCharType="end"/>
      </w:r>
      <w:r>
        <w:rPr>
          <w:rFonts w:ascii="Times New Roman" w:hAnsi="Times New Roman" w:eastAsia="宋体" w:cs="Times New Roman"/>
          <w:color w:val="000000"/>
        </w:rPr>
        <w:fldChar w:fldCharType="end"/>
      </w:r>
    </w:p>
    <w:p w14:paraId="346A6A1A">
      <w:pPr>
        <w:pStyle w:val="8"/>
        <w:tabs>
          <w:tab w:val="right" w:leader="dot" w:pos="9071"/>
        </w:tabs>
      </w:pPr>
      <w:r>
        <w:rPr>
          <w:rFonts w:ascii="Times New Roman" w:hAnsi="Times New Roman" w:eastAsia="宋体" w:cs="Times New Roman"/>
          <w:color w:val="000000"/>
        </w:rPr>
        <w:fldChar w:fldCharType="begin"/>
      </w:r>
      <w:r>
        <w:rPr>
          <w:rFonts w:ascii="Times New Roman" w:hAnsi="Times New Roman" w:eastAsia="宋体" w:cs="Times New Roman"/>
        </w:rPr>
        <w:instrText xml:space="preserve"> HYPERLINK \l _Toc1911 </w:instrText>
      </w:r>
      <w:r>
        <w:rPr>
          <w:rFonts w:ascii="Times New Roman" w:hAnsi="Times New Roman" w:eastAsia="宋体" w:cs="Times New Roman"/>
        </w:rPr>
        <w:fldChar w:fldCharType="separate"/>
      </w:r>
      <w:r>
        <w:rPr>
          <w:rFonts w:ascii="Times New Roman" w:hAnsi="Times New Roman" w:eastAsia="黑体" w:cs="Times New Roman"/>
        </w:rPr>
        <w:t>3.4 约化姿态几何控制</w:t>
      </w:r>
      <w:r>
        <w:tab/>
      </w:r>
      <w:r>
        <w:fldChar w:fldCharType="begin"/>
      </w:r>
      <w:r>
        <w:instrText xml:space="preserve"> PAGEREF _Toc1911 \h </w:instrText>
      </w:r>
      <w:r>
        <w:fldChar w:fldCharType="separate"/>
      </w:r>
      <w:r>
        <w:t>15</w:t>
      </w:r>
      <w:r>
        <w:fldChar w:fldCharType="end"/>
      </w:r>
      <w:r>
        <w:rPr>
          <w:rFonts w:ascii="Times New Roman" w:hAnsi="Times New Roman" w:eastAsia="宋体" w:cs="Times New Roman"/>
          <w:color w:val="000000"/>
        </w:rPr>
        <w:fldChar w:fldCharType="end"/>
      </w:r>
    </w:p>
    <w:p w14:paraId="48F580C2">
      <w:pPr>
        <w:pStyle w:val="8"/>
        <w:tabs>
          <w:tab w:val="right" w:leader="dot" w:pos="9071"/>
        </w:tabs>
      </w:pPr>
      <w:r>
        <w:rPr>
          <w:rFonts w:ascii="Times New Roman" w:hAnsi="Times New Roman" w:eastAsia="宋体" w:cs="Times New Roman"/>
          <w:color w:val="000000"/>
        </w:rPr>
        <w:fldChar w:fldCharType="begin"/>
      </w:r>
      <w:r>
        <w:rPr>
          <w:rFonts w:ascii="Times New Roman" w:hAnsi="Times New Roman" w:eastAsia="宋体" w:cs="Times New Roman"/>
        </w:rPr>
        <w:instrText xml:space="preserve"> HYPERLINK \l _Toc1422 </w:instrText>
      </w:r>
      <w:r>
        <w:rPr>
          <w:rFonts w:ascii="Times New Roman" w:hAnsi="Times New Roman" w:eastAsia="宋体" w:cs="Times New Roman"/>
        </w:rPr>
        <w:fldChar w:fldCharType="separate"/>
      </w:r>
      <w:r>
        <w:rPr>
          <w:rFonts w:ascii="Times New Roman" w:hAnsi="Times New Roman" w:eastAsia="黑体" w:cs="Times New Roman"/>
        </w:rPr>
        <w:t>3.5 约束感知分配与两阶段去饱和</w:t>
      </w:r>
      <w:r>
        <w:tab/>
      </w:r>
      <w:r>
        <w:fldChar w:fldCharType="begin"/>
      </w:r>
      <w:r>
        <w:instrText xml:space="preserve"> PAGEREF _Toc1422 \h </w:instrText>
      </w:r>
      <w:r>
        <w:fldChar w:fldCharType="separate"/>
      </w:r>
      <w:r>
        <w:t>15</w:t>
      </w:r>
      <w:r>
        <w:fldChar w:fldCharType="end"/>
      </w:r>
      <w:r>
        <w:rPr>
          <w:rFonts w:ascii="Times New Roman" w:hAnsi="Times New Roman" w:eastAsia="宋体" w:cs="Times New Roman"/>
          <w:color w:val="000000"/>
        </w:rPr>
        <w:fldChar w:fldCharType="end"/>
      </w:r>
    </w:p>
    <w:p w14:paraId="07CDE744">
      <w:pPr>
        <w:pStyle w:val="8"/>
        <w:tabs>
          <w:tab w:val="right" w:leader="dot" w:pos="9071"/>
        </w:tabs>
      </w:pPr>
      <w:r>
        <w:rPr>
          <w:rFonts w:ascii="Times New Roman" w:hAnsi="Times New Roman" w:eastAsia="宋体" w:cs="Times New Roman"/>
          <w:color w:val="000000"/>
        </w:rPr>
        <w:fldChar w:fldCharType="begin"/>
      </w:r>
      <w:r>
        <w:rPr>
          <w:rFonts w:ascii="Times New Roman" w:hAnsi="Times New Roman" w:eastAsia="宋体" w:cs="Times New Roman"/>
        </w:rPr>
        <w:instrText xml:space="preserve"> HYPERLINK \l _Toc4567 </w:instrText>
      </w:r>
      <w:r>
        <w:rPr>
          <w:rFonts w:ascii="Times New Roman" w:hAnsi="Times New Roman" w:eastAsia="宋体" w:cs="Times New Roman"/>
        </w:rPr>
        <w:fldChar w:fldCharType="separate"/>
      </w:r>
      <w:r>
        <w:rPr>
          <w:rFonts w:ascii="Times New Roman" w:hAnsi="Times New Roman" w:eastAsia="黑体" w:cs="Times New Roman"/>
        </w:rPr>
        <w:t>3.6 CGHTE推力估计增强</w:t>
      </w:r>
      <w:r>
        <w:tab/>
      </w:r>
      <w:r>
        <w:fldChar w:fldCharType="begin"/>
      </w:r>
      <w:r>
        <w:instrText xml:space="preserve"> PAGEREF _Toc4567 \h </w:instrText>
      </w:r>
      <w:r>
        <w:fldChar w:fldCharType="separate"/>
      </w:r>
      <w:r>
        <w:t>16</w:t>
      </w:r>
      <w:r>
        <w:fldChar w:fldCharType="end"/>
      </w:r>
      <w:r>
        <w:rPr>
          <w:rFonts w:ascii="Times New Roman" w:hAnsi="Times New Roman" w:eastAsia="宋体" w:cs="Times New Roman"/>
          <w:color w:val="000000"/>
        </w:rPr>
        <w:fldChar w:fldCharType="end"/>
      </w:r>
    </w:p>
    <w:p w14:paraId="30102902">
      <w:pPr>
        <w:pStyle w:val="8"/>
        <w:tabs>
          <w:tab w:val="right" w:leader="dot" w:pos="9071"/>
        </w:tabs>
      </w:pPr>
      <w:r>
        <w:rPr>
          <w:rFonts w:ascii="Times New Roman" w:hAnsi="Times New Roman" w:eastAsia="宋体" w:cs="Times New Roman"/>
          <w:color w:val="000000"/>
        </w:rPr>
        <w:fldChar w:fldCharType="begin"/>
      </w:r>
      <w:r>
        <w:rPr>
          <w:rFonts w:ascii="Times New Roman" w:hAnsi="Times New Roman" w:eastAsia="宋体" w:cs="Times New Roman"/>
        </w:rPr>
        <w:instrText xml:space="preserve"> HYPERLINK \l _Toc9791 </w:instrText>
      </w:r>
      <w:r>
        <w:rPr>
          <w:rFonts w:ascii="Times New Roman" w:hAnsi="Times New Roman" w:eastAsia="宋体" w:cs="Times New Roman"/>
        </w:rPr>
        <w:fldChar w:fldCharType="separate"/>
      </w:r>
      <w:r>
        <w:rPr>
          <w:rFonts w:ascii="Times New Roman" w:hAnsi="Times New Roman" w:eastAsia="黑体" w:cs="Times New Roman"/>
        </w:rPr>
        <w:t>3.7 稳定性依据、约束与控制权限</w:t>
      </w:r>
      <w:r>
        <w:tab/>
      </w:r>
      <w:r>
        <w:fldChar w:fldCharType="begin"/>
      </w:r>
      <w:r>
        <w:instrText xml:space="preserve"> PAGEREF _Toc9791 \h </w:instrText>
      </w:r>
      <w:r>
        <w:fldChar w:fldCharType="separate"/>
      </w:r>
      <w:r>
        <w:t>17</w:t>
      </w:r>
      <w:r>
        <w:fldChar w:fldCharType="end"/>
      </w:r>
      <w:r>
        <w:rPr>
          <w:rFonts w:ascii="Times New Roman" w:hAnsi="Times New Roman" w:eastAsia="宋体" w:cs="Times New Roman"/>
          <w:color w:val="000000"/>
        </w:rPr>
        <w:fldChar w:fldCharType="end"/>
      </w:r>
    </w:p>
    <w:p w14:paraId="6D2BCA9F">
      <w:pPr>
        <w:pStyle w:val="8"/>
        <w:tabs>
          <w:tab w:val="right" w:leader="dot" w:pos="9071"/>
        </w:tabs>
      </w:pPr>
      <w:r>
        <w:rPr>
          <w:rFonts w:ascii="Times New Roman" w:hAnsi="Times New Roman" w:eastAsia="宋体" w:cs="Times New Roman"/>
          <w:color w:val="000000"/>
        </w:rPr>
        <w:fldChar w:fldCharType="begin"/>
      </w:r>
      <w:r>
        <w:rPr>
          <w:rFonts w:ascii="Times New Roman" w:hAnsi="Times New Roman" w:eastAsia="宋体" w:cs="Times New Roman"/>
        </w:rPr>
        <w:instrText xml:space="preserve"> HYPERLINK \l _Toc5738 </w:instrText>
      </w:r>
      <w:r>
        <w:rPr>
          <w:rFonts w:ascii="Times New Roman" w:hAnsi="Times New Roman" w:eastAsia="宋体" w:cs="Times New Roman"/>
        </w:rPr>
        <w:fldChar w:fldCharType="separate"/>
      </w:r>
      <w:r>
        <w:rPr>
          <w:rFonts w:ascii="Times New Roman" w:hAnsi="Times New Roman" w:eastAsia="黑体" w:cs="Times New Roman"/>
        </w:rPr>
        <w:t>3.8 参考来源与团队实现</w:t>
      </w:r>
      <w:r>
        <w:tab/>
      </w:r>
      <w:r>
        <w:fldChar w:fldCharType="begin"/>
      </w:r>
      <w:r>
        <w:instrText xml:space="preserve"> PAGEREF _Toc5738 \h </w:instrText>
      </w:r>
      <w:r>
        <w:fldChar w:fldCharType="separate"/>
      </w:r>
      <w:r>
        <w:t>17</w:t>
      </w:r>
      <w:r>
        <w:fldChar w:fldCharType="end"/>
      </w:r>
      <w:r>
        <w:rPr>
          <w:rFonts w:ascii="Times New Roman" w:hAnsi="Times New Roman" w:eastAsia="宋体" w:cs="Times New Roman"/>
          <w:color w:val="000000"/>
        </w:rPr>
        <w:fldChar w:fldCharType="end"/>
      </w:r>
    </w:p>
    <w:p w14:paraId="3B215A0B">
      <w:pPr>
        <w:pStyle w:val="7"/>
        <w:tabs>
          <w:tab w:val="right" w:leader="dot" w:pos="9071"/>
        </w:tabs>
      </w:pPr>
      <w:r>
        <w:rPr>
          <w:rFonts w:ascii="Times New Roman" w:hAnsi="Times New Roman" w:eastAsia="宋体" w:cs="Times New Roman"/>
          <w:color w:val="000000"/>
        </w:rPr>
        <w:fldChar w:fldCharType="begin"/>
      </w:r>
      <w:r>
        <w:rPr>
          <w:rFonts w:ascii="Times New Roman" w:hAnsi="Times New Roman" w:eastAsia="宋体" w:cs="Times New Roman"/>
        </w:rPr>
        <w:instrText xml:space="preserve"> HYPERLINK \l _Toc29235 </w:instrText>
      </w:r>
      <w:r>
        <w:rPr>
          <w:rFonts w:ascii="Times New Roman" w:hAnsi="Times New Roman" w:eastAsia="宋体" w:cs="Times New Roman"/>
        </w:rPr>
        <w:fldChar w:fldCharType="separate"/>
      </w:r>
      <w:r>
        <w:rPr>
          <w:rFonts w:ascii="Times New Roman" w:hAnsi="Times New Roman" w:eastAsia="黑体" w:cs="Times New Roman"/>
        </w:rPr>
        <w:t>第4章 RA-GCA-CGHTE与PP-CBF分层编队安全方法</w:t>
      </w:r>
      <w:r>
        <w:tab/>
      </w:r>
      <w:r>
        <w:fldChar w:fldCharType="begin"/>
      </w:r>
      <w:r>
        <w:instrText xml:space="preserve"> PAGEREF _Toc29235 \h </w:instrText>
      </w:r>
      <w:r>
        <w:fldChar w:fldCharType="separate"/>
      </w:r>
      <w:r>
        <w:t>17</w:t>
      </w:r>
      <w:r>
        <w:fldChar w:fldCharType="end"/>
      </w:r>
      <w:r>
        <w:rPr>
          <w:rFonts w:ascii="Times New Roman" w:hAnsi="Times New Roman" w:eastAsia="宋体" w:cs="Times New Roman"/>
          <w:color w:val="000000"/>
        </w:rPr>
        <w:fldChar w:fldCharType="end"/>
      </w:r>
    </w:p>
    <w:p w14:paraId="0BCDBC9B">
      <w:pPr>
        <w:pStyle w:val="8"/>
        <w:tabs>
          <w:tab w:val="right" w:leader="dot" w:pos="9071"/>
        </w:tabs>
      </w:pPr>
      <w:r>
        <w:rPr>
          <w:rFonts w:ascii="Times New Roman" w:hAnsi="Times New Roman" w:eastAsia="宋体" w:cs="Times New Roman"/>
          <w:color w:val="000000"/>
        </w:rPr>
        <w:fldChar w:fldCharType="begin"/>
      </w:r>
      <w:r>
        <w:rPr>
          <w:rFonts w:ascii="Times New Roman" w:hAnsi="Times New Roman" w:eastAsia="宋体" w:cs="Times New Roman"/>
        </w:rPr>
        <w:instrText xml:space="preserve"> HYPERLINK \l _Toc31918 </w:instrText>
      </w:r>
      <w:r>
        <w:rPr>
          <w:rFonts w:ascii="Times New Roman" w:hAnsi="Times New Roman" w:eastAsia="宋体" w:cs="Times New Roman"/>
        </w:rPr>
        <w:fldChar w:fldCharType="separate"/>
      </w:r>
      <w:r>
        <w:rPr>
          <w:rFonts w:ascii="Times New Roman" w:hAnsi="Times New Roman" w:eastAsia="黑体" w:cs="Times New Roman"/>
        </w:rPr>
        <w:t>4.1 编队任务、拓扑与参考生成</w:t>
      </w:r>
      <w:r>
        <w:tab/>
      </w:r>
      <w:r>
        <w:fldChar w:fldCharType="begin"/>
      </w:r>
      <w:r>
        <w:instrText xml:space="preserve"> PAGEREF _Toc31918 \h </w:instrText>
      </w:r>
      <w:r>
        <w:fldChar w:fldCharType="separate"/>
      </w:r>
      <w:r>
        <w:t>18</w:t>
      </w:r>
      <w:r>
        <w:fldChar w:fldCharType="end"/>
      </w:r>
      <w:r>
        <w:rPr>
          <w:rFonts w:ascii="Times New Roman" w:hAnsi="Times New Roman" w:eastAsia="宋体" w:cs="Times New Roman"/>
          <w:color w:val="000000"/>
        </w:rPr>
        <w:fldChar w:fldCharType="end"/>
      </w:r>
    </w:p>
    <w:p w14:paraId="61F4787A">
      <w:pPr>
        <w:pStyle w:val="8"/>
        <w:tabs>
          <w:tab w:val="right" w:leader="dot" w:pos="9071"/>
        </w:tabs>
      </w:pPr>
      <w:r>
        <w:rPr>
          <w:rFonts w:ascii="Times New Roman" w:hAnsi="Times New Roman" w:eastAsia="宋体" w:cs="Times New Roman"/>
          <w:color w:val="000000"/>
        </w:rPr>
        <w:fldChar w:fldCharType="begin"/>
      </w:r>
      <w:r>
        <w:rPr>
          <w:rFonts w:ascii="Times New Roman" w:hAnsi="Times New Roman" w:eastAsia="宋体" w:cs="Times New Roman"/>
        </w:rPr>
        <w:instrText xml:space="preserve"> HYPERLINK \l _Toc23468 </w:instrText>
      </w:r>
      <w:r>
        <w:rPr>
          <w:rFonts w:ascii="Times New Roman" w:hAnsi="Times New Roman" w:eastAsia="宋体" w:cs="Times New Roman"/>
        </w:rPr>
        <w:fldChar w:fldCharType="separate"/>
      </w:r>
      <w:r>
        <w:rPr>
          <w:rFonts w:ascii="Times New Roman" w:hAnsi="Times New Roman" w:eastAsia="黑体" w:cs="Times New Roman"/>
        </w:rPr>
        <w:t>4.2 RA-GCA-CGHTE与PP-CBF分层架构</w:t>
      </w:r>
      <w:r>
        <w:tab/>
      </w:r>
      <w:r>
        <w:fldChar w:fldCharType="begin"/>
      </w:r>
      <w:r>
        <w:instrText xml:space="preserve"> PAGEREF _Toc23468 \h </w:instrText>
      </w:r>
      <w:r>
        <w:fldChar w:fldCharType="separate"/>
      </w:r>
      <w:r>
        <w:t>18</w:t>
      </w:r>
      <w:r>
        <w:fldChar w:fldCharType="end"/>
      </w:r>
      <w:r>
        <w:rPr>
          <w:rFonts w:ascii="Times New Roman" w:hAnsi="Times New Roman" w:eastAsia="宋体" w:cs="Times New Roman"/>
          <w:color w:val="000000"/>
        </w:rPr>
        <w:fldChar w:fldCharType="end"/>
      </w:r>
    </w:p>
    <w:p w14:paraId="66789E31">
      <w:pPr>
        <w:pStyle w:val="8"/>
        <w:tabs>
          <w:tab w:val="right" w:leader="dot" w:pos="9071"/>
        </w:tabs>
      </w:pPr>
      <w:r>
        <w:rPr>
          <w:rFonts w:ascii="Times New Roman" w:hAnsi="Times New Roman" w:eastAsia="宋体" w:cs="Times New Roman"/>
          <w:color w:val="000000"/>
        </w:rPr>
        <w:fldChar w:fldCharType="begin"/>
      </w:r>
      <w:r>
        <w:rPr>
          <w:rFonts w:ascii="Times New Roman" w:hAnsi="Times New Roman" w:eastAsia="宋体" w:cs="Times New Roman"/>
        </w:rPr>
        <w:instrText xml:space="preserve"> HYPERLINK \l _Toc31633 </w:instrText>
      </w:r>
      <w:r>
        <w:rPr>
          <w:rFonts w:ascii="Times New Roman" w:hAnsi="Times New Roman" w:eastAsia="宋体" w:cs="Times New Roman"/>
        </w:rPr>
        <w:fldChar w:fldCharType="separate"/>
      </w:r>
      <w:r>
        <w:rPr>
          <w:rFonts w:ascii="Times New Roman" w:hAnsi="Times New Roman" w:eastAsia="黑体" w:cs="Times New Roman"/>
        </w:rPr>
        <w:t>4.3 PP-CBF安全约束与逐对投影</w:t>
      </w:r>
      <w:r>
        <w:tab/>
      </w:r>
      <w:r>
        <w:fldChar w:fldCharType="begin"/>
      </w:r>
      <w:r>
        <w:instrText xml:space="preserve"> PAGEREF _Toc31633 \h </w:instrText>
      </w:r>
      <w:r>
        <w:fldChar w:fldCharType="separate"/>
      </w:r>
      <w:r>
        <w:t>18</w:t>
      </w:r>
      <w:r>
        <w:fldChar w:fldCharType="end"/>
      </w:r>
      <w:r>
        <w:rPr>
          <w:rFonts w:ascii="Times New Roman" w:hAnsi="Times New Roman" w:eastAsia="宋体" w:cs="Times New Roman"/>
          <w:color w:val="000000"/>
        </w:rPr>
        <w:fldChar w:fldCharType="end"/>
      </w:r>
    </w:p>
    <w:p w14:paraId="7B3F90F9">
      <w:pPr>
        <w:pStyle w:val="8"/>
        <w:tabs>
          <w:tab w:val="right" w:leader="dot" w:pos="9071"/>
        </w:tabs>
      </w:pPr>
      <w:r>
        <w:rPr>
          <w:rFonts w:ascii="Times New Roman" w:hAnsi="Times New Roman" w:eastAsia="宋体" w:cs="Times New Roman"/>
          <w:color w:val="000000"/>
        </w:rPr>
        <w:fldChar w:fldCharType="begin"/>
      </w:r>
      <w:r>
        <w:rPr>
          <w:rFonts w:ascii="Times New Roman" w:hAnsi="Times New Roman" w:eastAsia="宋体" w:cs="Times New Roman"/>
        </w:rPr>
        <w:instrText xml:space="preserve"> HYPERLINK \l _Toc31925 </w:instrText>
      </w:r>
      <w:r>
        <w:rPr>
          <w:rFonts w:ascii="Times New Roman" w:hAnsi="Times New Roman" w:eastAsia="宋体" w:cs="Times New Roman"/>
        </w:rPr>
        <w:fldChar w:fldCharType="separate"/>
      </w:r>
      <w:r>
        <w:rPr>
          <w:rFonts w:ascii="Times New Roman" w:hAnsi="Times New Roman" w:eastAsia="黑体" w:cs="Times New Roman"/>
        </w:rPr>
        <w:t>4.4 最小修正、可行性处理与诊断</w:t>
      </w:r>
      <w:r>
        <w:tab/>
      </w:r>
      <w:r>
        <w:fldChar w:fldCharType="begin"/>
      </w:r>
      <w:r>
        <w:instrText xml:space="preserve"> PAGEREF _Toc31925 \h </w:instrText>
      </w:r>
      <w:r>
        <w:fldChar w:fldCharType="separate"/>
      </w:r>
      <w:r>
        <w:t>19</w:t>
      </w:r>
      <w:r>
        <w:fldChar w:fldCharType="end"/>
      </w:r>
      <w:r>
        <w:rPr>
          <w:rFonts w:ascii="Times New Roman" w:hAnsi="Times New Roman" w:eastAsia="宋体" w:cs="Times New Roman"/>
          <w:color w:val="000000"/>
        </w:rPr>
        <w:fldChar w:fldCharType="end"/>
      </w:r>
    </w:p>
    <w:p w14:paraId="2AC8BA05">
      <w:pPr>
        <w:pStyle w:val="7"/>
        <w:tabs>
          <w:tab w:val="right" w:leader="dot" w:pos="9071"/>
        </w:tabs>
      </w:pPr>
      <w:r>
        <w:rPr>
          <w:rFonts w:ascii="Times New Roman" w:hAnsi="Times New Roman" w:eastAsia="宋体" w:cs="Times New Roman"/>
          <w:color w:val="000000"/>
        </w:rPr>
        <w:fldChar w:fldCharType="begin"/>
      </w:r>
      <w:r>
        <w:rPr>
          <w:rFonts w:ascii="Times New Roman" w:hAnsi="Times New Roman" w:eastAsia="宋体" w:cs="Times New Roman"/>
        </w:rPr>
        <w:instrText xml:space="preserve"> HYPERLINK \l _Toc20609 </w:instrText>
      </w:r>
      <w:r>
        <w:rPr>
          <w:rFonts w:ascii="Times New Roman" w:hAnsi="Times New Roman" w:eastAsia="宋体" w:cs="Times New Roman"/>
        </w:rPr>
        <w:fldChar w:fldCharType="separate"/>
      </w:r>
      <w:r>
        <w:rPr>
          <w:rFonts w:ascii="Times New Roman" w:hAnsi="Times New Roman" w:eastAsia="黑体" w:cs="Times New Roman"/>
        </w:rPr>
        <w:t>第5章 实验设计与评价方法</w:t>
      </w:r>
      <w:r>
        <w:tab/>
      </w:r>
      <w:r>
        <w:fldChar w:fldCharType="begin"/>
      </w:r>
      <w:r>
        <w:instrText xml:space="preserve"> PAGEREF _Toc20609 \h </w:instrText>
      </w:r>
      <w:r>
        <w:fldChar w:fldCharType="separate"/>
      </w:r>
      <w:r>
        <w:t>21</w:t>
      </w:r>
      <w:r>
        <w:fldChar w:fldCharType="end"/>
      </w:r>
      <w:r>
        <w:rPr>
          <w:rFonts w:ascii="Times New Roman" w:hAnsi="Times New Roman" w:eastAsia="宋体" w:cs="Times New Roman"/>
          <w:color w:val="000000"/>
        </w:rPr>
        <w:fldChar w:fldCharType="end"/>
      </w:r>
    </w:p>
    <w:p w14:paraId="07A3FC8A">
      <w:pPr>
        <w:pStyle w:val="8"/>
        <w:tabs>
          <w:tab w:val="right" w:leader="dot" w:pos="9071"/>
        </w:tabs>
      </w:pPr>
      <w:r>
        <w:rPr>
          <w:rFonts w:ascii="Times New Roman" w:hAnsi="Times New Roman" w:eastAsia="宋体" w:cs="Times New Roman"/>
          <w:color w:val="000000"/>
        </w:rPr>
        <w:fldChar w:fldCharType="begin"/>
      </w:r>
      <w:r>
        <w:rPr>
          <w:rFonts w:ascii="Times New Roman" w:hAnsi="Times New Roman" w:eastAsia="宋体" w:cs="Times New Roman"/>
        </w:rPr>
        <w:instrText xml:space="preserve"> HYPERLINK \l _Toc8806 </w:instrText>
      </w:r>
      <w:r>
        <w:rPr>
          <w:rFonts w:ascii="Times New Roman" w:hAnsi="Times New Roman" w:eastAsia="宋体" w:cs="Times New Roman"/>
        </w:rPr>
        <w:fldChar w:fldCharType="separate"/>
      </w:r>
      <w:r>
        <w:rPr>
          <w:rFonts w:ascii="Times New Roman" w:hAnsi="Times New Roman" w:eastAsia="黑体" w:cs="Times New Roman"/>
        </w:rPr>
        <w:t>5.1  对比条件与场景设计</w:t>
      </w:r>
      <w:r>
        <w:tab/>
      </w:r>
      <w:r>
        <w:fldChar w:fldCharType="begin"/>
      </w:r>
      <w:r>
        <w:instrText xml:space="preserve"> PAGEREF _Toc8806 \h </w:instrText>
      </w:r>
      <w:r>
        <w:fldChar w:fldCharType="separate"/>
      </w:r>
      <w:r>
        <w:t>21</w:t>
      </w:r>
      <w:r>
        <w:fldChar w:fldCharType="end"/>
      </w:r>
      <w:r>
        <w:rPr>
          <w:rFonts w:ascii="Times New Roman" w:hAnsi="Times New Roman" w:eastAsia="宋体" w:cs="Times New Roman"/>
          <w:color w:val="000000"/>
        </w:rPr>
        <w:fldChar w:fldCharType="end"/>
      </w:r>
    </w:p>
    <w:p w14:paraId="77E9A2AC">
      <w:pPr>
        <w:pStyle w:val="8"/>
        <w:tabs>
          <w:tab w:val="right" w:leader="dot" w:pos="9071"/>
        </w:tabs>
      </w:pPr>
      <w:r>
        <w:rPr>
          <w:rFonts w:ascii="Times New Roman" w:hAnsi="Times New Roman" w:eastAsia="宋体" w:cs="Times New Roman"/>
          <w:color w:val="000000"/>
        </w:rPr>
        <w:fldChar w:fldCharType="begin"/>
      </w:r>
      <w:r>
        <w:rPr>
          <w:rFonts w:ascii="Times New Roman" w:hAnsi="Times New Roman" w:eastAsia="宋体" w:cs="Times New Roman"/>
        </w:rPr>
        <w:instrText xml:space="preserve"> HYPERLINK \l _Toc3087 </w:instrText>
      </w:r>
      <w:r>
        <w:rPr>
          <w:rFonts w:ascii="Times New Roman" w:hAnsi="Times New Roman" w:eastAsia="宋体" w:cs="Times New Roman"/>
        </w:rPr>
        <w:fldChar w:fldCharType="separate"/>
      </w:r>
      <w:r>
        <w:rPr>
          <w:rFonts w:ascii="Times New Roman" w:hAnsi="Times New Roman" w:eastAsia="黑体" w:cs="Times New Roman"/>
        </w:rPr>
        <w:t>5.2  赛题要求指标</w:t>
      </w:r>
      <w:r>
        <w:tab/>
      </w:r>
      <w:r>
        <w:fldChar w:fldCharType="begin"/>
      </w:r>
      <w:r>
        <w:instrText xml:space="preserve"> PAGEREF _Toc3087 \h </w:instrText>
      </w:r>
      <w:r>
        <w:fldChar w:fldCharType="separate"/>
      </w:r>
      <w:r>
        <w:t>23</w:t>
      </w:r>
      <w:r>
        <w:fldChar w:fldCharType="end"/>
      </w:r>
      <w:r>
        <w:rPr>
          <w:rFonts w:ascii="Times New Roman" w:hAnsi="Times New Roman" w:eastAsia="宋体" w:cs="Times New Roman"/>
          <w:color w:val="000000"/>
        </w:rPr>
        <w:fldChar w:fldCharType="end"/>
      </w:r>
    </w:p>
    <w:p w14:paraId="7287BA7F">
      <w:pPr>
        <w:pStyle w:val="8"/>
        <w:tabs>
          <w:tab w:val="right" w:leader="dot" w:pos="9071"/>
        </w:tabs>
      </w:pPr>
      <w:r>
        <w:rPr>
          <w:rFonts w:ascii="Times New Roman" w:hAnsi="Times New Roman" w:eastAsia="宋体" w:cs="Times New Roman"/>
          <w:color w:val="000000"/>
        </w:rPr>
        <w:fldChar w:fldCharType="begin"/>
      </w:r>
      <w:r>
        <w:rPr>
          <w:rFonts w:ascii="Times New Roman" w:hAnsi="Times New Roman" w:eastAsia="宋体" w:cs="Times New Roman"/>
        </w:rPr>
        <w:instrText xml:space="preserve"> HYPERLINK \l _Toc7035 </w:instrText>
      </w:r>
      <w:r>
        <w:rPr>
          <w:rFonts w:ascii="Times New Roman" w:hAnsi="Times New Roman" w:eastAsia="宋体" w:cs="Times New Roman"/>
        </w:rPr>
        <w:fldChar w:fldCharType="separate"/>
      </w:r>
      <w:r>
        <w:rPr>
          <w:rFonts w:ascii="Times New Roman" w:hAnsi="Times New Roman" w:eastAsia="黑体" w:cs="Times New Roman"/>
        </w:rPr>
        <w:t>5.3  补充指标与判断条件</w:t>
      </w:r>
      <w:r>
        <w:tab/>
      </w:r>
      <w:r>
        <w:fldChar w:fldCharType="begin"/>
      </w:r>
      <w:r>
        <w:instrText xml:space="preserve"> PAGEREF _Toc7035 \h </w:instrText>
      </w:r>
      <w:r>
        <w:fldChar w:fldCharType="separate"/>
      </w:r>
      <w:r>
        <w:t>24</w:t>
      </w:r>
      <w:r>
        <w:fldChar w:fldCharType="end"/>
      </w:r>
      <w:r>
        <w:rPr>
          <w:rFonts w:ascii="Times New Roman" w:hAnsi="Times New Roman" w:eastAsia="宋体" w:cs="Times New Roman"/>
          <w:color w:val="000000"/>
        </w:rPr>
        <w:fldChar w:fldCharType="end"/>
      </w:r>
    </w:p>
    <w:p w14:paraId="57F5CFDF">
      <w:pPr>
        <w:pStyle w:val="8"/>
        <w:tabs>
          <w:tab w:val="right" w:leader="dot" w:pos="9071"/>
        </w:tabs>
      </w:pPr>
      <w:r>
        <w:rPr>
          <w:rFonts w:ascii="Times New Roman" w:hAnsi="Times New Roman" w:eastAsia="宋体" w:cs="Times New Roman"/>
          <w:color w:val="000000"/>
        </w:rPr>
        <w:fldChar w:fldCharType="begin"/>
      </w:r>
      <w:r>
        <w:rPr>
          <w:rFonts w:ascii="Times New Roman" w:hAnsi="Times New Roman" w:eastAsia="宋体" w:cs="Times New Roman"/>
        </w:rPr>
        <w:instrText xml:space="preserve"> HYPERLINK \l _Toc2220 </w:instrText>
      </w:r>
      <w:r>
        <w:rPr>
          <w:rFonts w:ascii="Times New Roman" w:hAnsi="Times New Roman" w:eastAsia="宋体" w:cs="Times New Roman"/>
        </w:rPr>
        <w:fldChar w:fldCharType="separate"/>
      </w:r>
      <w:r>
        <w:rPr>
          <w:rFonts w:ascii="Times New Roman" w:hAnsi="Times New Roman" w:eastAsia="黑体" w:cs="Times New Roman"/>
        </w:rPr>
        <w:t>5.4  仿真数据处理方法</w:t>
      </w:r>
      <w:r>
        <w:tab/>
      </w:r>
      <w:r>
        <w:fldChar w:fldCharType="begin"/>
      </w:r>
      <w:r>
        <w:instrText xml:space="preserve"> PAGEREF _Toc2220 \h </w:instrText>
      </w:r>
      <w:r>
        <w:fldChar w:fldCharType="separate"/>
      </w:r>
      <w:r>
        <w:t>25</w:t>
      </w:r>
      <w:r>
        <w:fldChar w:fldCharType="end"/>
      </w:r>
      <w:r>
        <w:rPr>
          <w:rFonts w:ascii="Times New Roman" w:hAnsi="Times New Roman" w:eastAsia="宋体" w:cs="Times New Roman"/>
          <w:color w:val="000000"/>
        </w:rPr>
        <w:fldChar w:fldCharType="end"/>
      </w:r>
    </w:p>
    <w:p w14:paraId="0FCEA38A">
      <w:pPr>
        <w:pStyle w:val="7"/>
        <w:tabs>
          <w:tab w:val="right" w:leader="dot" w:pos="9071"/>
        </w:tabs>
      </w:pPr>
      <w:r>
        <w:rPr>
          <w:rFonts w:ascii="Times New Roman" w:hAnsi="Times New Roman" w:eastAsia="宋体" w:cs="Times New Roman"/>
          <w:color w:val="000000"/>
        </w:rPr>
        <w:fldChar w:fldCharType="begin"/>
      </w:r>
      <w:r>
        <w:rPr>
          <w:rFonts w:ascii="Times New Roman" w:hAnsi="Times New Roman" w:eastAsia="宋体" w:cs="Times New Roman"/>
        </w:rPr>
        <w:instrText xml:space="preserve"> HYPERLINK \l _Toc11429 </w:instrText>
      </w:r>
      <w:r>
        <w:rPr>
          <w:rFonts w:ascii="Times New Roman" w:hAnsi="Times New Roman" w:eastAsia="宋体" w:cs="Times New Roman"/>
        </w:rPr>
        <w:fldChar w:fldCharType="separate"/>
      </w:r>
      <w:r>
        <w:rPr>
          <w:rFonts w:ascii="Times New Roman" w:hAnsi="Times New Roman" w:eastAsia="黑体" w:cs="Times New Roman"/>
        </w:rPr>
        <w:t>第6章 单机性能、鲁棒性与约束结果</w:t>
      </w:r>
      <w:r>
        <w:tab/>
      </w:r>
      <w:r>
        <w:fldChar w:fldCharType="begin"/>
      </w:r>
      <w:r>
        <w:instrText xml:space="preserve"> PAGEREF _Toc11429 \h </w:instrText>
      </w:r>
      <w:r>
        <w:fldChar w:fldCharType="separate"/>
      </w:r>
      <w:r>
        <w:t>26</w:t>
      </w:r>
      <w:r>
        <w:fldChar w:fldCharType="end"/>
      </w:r>
      <w:r>
        <w:rPr>
          <w:rFonts w:ascii="Times New Roman" w:hAnsi="Times New Roman" w:eastAsia="宋体" w:cs="Times New Roman"/>
          <w:color w:val="000000"/>
        </w:rPr>
        <w:fldChar w:fldCharType="end"/>
      </w:r>
    </w:p>
    <w:p w14:paraId="5E10C367">
      <w:pPr>
        <w:pStyle w:val="8"/>
        <w:tabs>
          <w:tab w:val="right" w:leader="dot" w:pos="9071"/>
        </w:tabs>
      </w:pPr>
      <w:r>
        <w:rPr>
          <w:rFonts w:ascii="Times New Roman" w:hAnsi="Times New Roman" w:eastAsia="宋体" w:cs="Times New Roman"/>
          <w:color w:val="000000"/>
        </w:rPr>
        <w:fldChar w:fldCharType="begin"/>
      </w:r>
      <w:r>
        <w:rPr>
          <w:rFonts w:ascii="Times New Roman" w:hAnsi="Times New Roman" w:eastAsia="宋体" w:cs="Times New Roman"/>
        </w:rPr>
        <w:instrText xml:space="preserve"> HYPERLINK \l _Toc1095 </w:instrText>
      </w:r>
      <w:r>
        <w:rPr>
          <w:rFonts w:ascii="Times New Roman" w:hAnsi="Times New Roman" w:eastAsia="宋体" w:cs="Times New Roman"/>
        </w:rPr>
        <w:fldChar w:fldCharType="separate"/>
      </w:r>
      <w:r>
        <w:rPr>
          <w:rFonts w:ascii="Times New Roman" w:hAnsi="Times New Roman" w:eastAsia="黑体" w:cs="Times New Roman"/>
        </w:rPr>
        <w:t>6.1  三轴阶跃、阶梯爬升与悬停</w:t>
      </w:r>
      <w:r>
        <w:tab/>
      </w:r>
      <w:r>
        <w:fldChar w:fldCharType="begin"/>
      </w:r>
      <w:r>
        <w:instrText xml:space="preserve"> PAGEREF _Toc1095 \h </w:instrText>
      </w:r>
      <w:r>
        <w:fldChar w:fldCharType="separate"/>
      </w:r>
      <w:r>
        <w:t>26</w:t>
      </w:r>
      <w:r>
        <w:fldChar w:fldCharType="end"/>
      </w:r>
      <w:r>
        <w:rPr>
          <w:rFonts w:ascii="Times New Roman" w:hAnsi="Times New Roman" w:eastAsia="宋体" w:cs="Times New Roman"/>
          <w:color w:val="000000"/>
        </w:rPr>
        <w:fldChar w:fldCharType="end"/>
      </w:r>
    </w:p>
    <w:p w14:paraId="7BCEA38E">
      <w:pPr>
        <w:pStyle w:val="8"/>
        <w:tabs>
          <w:tab w:val="right" w:leader="dot" w:pos="9071"/>
        </w:tabs>
      </w:pPr>
      <w:r>
        <w:rPr>
          <w:rFonts w:ascii="Times New Roman" w:hAnsi="Times New Roman" w:eastAsia="宋体" w:cs="Times New Roman"/>
          <w:color w:val="000000"/>
        </w:rPr>
        <w:fldChar w:fldCharType="begin"/>
      </w:r>
      <w:r>
        <w:rPr>
          <w:rFonts w:ascii="Times New Roman" w:hAnsi="Times New Roman" w:eastAsia="宋体" w:cs="Times New Roman"/>
        </w:rPr>
        <w:instrText xml:space="preserve"> HYPERLINK \l _Toc24620 </w:instrText>
      </w:r>
      <w:r>
        <w:rPr>
          <w:rFonts w:ascii="Times New Roman" w:hAnsi="Times New Roman" w:eastAsia="宋体" w:cs="Times New Roman"/>
        </w:rPr>
        <w:fldChar w:fldCharType="separate"/>
      </w:r>
      <w:r>
        <w:rPr>
          <w:rFonts w:ascii="Times New Roman" w:hAnsi="Times New Roman" w:eastAsia="黑体" w:cs="Times New Roman"/>
        </w:rPr>
        <w:t>6.2  螺旋爬升、8字轨迹与五种算法比较</w:t>
      </w:r>
      <w:r>
        <w:tab/>
      </w:r>
      <w:r>
        <w:fldChar w:fldCharType="begin"/>
      </w:r>
      <w:r>
        <w:instrText xml:space="preserve"> PAGEREF _Toc24620 \h </w:instrText>
      </w:r>
      <w:r>
        <w:fldChar w:fldCharType="separate"/>
      </w:r>
      <w:r>
        <w:t>27</w:t>
      </w:r>
      <w:r>
        <w:fldChar w:fldCharType="end"/>
      </w:r>
      <w:r>
        <w:rPr>
          <w:rFonts w:ascii="Times New Roman" w:hAnsi="Times New Roman" w:eastAsia="宋体" w:cs="Times New Roman"/>
          <w:color w:val="000000"/>
        </w:rPr>
        <w:fldChar w:fldCharType="end"/>
      </w:r>
    </w:p>
    <w:p w14:paraId="06989C3F">
      <w:pPr>
        <w:pStyle w:val="8"/>
        <w:tabs>
          <w:tab w:val="right" w:leader="dot" w:pos="9071"/>
        </w:tabs>
      </w:pPr>
      <w:r>
        <w:rPr>
          <w:rFonts w:ascii="Times New Roman" w:hAnsi="Times New Roman" w:eastAsia="宋体" w:cs="Times New Roman"/>
          <w:color w:val="000000"/>
        </w:rPr>
        <w:fldChar w:fldCharType="begin"/>
      </w:r>
      <w:r>
        <w:rPr>
          <w:rFonts w:ascii="Times New Roman" w:hAnsi="Times New Roman" w:eastAsia="宋体" w:cs="Times New Roman"/>
        </w:rPr>
        <w:instrText xml:space="preserve"> HYPERLINK \l _Toc23504 </w:instrText>
      </w:r>
      <w:r>
        <w:rPr>
          <w:rFonts w:ascii="Times New Roman" w:hAnsi="Times New Roman" w:eastAsia="宋体" w:cs="Times New Roman"/>
        </w:rPr>
        <w:fldChar w:fldCharType="separate"/>
      </w:r>
      <w:r>
        <w:rPr>
          <w:rFonts w:ascii="Times New Roman" w:hAnsi="Times New Roman" w:eastAsia="黑体" w:cs="Times New Roman"/>
        </w:rPr>
        <w:t>6.3  参数变化与推力尺度估计</w:t>
      </w:r>
      <w:r>
        <w:tab/>
      </w:r>
      <w:r>
        <w:fldChar w:fldCharType="begin"/>
      </w:r>
      <w:r>
        <w:instrText xml:space="preserve"> PAGEREF _Toc23504 \h </w:instrText>
      </w:r>
      <w:r>
        <w:fldChar w:fldCharType="separate"/>
      </w:r>
      <w:r>
        <w:t>29</w:t>
      </w:r>
      <w:r>
        <w:fldChar w:fldCharType="end"/>
      </w:r>
      <w:r>
        <w:rPr>
          <w:rFonts w:ascii="Times New Roman" w:hAnsi="Times New Roman" w:eastAsia="宋体" w:cs="Times New Roman"/>
          <w:color w:val="000000"/>
        </w:rPr>
        <w:fldChar w:fldCharType="end"/>
      </w:r>
    </w:p>
    <w:p w14:paraId="5DB5CF45">
      <w:pPr>
        <w:pStyle w:val="8"/>
        <w:tabs>
          <w:tab w:val="right" w:leader="dot" w:pos="9071"/>
        </w:tabs>
      </w:pPr>
      <w:r>
        <w:rPr>
          <w:rFonts w:ascii="Times New Roman" w:hAnsi="Times New Roman" w:eastAsia="宋体" w:cs="Times New Roman"/>
          <w:color w:val="000000"/>
        </w:rPr>
        <w:fldChar w:fldCharType="begin"/>
      </w:r>
      <w:r>
        <w:rPr>
          <w:rFonts w:ascii="Times New Roman" w:hAnsi="Times New Roman" w:eastAsia="宋体" w:cs="Times New Roman"/>
        </w:rPr>
        <w:instrText xml:space="preserve"> HYPERLINK \l _Toc21470 </w:instrText>
      </w:r>
      <w:r>
        <w:rPr>
          <w:rFonts w:ascii="Times New Roman" w:hAnsi="Times New Roman" w:eastAsia="宋体" w:cs="Times New Roman"/>
        </w:rPr>
        <w:fldChar w:fldCharType="separate"/>
      </w:r>
      <w:r>
        <w:rPr>
          <w:rFonts w:ascii="Times New Roman" w:hAnsi="Times New Roman" w:eastAsia="黑体" w:cs="Times New Roman"/>
        </w:rPr>
        <w:t>6.4  外部扰动与风场</w:t>
      </w:r>
      <w:r>
        <w:tab/>
      </w:r>
      <w:r>
        <w:fldChar w:fldCharType="begin"/>
      </w:r>
      <w:r>
        <w:instrText xml:space="preserve"> PAGEREF _Toc21470 \h </w:instrText>
      </w:r>
      <w:r>
        <w:fldChar w:fldCharType="separate"/>
      </w:r>
      <w:r>
        <w:t>30</w:t>
      </w:r>
      <w:r>
        <w:fldChar w:fldCharType="end"/>
      </w:r>
      <w:r>
        <w:rPr>
          <w:rFonts w:ascii="Times New Roman" w:hAnsi="Times New Roman" w:eastAsia="宋体" w:cs="Times New Roman"/>
          <w:color w:val="000000"/>
        </w:rPr>
        <w:fldChar w:fldCharType="end"/>
      </w:r>
    </w:p>
    <w:p w14:paraId="33622B84">
      <w:pPr>
        <w:pStyle w:val="8"/>
        <w:tabs>
          <w:tab w:val="right" w:leader="dot" w:pos="9071"/>
        </w:tabs>
      </w:pPr>
      <w:r>
        <w:rPr>
          <w:rFonts w:ascii="Times New Roman" w:hAnsi="Times New Roman" w:eastAsia="宋体" w:cs="Times New Roman"/>
          <w:color w:val="000000"/>
        </w:rPr>
        <w:fldChar w:fldCharType="begin"/>
      </w:r>
      <w:r>
        <w:rPr>
          <w:rFonts w:ascii="Times New Roman" w:hAnsi="Times New Roman" w:eastAsia="宋体" w:cs="Times New Roman"/>
        </w:rPr>
        <w:instrText xml:space="preserve"> HYPERLINK \l _Toc8178 </w:instrText>
      </w:r>
      <w:r>
        <w:rPr>
          <w:rFonts w:ascii="Times New Roman" w:hAnsi="Times New Roman" w:eastAsia="宋体" w:cs="Times New Roman"/>
        </w:rPr>
        <w:fldChar w:fldCharType="separate"/>
      </w:r>
      <w:r>
        <w:rPr>
          <w:rFonts w:ascii="Times New Roman" w:hAnsi="Times New Roman" w:eastAsia="黑体" w:cs="Times New Roman"/>
        </w:rPr>
        <w:t>6.5  传感器退化</w:t>
      </w:r>
      <w:r>
        <w:tab/>
      </w:r>
      <w:r>
        <w:fldChar w:fldCharType="begin"/>
      </w:r>
      <w:r>
        <w:instrText xml:space="preserve"> PAGEREF _Toc8178 \h </w:instrText>
      </w:r>
      <w:r>
        <w:fldChar w:fldCharType="separate"/>
      </w:r>
      <w:r>
        <w:t>31</w:t>
      </w:r>
      <w:r>
        <w:fldChar w:fldCharType="end"/>
      </w:r>
      <w:r>
        <w:rPr>
          <w:rFonts w:ascii="Times New Roman" w:hAnsi="Times New Roman" w:eastAsia="宋体" w:cs="Times New Roman"/>
          <w:color w:val="000000"/>
        </w:rPr>
        <w:fldChar w:fldCharType="end"/>
      </w:r>
    </w:p>
    <w:p w14:paraId="087D85B4">
      <w:pPr>
        <w:pStyle w:val="8"/>
        <w:tabs>
          <w:tab w:val="right" w:leader="dot" w:pos="9071"/>
        </w:tabs>
      </w:pPr>
      <w:r>
        <w:rPr>
          <w:rFonts w:ascii="Times New Roman" w:hAnsi="Times New Roman" w:eastAsia="宋体" w:cs="Times New Roman"/>
          <w:color w:val="000000"/>
        </w:rPr>
        <w:fldChar w:fldCharType="begin"/>
      </w:r>
      <w:r>
        <w:rPr>
          <w:rFonts w:ascii="Times New Roman" w:hAnsi="Times New Roman" w:eastAsia="宋体" w:cs="Times New Roman"/>
        </w:rPr>
        <w:instrText xml:space="preserve"> HYPERLINK \l _Toc32622 </w:instrText>
      </w:r>
      <w:r>
        <w:rPr>
          <w:rFonts w:ascii="Times New Roman" w:hAnsi="Times New Roman" w:eastAsia="宋体" w:cs="Times New Roman"/>
        </w:rPr>
        <w:fldChar w:fldCharType="separate"/>
      </w:r>
      <w:r>
        <w:rPr>
          <w:rFonts w:ascii="Times New Roman" w:hAnsi="Times New Roman" w:eastAsia="黑体" w:cs="Times New Roman"/>
        </w:rPr>
        <w:t>6.6  推力尺度估计与执行器状态</w:t>
      </w:r>
      <w:r>
        <w:tab/>
      </w:r>
      <w:r>
        <w:fldChar w:fldCharType="begin"/>
      </w:r>
      <w:r>
        <w:instrText xml:space="preserve"> PAGEREF _Toc32622 \h </w:instrText>
      </w:r>
      <w:r>
        <w:fldChar w:fldCharType="separate"/>
      </w:r>
      <w:r>
        <w:t>32</w:t>
      </w:r>
      <w:r>
        <w:fldChar w:fldCharType="end"/>
      </w:r>
      <w:r>
        <w:rPr>
          <w:rFonts w:ascii="Times New Roman" w:hAnsi="Times New Roman" w:eastAsia="宋体" w:cs="Times New Roman"/>
          <w:color w:val="000000"/>
        </w:rPr>
        <w:fldChar w:fldCharType="end"/>
      </w:r>
    </w:p>
    <w:p w14:paraId="46B268DC">
      <w:pPr>
        <w:pStyle w:val="7"/>
        <w:tabs>
          <w:tab w:val="right" w:leader="dot" w:pos="9071"/>
        </w:tabs>
      </w:pPr>
      <w:r>
        <w:rPr>
          <w:rFonts w:ascii="Times New Roman" w:hAnsi="Times New Roman" w:eastAsia="宋体" w:cs="Times New Roman"/>
          <w:color w:val="000000"/>
        </w:rPr>
        <w:fldChar w:fldCharType="begin"/>
      </w:r>
      <w:r>
        <w:rPr>
          <w:rFonts w:ascii="Times New Roman" w:hAnsi="Times New Roman" w:eastAsia="宋体" w:cs="Times New Roman"/>
        </w:rPr>
        <w:instrText xml:space="preserve"> HYPERLINK \l _Toc13441 </w:instrText>
      </w:r>
      <w:r>
        <w:rPr>
          <w:rFonts w:ascii="Times New Roman" w:hAnsi="Times New Roman" w:eastAsia="宋体" w:cs="Times New Roman"/>
        </w:rPr>
        <w:fldChar w:fldCharType="separate"/>
      </w:r>
      <w:r>
        <w:rPr>
          <w:rFonts w:ascii="Times New Roman" w:hAnsi="Times New Roman" w:eastAsia="黑体" w:cs="Times New Roman"/>
          <w:i w:val="0"/>
        </w:rPr>
        <w:t>第7章 分层编队控制与预测安全监督的仿真验证</w:t>
      </w:r>
      <w:r>
        <w:tab/>
      </w:r>
      <w:r>
        <w:fldChar w:fldCharType="begin"/>
      </w:r>
      <w:r>
        <w:instrText xml:space="preserve"> PAGEREF _Toc13441 \h </w:instrText>
      </w:r>
      <w:r>
        <w:fldChar w:fldCharType="separate"/>
      </w:r>
      <w:r>
        <w:t>33</w:t>
      </w:r>
      <w:r>
        <w:fldChar w:fldCharType="end"/>
      </w:r>
      <w:r>
        <w:rPr>
          <w:rFonts w:ascii="Times New Roman" w:hAnsi="Times New Roman" w:eastAsia="宋体" w:cs="Times New Roman"/>
          <w:color w:val="000000"/>
        </w:rPr>
        <w:fldChar w:fldCharType="end"/>
      </w:r>
    </w:p>
    <w:p w14:paraId="2AD15016">
      <w:pPr>
        <w:pStyle w:val="8"/>
        <w:tabs>
          <w:tab w:val="right" w:leader="dot" w:pos="9071"/>
        </w:tabs>
      </w:pPr>
      <w:r>
        <w:rPr>
          <w:rFonts w:ascii="Times New Roman" w:hAnsi="Times New Roman" w:eastAsia="宋体" w:cs="Times New Roman"/>
          <w:color w:val="000000"/>
        </w:rPr>
        <w:fldChar w:fldCharType="begin"/>
      </w:r>
      <w:r>
        <w:rPr>
          <w:rFonts w:ascii="Times New Roman" w:hAnsi="Times New Roman" w:eastAsia="宋体" w:cs="Times New Roman"/>
        </w:rPr>
        <w:instrText xml:space="preserve"> HYPERLINK \l _Toc32416 </w:instrText>
      </w:r>
      <w:r>
        <w:rPr>
          <w:rFonts w:ascii="Times New Roman" w:hAnsi="Times New Roman" w:eastAsia="宋体" w:cs="Times New Roman"/>
        </w:rPr>
        <w:fldChar w:fldCharType="separate"/>
      </w:r>
      <w:r>
        <w:rPr>
          <w:rFonts w:ascii="Times New Roman" w:hAnsi="Times New Roman" w:eastAsia="黑体" w:cs="Times New Roman"/>
          <w:i w:val="0"/>
        </w:rPr>
        <w:t>7.1 编队保持与队形变换任务</w:t>
      </w:r>
      <w:r>
        <w:tab/>
      </w:r>
      <w:r>
        <w:fldChar w:fldCharType="begin"/>
      </w:r>
      <w:r>
        <w:instrText xml:space="preserve"> PAGEREF _Toc32416 \h </w:instrText>
      </w:r>
      <w:r>
        <w:fldChar w:fldCharType="separate"/>
      </w:r>
      <w:r>
        <w:t>33</w:t>
      </w:r>
      <w:r>
        <w:fldChar w:fldCharType="end"/>
      </w:r>
      <w:r>
        <w:rPr>
          <w:rFonts w:ascii="Times New Roman" w:hAnsi="Times New Roman" w:eastAsia="宋体" w:cs="Times New Roman"/>
          <w:color w:val="000000"/>
        </w:rPr>
        <w:fldChar w:fldCharType="end"/>
      </w:r>
    </w:p>
    <w:p w14:paraId="6557FA2A">
      <w:pPr>
        <w:pStyle w:val="8"/>
        <w:tabs>
          <w:tab w:val="right" w:leader="dot" w:pos="9071"/>
        </w:tabs>
      </w:pPr>
      <w:r>
        <w:rPr>
          <w:rFonts w:ascii="Times New Roman" w:hAnsi="Times New Roman" w:eastAsia="宋体" w:cs="Times New Roman"/>
          <w:color w:val="000000"/>
        </w:rPr>
        <w:fldChar w:fldCharType="begin"/>
      </w:r>
      <w:r>
        <w:rPr>
          <w:rFonts w:ascii="Times New Roman" w:hAnsi="Times New Roman" w:eastAsia="宋体" w:cs="Times New Roman"/>
        </w:rPr>
        <w:instrText xml:space="preserve"> HYPERLINK \l _Toc30830 </w:instrText>
      </w:r>
      <w:r>
        <w:rPr>
          <w:rFonts w:ascii="Times New Roman" w:hAnsi="Times New Roman" w:eastAsia="宋体" w:cs="Times New Roman"/>
        </w:rPr>
        <w:fldChar w:fldCharType="separate"/>
      </w:r>
      <w:r>
        <w:rPr>
          <w:rFonts w:ascii="Times New Roman" w:hAnsi="Times New Roman" w:eastAsia="黑体" w:cs="Times New Roman"/>
          <w:i w:val="0"/>
        </w:rPr>
        <w:t>7.2 PP-CBF近距离交汇风险抑制</w:t>
      </w:r>
      <w:r>
        <w:tab/>
      </w:r>
      <w:r>
        <w:fldChar w:fldCharType="begin"/>
      </w:r>
      <w:r>
        <w:instrText xml:space="preserve"> PAGEREF _Toc30830 \h </w:instrText>
      </w:r>
      <w:r>
        <w:fldChar w:fldCharType="separate"/>
      </w:r>
      <w:r>
        <w:t>34</w:t>
      </w:r>
      <w:r>
        <w:fldChar w:fldCharType="end"/>
      </w:r>
      <w:r>
        <w:rPr>
          <w:rFonts w:ascii="Times New Roman" w:hAnsi="Times New Roman" w:eastAsia="宋体" w:cs="Times New Roman"/>
          <w:color w:val="000000"/>
        </w:rPr>
        <w:fldChar w:fldCharType="end"/>
      </w:r>
    </w:p>
    <w:p w14:paraId="2CA83914">
      <w:pPr>
        <w:pStyle w:val="8"/>
        <w:tabs>
          <w:tab w:val="right" w:leader="dot" w:pos="9071"/>
        </w:tabs>
      </w:pPr>
      <w:r>
        <w:rPr>
          <w:rFonts w:ascii="Times New Roman" w:hAnsi="Times New Roman" w:eastAsia="宋体" w:cs="Times New Roman"/>
          <w:color w:val="000000"/>
        </w:rPr>
        <w:fldChar w:fldCharType="begin"/>
      </w:r>
      <w:r>
        <w:rPr>
          <w:rFonts w:ascii="Times New Roman" w:hAnsi="Times New Roman" w:eastAsia="宋体" w:cs="Times New Roman"/>
        </w:rPr>
        <w:instrText xml:space="preserve"> HYPERLINK \l _Toc1524 </w:instrText>
      </w:r>
      <w:r>
        <w:rPr>
          <w:rFonts w:ascii="Times New Roman" w:hAnsi="Times New Roman" w:eastAsia="宋体" w:cs="Times New Roman"/>
        </w:rPr>
        <w:fldChar w:fldCharType="separate"/>
      </w:r>
      <w:r>
        <w:rPr>
          <w:rFonts w:ascii="Times New Roman" w:hAnsi="Times New Roman" w:eastAsia="黑体" w:cs="Times New Roman"/>
          <w:i w:val="0"/>
        </w:rPr>
        <w:t>7.3 结果归纳与适用范围</w:t>
      </w:r>
      <w:r>
        <w:tab/>
      </w:r>
      <w:r>
        <w:fldChar w:fldCharType="begin"/>
      </w:r>
      <w:r>
        <w:instrText xml:space="preserve"> PAGEREF _Toc1524 \h </w:instrText>
      </w:r>
      <w:r>
        <w:fldChar w:fldCharType="separate"/>
      </w:r>
      <w:r>
        <w:t>36</w:t>
      </w:r>
      <w:r>
        <w:fldChar w:fldCharType="end"/>
      </w:r>
      <w:r>
        <w:rPr>
          <w:rFonts w:ascii="Times New Roman" w:hAnsi="Times New Roman" w:eastAsia="宋体" w:cs="Times New Roman"/>
          <w:color w:val="000000"/>
        </w:rPr>
        <w:fldChar w:fldCharType="end"/>
      </w:r>
    </w:p>
    <w:p w14:paraId="7A844C17">
      <w:pPr>
        <w:pStyle w:val="7"/>
        <w:tabs>
          <w:tab w:val="right" w:leader="dot" w:pos="9071"/>
        </w:tabs>
      </w:pPr>
      <w:r>
        <w:rPr>
          <w:rFonts w:ascii="Times New Roman" w:hAnsi="Times New Roman" w:eastAsia="宋体" w:cs="Times New Roman"/>
          <w:color w:val="000000"/>
        </w:rPr>
        <w:fldChar w:fldCharType="begin"/>
      </w:r>
      <w:r>
        <w:rPr>
          <w:rFonts w:ascii="Times New Roman" w:hAnsi="Times New Roman" w:eastAsia="宋体" w:cs="Times New Roman"/>
        </w:rPr>
        <w:instrText xml:space="preserve"> HYPERLINK \l _Toc8767 </w:instrText>
      </w:r>
      <w:r>
        <w:rPr>
          <w:rFonts w:ascii="Times New Roman" w:hAnsi="Times New Roman" w:eastAsia="宋体" w:cs="Times New Roman"/>
        </w:rPr>
        <w:fldChar w:fldCharType="separate"/>
      </w:r>
      <w:r>
        <w:rPr>
          <w:rFonts w:ascii="Times New Roman" w:hAnsi="Times New Roman" w:eastAsia="黑体" w:cs="Times New Roman"/>
        </w:rPr>
        <w:t>第8章 讨论、结论与展望</w:t>
      </w:r>
      <w:r>
        <w:tab/>
      </w:r>
      <w:r>
        <w:fldChar w:fldCharType="begin"/>
      </w:r>
      <w:r>
        <w:instrText xml:space="preserve"> PAGEREF _Toc8767 \h </w:instrText>
      </w:r>
      <w:r>
        <w:fldChar w:fldCharType="separate"/>
      </w:r>
      <w:r>
        <w:t>37</w:t>
      </w:r>
      <w:r>
        <w:fldChar w:fldCharType="end"/>
      </w:r>
      <w:r>
        <w:rPr>
          <w:rFonts w:ascii="Times New Roman" w:hAnsi="Times New Roman" w:eastAsia="宋体" w:cs="Times New Roman"/>
          <w:color w:val="000000"/>
        </w:rPr>
        <w:fldChar w:fldCharType="end"/>
      </w:r>
    </w:p>
    <w:p w14:paraId="31F9E8D9">
      <w:pPr>
        <w:pStyle w:val="8"/>
        <w:tabs>
          <w:tab w:val="right" w:leader="dot" w:pos="9071"/>
        </w:tabs>
      </w:pPr>
      <w:r>
        <w:rPr>
          <w:rFonts w:ascii="Times New Roman" w:hAnsi="Times New Roman" w:eastAsia="宋体" w:cs="Times New Roman"/>
          <w:color w:val="000000"/>
        </w:rPr>
        <w:fldChar w:fldCharType="begin"/>
      </w:r>
      <w:r>
        <w:rPr>
          <w:rFonts w:ascii="Times New Roman" w:hAnsi="Times New Roman" w:eastAsia="宋体" w:cs="Times New Roman"/>
        </w:rPr>
        <w:instrText xml:space="preserve"> HYPERLINK \l _Toc7612 </w:instrText>
      </w:r>
      <w:r>
        <w:rPr>
          <w:rFonts w:ascii="Times New Roman" w:hAnsi="Times New Roman" w:eastAsia="宋体" w:cs="Times New Roman"/>
        </w:rPr>
        <w:fldChar w:fldCharType="separate"/>
      </w:r>
      <w:r>
        <w:rPr>
          <w:rFonts w:ascii="Times New Roman" w:hAnsi="Times New Roman" w:eastAsia="黑体" w:cs="Times New Roman"/>
        </w:rPr>
        <w:t>8.1 不同任务中的性能与方法作用</w:t>
      </w:r>
      <w:r>
        <w:tab/>
      </w:r>
      <w:r>
        <w:fldChar w:fldCharType="begin"/>
      </w:r>
      <w:r>
        <w:instrText xml:space="preserve"> PAGEREF _Toc7612 \h </w:instrText>
      </w:r>
      <w:r>
        <w:fldChar w:fldCharType="separate"/>
      </w:r>
      <w:r>
        <w:t>37</w:t>
      </w:r>
      <w:r>
        <w:fldChar w:fldCharType="end"/>
      </w:r>
      <w:r>
        <w:rPr>
          <w:rFonts w:ascii="Times New Roman" w:hAnsi="Times New Roman" w:eastAsia="宋体" w:cs="Times New Roman"/>
          <w:color w:val="000000"/>
        </w:rPr>
        <w:fldChar w:fldCharType="end"/>
      </w:r>
    </w:p>
    <w:p w14:paraId="73604E5B">
      <w:pPr>
        <w:pStyle w:val="8"/>
        <w:tabs>
          <w:tab w:val="right" w:leader="dot" w:pos="9071"/>
        </w:tabs>
      </w:pPr>
      <w:r>
        <w:rPr>
          <w:rFonts w:ascii="Times New Roman" w:hAnsi="Times New Roman" w:eastAsia="宋体" w:cs="Times New Roman"/>
          <w:color w:val="000000"/>
        </w:rPr>
        <w:fldChar w:fldCharType="begin"/>
      </w:r>
      <w:r>
        <w:rPr>
          <w:rFonts w:ascii="Times New Roman" w:hAnsi="Times New Roman" w:eastAsia="宋体" w:cs="Times New Roman"/>
        </w:rPr>
        <w:instrText xml:space="preserve"> HYPERLINK \l _Toc7513 </w:instrText>
      </w:r>
      <w:r>
        <w:rPr>
          <w:rFonts w:ascii="Times New Roman" w:hAnsi="Times New Roman" w:eastAsia="宋体" w:cs="Times New Roman"/>
        </w:rPr>
        <w:fldChar w:fldCharType="separate"/>
      </w:r>
      <w:r>
        <w:rPr>
          <w:rFonts w:ascii="Times New Roman" w:hAnsi="Times New Roman" w:eastAsia="黑体" w:cs="Times New Roman"/>
        </w:rPr>
        <w:t>8.2 性能取舍、控制能力与适用范围</w:t>
      </w:r>
      <w:r>
        <w:tab/>
      </w:r>
      <w:r>
        <w:fldChar w:fldCharType="begin"/>
      </w:r>
      <w:r>
        <w:instrText xml:space="preserve"> PAGEREF _Toc7513 \h </w:instrText>
      </w:r>
      <w:r>
        <w:fldChar w:fldCharType="separate"/>
      </w:r>
      <w:r>
        <w:t>39</w:t>
      </w:r>
      <w:r>
        <w:fldChar w:fldCharType="end"/>
      </w:r>
      <w:r>
        <w:rPr>
          <w:rFonts w:ascii="Times New Roman" w:hAnsi="Times New Roman" w:eastAsia="宋体" w:cs="Times New Roman"/>
          <w:color w:val="000000"/>
        </w:rPr>
        <w:fldChar w:fldCharType="end"/>
      </w:r>
    </w:p>
    <w:p w14:paraId="4DFFCC01">
      <w:pPr>
        <w:pStyle w:val="8"/>
        <w:tabs>
          <w:tab w:val="right" w:leader="dot" w:pos="9071"/>
        </w:tabs>
      </w:pPr>
      <w:r>
        <w:rPr>
          <w:rFonts w:ascii="Times New Roman" w:hAnsi="Times New Roman" w:eastAsia="宋体" w:cs="Times New Roman"/>
          <w:color w:val="000000"/>
        </w:rPr>
        <w:fldChar w:fldCharType="begin"/>
      </w:r>
      <w:r>
        <w:rPr>
          <w:rFonts w:ascii="Times New Roman" w:hAnsi="Times New Roman" w:eastAsia="宋体" w:cs="Times New Roman"/>
        </w:rPr>
        <w:instrText xml:space="preserve"> HYPERLINK \l _Toc24247 </w:instrText>
      </w:r>
      <w:r>
        <w:rPr>
          <w:rFonts w:ascii="Times New Roman" w:hAnsi="Times New Roman" w:eastAsia="宋体" w:cs="Times New Roman"/>
        </w:rPr>
        <w:fldChar w:fldCharType="separate"/>
      </w:r>
      <w:r>
        <w:rPr>
          <w:rFonts w:ascii="Times New Roman" w:hAnsi="Times New Roman" w:eastAsia="黑体" w:cs="Times New Roman"/>
        </w:rPr>
        <w:t>8.3 主要结论</w:t>
      </w:r>
      <w:r>
        <w:tab/>
      </w:r>
      <w:r>
        <w:fldChar w:fldCharType="begin"/>
      </w:r>
      <w:r>
        <w:instrText xml:space="preserve"> PAGEREF _Toc24247 \h </w:instrText>
      </w:r>
      <w:r>
        <w:fldChar w:fldCharType="separate"/>
      </w:r>
      <w:r>
        <w:t>39</w:t>
      </w:r>
      <w:r>
        <w:fldChar w:fldCharType="end"/>
      </w:r>
      <w:r>
        <w:rPr>
          <w:rFonts w:ascii="Times New Roman" w:hAnsi="Times New Roman" w:eastAsia="宋体" w:cs="Times New Roman"/>
          <w:color w:val="000000"/>
        </w:rPr>
        <w:fldChar w:fldCharType="end"/>
      </w:r>
    </w:p>
    <w:p w14:paraId="4F0A076D">
      <w:pPr>
        <w:pStyle w:val="8"/>
        <w:tabs>
          <w:tab w:val="right" w:leader="dot" w:pos="9071"/>
        </w:tabs>
      </w:pPr>
      <w:r>
        <w:rPr>
          <w:rFonts w:ascii="Times New Roman" w:hAnsi="Times New Roman" w:eastAsia="宋体" w:cs="Times New Roman"/>
          <w:color w:val="000000"/>
        </w:rPr>
        <w:fldChar w:fldCharType="begin"/>
      </w:r>
      <w:r>
        <w:rPr>
          <w:rFonts w:ascii="Times New Roman" w:hAnsi="Times New Roman" w:eastAsia="宋体" w:cs="Times New Roman"/>
        </w:rPr>
        <w:instrText xml:space="preserve"> HYPERLINK \l _Toc22184 </w:instrText>
      </w:r>
      <w:r>
        <w:rPr>
          <w:rFonts w:ascii="Times New Roman" w:hAnsi="Times New Roman" w:eastAsia="宋体" w:cs="Times New Roman"/>
        </w:rPr>
        <w:fldChar w:fldCharType="separate"/>
      </w:r>
      <w:r>
        <w:rPr>
          <w:rFonts w:ascii="Times New Roman" w:hAnsi="Times New Roman" w:eastAsia="黑体" w:cs="Times New Roman"/>
        </w:rPr>
        <w:t>8.4 后续工作与未来展望</w:t>
      </w:r>
      <w:r>
        <w:tab/>
      </w:r>
      <w:r>
        <w:fldChar w:fldCharType="begin"/>
      </w:r>
      <w:r>
        <w:instrText xml:space="preserve"> PAGEREF _Toc22184 \h </w:instrText>
      </w:r>
      <w:r>
        <w:fldChar w:fldCharType="separate"/>
      </w:r>
      <w:r>
        <w:t>40</w:t>
      </w:r>
      <w:r>
        <w:fldChar w:fldCharType="end"/>
      </w:r>
      <w:r>
        <w:rPr>
          <w:rFonts w:ascii="Times New Roman" w:hAnsi="Times New Roman" w:eastAsia="宋体" w:cs="Times New Roman"/>
          <w:color w:val="000000"/>
        </w:rPr>
        <w:fldChar w:fldCharType="end"/>
      </w:r>
    </w:p>
    <w:p w14:paraId="0947D7EC">
      <w:pPr>
        <w:pStyle w:val="7"/>
        <w:tabs>
          <w:tab w:val="right" w:leader="dot" w:pos="9071"/>
        </w:tabs>
      </w:pPr>
      <w:r>
        <w:rPr>
          <w:rFonts w:ascii="Times New Roman" w:hAnsi="Times New Roman" w:eastAsia="宋体" w:cs="Times New Roman"/>
          <w:color w:val="000000"/>
        </w:rPr>
        <w:fldChar w:fldCharType="begin"/>
      </w:r>
      <w:r>
        <w:rPr>
          <w:rFonts w:ascii="Times New Roman" w:hAnsi="Times New Roman" w:eastAsia="宋体" w:cs="Times New Roman"/>
        </w:rPr>
        <w:instrText xml:space="preserve"> HYPERLINK \l _Toc1192 </w:instrText>
      </w:r>
      <w:r>
        <w:rPr>
          <w:rFonts w:ascii="Times New Roman" w:hAnsi="Times New Roman" w:eastAsia="宋体" w:cs="Times New Roman"/>
        </w:rPr>
        <w:fldChar w:fldCharType="separate"/>
      </w:r>
      <w:r>
        <w:rPr>
          <w:rFonts w:ascii="Times New Roman" w:hAnsi="Times New Roman" w:eastAsia="黑体" w:cs="Times New Roman"/>
        </w:rPr>
        <w:t>参考文献</w:t>
      </w:r>
      <w:r>
        <w:tab/>
      </w:r>
      <w:r>
        <w:fldChar w:fldCharType="begin"/>
      </w:r>
      <w:r>
        <w:instrText xml:space="preserve"> PAGEREF _Toc1192 \h </w:instrText>
      </w:r>
      <w:r>
        <w:fldChar w:fldCharType="separate"/>
      </w:r>
      <w:r>
        <w:t>41</w:t>
      </w:r>
      <w:r>
        <w:fldChar w:fldCharType="end"/>
      </w:r>
      <w:r>
        <w:rPr>
          <w:rFonts w:ascii="Times New Roman" w:hAnsi="Times New Roman" w:eastAsia="宋体" w:cs="Times New Roman"/>
          <w:color w:val="000000"/>
        </w:rPr>
        <w:fldChar w:fldCharType="end"/>
      </w:r>
    </w:p>
    <w:p w14:paraId="6F318FDA">
      <w:pPr>
        <w:pStyle w:val="7"/>
        <w:tabs>
          <w:tab w:val="right" w:leader="dot" w:pos="9071"/>
        </w:tabs>
      </w:pPr>
      <w:r>
        <w:rPr>
          <w:rFonts w:ascii="Times New Roman" w:hAnsi="Times New Roman" w:eastAsia="宋体" w:cs="Times New Roman"/>
          <w:color w:val="000000"/>
        </w:rPr>
        <w:fldChar w:fldCharType="begin"/>
      </w:r>
      <w:r>
        <w:rPr>
          <w:rFonts w:ascii="Times New Roman" w:hAnsi="Times New Roman" w:eastAsia="宋体" w:cs="Times New Roman"/>
        </w:rPr>
        <w:instrText xml:space="preserve"> HYPERLINK \l _Toc7007 </w:instrText>
      </w:r>
      <w:r>
        <w:rPr>
          <w:rFonts w:ascii="Times New Roman" w:hAnsi="Times New Roman" w:eastAsia="宋体" w:cs="Times New Roman"/>
        </w:rPr>
        <w:fldChar w:fldCharType="separate"/>
      </w:r>
      <w:r>
        <w:rPr>
          <w:rFonts w:ascii="Times New Roman" w:hAnsi="Times New Roman" w:eastAsia="黑体" w:cs="Times New Roman"/>
        </w:rPr>
        <w:t>附录 A  文献检索与补充图</w:t>
      </w:r>
      <w:r>
        <w:tab/>
      </w:r>
      <w:r>
        <w:fldChar w:fldCharType="begin"/>
      </w:r>
      <w:r>
        <w:instrText xml:space="preserve"> PAGEREF _Toc7007 \h </w:instrText>
      </w:r>
      <w:r>
        <w:fldChar w:fldCharType="separate"/>
      </w:r>
      <w:r>
        <w:t>43</w:t>
      </w:r>
      <w:r>
        <w:fldChar w:fldCharType="end"/>
      </w:r>
      <w:r>
        <w:rPr>
          <w:rFonts w:ascii="Times New Roman" w:hAnsi="Times New Roman" w:eastAsia="宋体" w:cs="Times New Roman"/>
          <w:color w:val="000000"/>
        </w:rPr>
        <w:fldChar w:fldCharType="end"/>
      </w:r>
    </w:p>
    <w:p w14:paraId="4ECE0DF8">
      <w:pPr>
        <w:pStyle w:val="7"/>
        <w:tabs>
          <w:tab w:val="right" w:leader="dot" w:pos="9071"/>
        </w:tabs>
      </w:pPr>
      <w:r>
        <w:rPr>
          <w:rFonts w:ascii="Times New Roman" w:hAnsi="Times New Roman" w:eastAsia="宋体" w:cs="Times New Roman"/>
          <w:color w:val="000000"/>
        </w:rPr>
        <w:fldChar w:fldCharType="begin"/>
      </w:r>
      <w:r>
        <w:rPr>
          <w:rFonts w:ascii="Times New Roman" w:hAnsi="Times New Roman" w:eastAsia="宋体" w:cs="Times New Roman"/>
        </w:rPr>
        <w:instrText xml:space="preserve"> HYPERLINK \l _Toc3715 </w:instrText>
      </w:r>
      <w:r>
        <w:rPr>
          <w:rFonts w:ascii="Times New Roman" w:hAnsi="Times New Roman" w:eastAsia="宋体" w:cs="Times New Roman"/>
        </w:rPr>
        <w:fldChar w:fldCharType="separate"/>
      </w:r>
      <w:r>
        <w:rPr>
          <w:rFonts w:ascii="Times New Roman" w:hAnsi="Times New Roman" w:eastAsia="黑体" w:cs="Times New Roman"/>
        </w:rPr>
        <w:t>附录B 接口、指标与数据来源</w:t>
      </w:r>
      <w:r>
        <w:tab/>
      </w:r>
      <w:r>
        <w:fldChar w:fldCharType="begin"/>
      </w:r>
      <w:r>
        <w:instrText xml:space="preserve"> PAGEREF _Toc3715 \h </w:instrText>
      </w:r>
      <w:r>
        <w:fldChar w:fldCharType="separate"/>
      </w:r>
      <w:r>
        <w:t>44</w:t>
      </w:r>
      <w:r>
        <w:fldChar w:fldCharType="end"/>
      </w:r>
      <w:r>
        <w:rPr>
          <w:rFonts w:ascii="Times New Roman" w:hAnsi="Times New Roman" w:eastAsia="宋体" w:cs="Times New Roman"/>
          <w:color w:val="000000"/>
        </w:rPr>
        <w:fldChar w:fldCharType="end"/>
      </w:r>
    </w:p>
    <w:p w14:paraId="1ED9E403">
      <w:pPr>
        <w:pStyle w:val="8"/>
        <w:tabs>
          <w:tab w:val="right" w:leader="dot" w:pos="9071"/>
        </w:tabs>
      </w:pPr>
      <w:r>
        <w:rPr>
          <w:rFonts w:ascii="Times New Roman" w:hAnsi="Times New Roman" w:eastAsia="宋体" w:cs="Times New Roman"/>
          <w:color w:val="000000"/>
        </w:rPr>
        <w:fldChar w:fldCharType="begin"/>
      </w:r>
      <w:r>
        <w:rPr>
          <w:rFonts w:ascii="Times New Roman" w:hAnsi="Times New Roman" w:eastAsia="宋体" w:cs="Times New Roman"/>
        </w:rPr>
        <w:instrText xml:space="preserve"> HYPERLINK \l _Toc747 </w:instrText>
      </w:r>
      <w:r>
        <w:rPr>
          <w:rFonts w:ascii="Times New Roman" w:hAnsi="Times New Roman" w:eastAsia="宋体" w:cs="Times New Roman"/>
        </w:rPr>
        <w:fldChar w:fldCharType="separate"/>
      </w:r>
      <w:r>
        <w:rPr>
          <w:rFonts w:ascii="Times New Roman" w:hAnsi="Times New Roman" w:eastAsia="黑体" w:cs="Times New Roman"/>
        </w:rPr>
        <w:t>B.1  标准化接口定义</w:t>
      </w:r>
      <w:r>
        <w:tab/>
      </w:r>
      <w:r>
        <w:fldChar w:fldCharType="begin"/>
      </w:r>
      <w:r>
        <w:instrText xml:space="preserve"> PAGEREF _Toc747 \h </w:instrText>
      </w:r>
      <w:r>
        <w:fldChar w:fldCharType="separate"/>
      </w:r>
      <w:r>
        <w:t>44</w:t>
      </w:r>
      <w:r>
        <w:fldChar w:fldCharType="end"/>
      </w:r>
      <w:r>
        <w:rPr>
          <w:rFonts w:ascii="Times New Roman" w:hAnsi="Times New Roman" w:eastAsia="宋体" w:cs="Times New Roman"/>
          <w:color w:val="000000"/>
        </w:rPr>
        <w:fldChar w:fldCharType="end"/>
      </w:r>
    </w:p>
    <w:p w14:paraId="693B8B7A">
      <w:pPr>
        <w:pStyle w:val="8"/>
        <w:tabs>
          <w:tab w:val="right" w:leader="dot" w:pos="9071"/>
        </w:tabs>
      </w:pPr>
      <w:r>
        <w:rPr>
          <w:rFonts w:ascii="Times New Roman" w:hAnsi="Times New Roman" w:eastAsia="宋体" w:cs="Times New Roman"/>
          <w:color w:val="000000"/>
        </w:rPr>
        <w:fldChar w:fldCharType="begin"/>
      </w:r>
      <w:r>
        <w:rPr>
          <w:rFonts w:ascii="Times New Roman" w:hAnsi="Times New Roman" w:eastAsia="宋体" w:cs="Times New Roman"/>
        </w:rPr>
        <w:instrText xml:space="preserve"> HYPERLINK \l _Toc8485 </w:instrText>
      </w:r>
      <w:r>
        <w:rPr>
          <w:rFonts w:ascii="Times New Roman" w:hAnsi="Times New Roman" w:eastAsia="宋体" w:cs="Times New Roman"/>
        </w:rPr>
        <w:fldChar w:fldCharType="separate"/>
      </w:r>
      <w:r>
        <w:rPr>
          <w:rFonts w:ascii="Times New Roman" w:hAnsi="Times New Roman" w:eastAsia="黑体" w:cs="Times New Roman"/>
        </w:rPr>
        <w:t>B.2  指标计算方法</w:t>
      </w:r>
      <w:r>
        <w:tab/>
      </w:r>
      <w:r>
        <w:fldChar w:fldCharType="begin"/>
      </w:r>
      <w:r>
        <w:instrText xml:space="preserve"> PAGEREF _Toc8485 \h </w:instrText>
      </w:r>
      <w:r>
        <w:fldChar w:fldCharType="separate"/>
      </w:r>
      <w:r>
        <w:t>44</w:t>
      </w:r>
      <w:r>
        <w:fldChar w:fldCharType="end"/>
      </w:r>
      <w:r>
        <w:rPr>
          <w:rFonts w:ascii="Times New Roman" w:hAnsi="Times New Roman" w:eastAsia="宋体" w:cs="Times New Roman"/>
          <w:color w:val="000000"/>
        </w:rPr>
        <w:fldChar w:fldCharType="end"/>
      </w:r>
    </w:p>
    <w:p w14:paraId="29A864CE">
      <w:pPr>
        <w:pStyle w:val="8"/>
        <w:tabs>
          <w:tab w:val="right" w:leader="dot" w:pos="9071"/>
        </w:tabs>
      </w:pPr>
      <w:r>
        <w:rPr>
          <w:rFonts w:ascii="Times New Roman" w:hAnsi="Times New Roman" w:eastAsia="宋体" w:cs="Times New Roman"/>
          <w:color w:val="000000"/>
        </w:rPr>
        <w:fldChar w:fldCharType="begin"/>
      </w:r>
      <w:r>
        <w:rPr>
          <w:rFonts w:ascii="Times New Roman" w:hAnsi="Times New Roman" w:eastAsia="宋体" w:cs="Times New Roman"/>
        </w:rPr>
        <w:instrText xml:space="preserve"> HYPERLINK \l _Toc25936 </w:instrText>
      </w:r>
      <w:r>
        <w:rPr>
          <w:rFonts w:ascii="Times New Roman" w:hAnsi="Times New Roman" w:eastAsia="宋体" w:cs="Times New Roman"/>
        </w:rPr>
        <w:fldChar w:fldCharType="separate"/>
      </w:r>
      <w:r>
        <w:rPr>
          <w:rFonts w:ascii="Times New Roman" w:hAnsi="Times New Roman" w:eastAsia="黑体" w:cs="Times New Roman"/>
        </w:rPr>
        <w:t>B.3  数据来源说明</w:t>
      </w:r>
      <w:r>
        <w:tab/>
      </w:r>
      <w:r>
        <w:fldChar w:fldCharType="begin"/>
      </w:r>
      <w:r>
        <w:instrText xml:space="preserve"> PAGEREF _Toc25936 \h </w:instrText>
      </w:r>
      <w:r>
        <w:fldChar w:fldCharType="separate"/>
      </w:r>
      <w:r>
        <w:t>46</w:t>
      </w:r>
      <w:r>
        <w:fldChar w:fldCharType="end"/>
      </w:r>
      <w:r>
        <w:rPr>
          <w:rFonts w:ascii="Times New Roman" w:hAnsi="Times New Roman" w:eastAsia="宋体" w:cs="Times New Roman"/>
          <w:color w:val="000000"/>
        </w:rPr>
        <w:fldChar w:fldCharType="end"/>
      </w:r>
    </w:p>
    <w:p w14:paraId="55AB91F1">
      <w:pPr>
        <w:pStyle w:val="7"/>
        <w:tabs>
          <w:tab w:val="right" w:leader="dot" w:pos="9071"/>
        </w:tabs>
      </w:pPr>
      <w:r>
        <w:rPr>
          <w:rFonts w:ascii="Times New Roman" w:hAnsi="Times New Roman" w:eastAsia="宋体" w:cs="Times New Roman"/>
          <w:color w:val="000000"/>
        </w:rPr>
        <w:fldChar w:fldCharType="begin"/>
      </w:r>
      <w:r>
        <w:rPr>
          <w:rFonts w:ascii="Times New Roman" w:hAnsi="Times New Roman" w:eastAsia="宋体" w:cs="Times New Roman"/>
        </w:rPr>
        <w:instrText xml:space="preserve"> HYPERLINK \l _Toc18614 </w:instrText>
      </w:r>
      <w:r>
        <w:rPr>
          <w:rFonts w:ascii="Times New Roman" w:hAnsi="Times New Roman" w:eastAsia="宋体" w:cs="Times New Roman"/>
        </w:rPr>
        <w:fldChar w:fldCharType="separate"/>
      </w:r>
      <w:r>
        <w:rPr>
          <w:rFonts w:ascii="Times New Roman" w:hAnsi="Times New Roman" w:eastAsia="黑体" w:cs="Times New Roman"/>
        </w:rPr>
        <w:t>附录C 控制器实现与来源说明</w:t>
      </w:r>
      <w:r>
        <w:tab/>
      </w:r>
      <w:r>
        <w:fldChar w:fldCharType="begin"/>
      </w:r>
      <w:r>
        <w:instrText xml:space="preserve"> PAGEREF _Toc18614 \h </w:instrText>
      </w:r>
      <w:r>
        <w:fldChar w:fldCharType="separate"/>
      </w:r>
      <w:r>
        <w:t>46</w:t>
      </w:r>
      <w:r>
        <w:fldChar w:fldCharType="end"/>
      </w:r>
      <w:r>
        <w:rPr>
          <w:rFonts w:ascii="Times New Roman" w:hAnsi="Times New Roman" w:eastAsia="宋体" w:cs="Times New Roman"/>
          <w:color w:val="000000"/>
        </w:rPr>
        <w:fldChar w:fldCharType="end"/>
      </w:r>
    </w:p>
    <w:p w14:paraId="67C71F16">
      <w:pPr>
        <w:pStyle w:val="8"/>
        <w:tabs>
          <w:tab w:val="right" w:leader="dot" w:pos="9071"/>
        </w:tabs>
      </w:pPr>
      <w:r>
        <w:rPr>
          <w:rFonts w:ascii="Times New Roman" w:hAnsi="Times New Roman" w:eastAsia="宋体" w:cs="Times New Roman"/>
          <w:color w:val="000000"/>
        </w:rPr>
        <w:fldChar w:fldCharType="begin"/>
      </w:r>
      <w:r>
        <w:rPr>
          <w:rFonts w:ascii="Times New Roman" w:hAnsi="Times New Roman" w:eastAsia="宋体" w:cs="Times New Roman"/>
        </w:rPr>
        <w:instrText xml:space="preserve"> HYPERLINK \l _Toc10624 </w:instrText>
      </w:r>
      <w:r>
        <w:rPr>
          <w:rFonts w:ascii="Times New Roman" w:hAnsi="Times New Roman" w:eastAsia="宋体" w:cs="Times New Roman"/>
        </w:rPr>
        <w:fldChar w:fldCharType="separate"/>
      </w:r>
      <w:r>
        <w:rPr>
          <w:rFonts w:ascii="Times New Roman" w:hAnsi="Times New Roman" w:eastAsia="黑体" w:cs="Times New Roman"/>
        </w:rPr>
        <w:t>C.1 五种控制器的主要信号路径</w:t>
      </w:r>
      <w:r>
        <w:tab/>
      </w:r>
      <w:r>
        <w:fldChar w:fldCharType="begin"/>
      </w:r>
      <w:r>
        <w:instrText xml:space="preserve"> PAGEREF _Toc10624 \h </w:instrText>
      </w:r>
      <w:r>
        <w:fldChar w:fldCharType="separate"/>
      </w:r>
      <w:r>
        <w:t>46</w:t>
      </w:r>
      <w:r>
        <w:fldChar w:fldCharType="end"/>
      </w:r>
      <w:r>
        <w:rPr>
          <w:rFonts w:ascii="Times New Roman" w:hAnsi="Times New Roman" w:eastAsia="宋体" w:cs="Times New Roman"/>
          <w:color w:val="000000"/>
        </w:rPr>
        <w:fldChar w:fldCharType="end"/>
      </w:r>
    </w:p>
    <w:p w14:paraId="4C8EB045">
      <w:pPr>
        <w:pStyle w:val="8"/>
        <w:tabs>
          <w:tab w:val="right" w:leader="dot" w:pos="9071"/>
        </w:tabs>
      </w:pPr>
      <w:r>
        <w:rPr>
          <w:rFonts w:ascii="Times New Roman" w:hAnsi="Times New Roman" w:eastAsia="宋体" w:cs="Times New Roman"/>
          <w:color w:val="000000"/>
        </w:rPr>
        <w:fldChar w:fldCharType="begin"/>
      </w:r>
      <w:r>
        <w:rPr>
          <w:rFonts w:ascii="Times New Roman" w:hAnsi="Times New Roman" w:eastAsia="宋体" w:cs="Times New Roman"/>
        </w:rPr>
        <w:instrText xml:space="preserve"> HYPERLINK \l _Toc22048 </w:instrText>
      </w:r>
      <w:r>
        <w:rPr>
          <w:rFonts w:ascii="Times New Roman" w:hAnsi="Times New Roman" w:eastAsia="宋体" w:cs="Times New Roman"/>
        </w:rPr>
        <w:fldChar w:fldCharType="separate"/>
      </w:r>
      <w:r>
        <w:rPr>
          <w:rFonts w:ascii="Times New Roman" w:hAnsi="Times New Roman" w:eastAsia="黑体" w:cs="Times New Roman"/>
        </w:rPr>
        <w:t>C.2 CGHTE推力尺度估计与应用</w:t>
      </w:r>
      <w:r>
        <w:tab/>
      </w:r>
      <w:r>
        <w:fldChar w:fldCharType="begin"/>
      </w:r>
      <w:r>
        <w:instrText xml:space="preserve"> PAGEREF _Toc22048 \h </w:instrText>
      </w:r>
      <w:r>
        <w:fldChar w:fldCharType="separate"/>
      </w:r>
      <w:r>
        <w:t>47</w:t>
      </w:r>
      <w:r>
        <w:fldChar w:fldCharType="end"/>
      </w:r>
      <w:r>
        <w:rPr>
          <w:rFonts w:ascii="Times New Roman" w:hAnsi="Times New Roman" w:eastAsia="宋体" w:cs="Times New Roman"/>
          <w:color w:val="000000"/>
        </w:rPr>
        <w:fldChar w:fldCharType="end"/>
      </w:r>
    </w:p>
    <w:p w14:paraId="1544275A">
      <w:pPr>
        <w:pStyle w:val="8"/>
        <w:tabs>
          <w:tab w:val="right" w:leader="dot" w:pos="9071"/>
        </w:tabs>
      </w:pPr>
      <w:r>
        <w:rPr>
          <w:rFonts w:ascii="Times New Roman" w:hAnsi="Times New Roman" w:eastAsia="宋体" w:cs="Times New Roman"/>
          <w:color w:val="000000"/>
        </w:rPr>
        <w:fldChar w:fldCharType="begin"/>
      </w:r>
      <w:r>
        <w:rPr>
          <w:rFonts w:ascii="Times New Roman" w:hAnsi="Times New Roman" w:eastAsia="宋体" w:cs="Times New Roman"/>
        </w:rPr>
        <w:instrText xml:space="preserve"> HYPERLINK \l _Toc21366 </w:instrText>
      </w:r>
      <w:r>
        <w:rPr>
          <w:rFonts w:ascii="Times New Roman" w:hAnsi="Times New Roman" w:eastAsia="宋体" w:cs="Times New Roman"/>
        </w:rPr>
        <w:fldChar w:fldCharType="separate"/>
      </w:r>
      <w:r>
        <w:rPr>
          <w:rFonts w:ascii="Times New Roman" w:hAnsi="Times New Roman" w:eastAsia="黑体" w:cs="Times New Roman"/>
        </w:rPr>
        <w:t>C.3 RA-GCA-CGHTE的Sysblock实现</w:t>
      </w:r>
      <w:r>
        <w:tab/>
      </w:r>
      <w:r>
        <w:fldChar w:fldCharType="begin"/>
      </w:r>
      <w:r>
        <w:instrText xml:space="preserve"> PAGEREF _Toc21366 \h </w:instrText>
      </w:r>
      <w:r>
        <w:fldChar w:fldCharType="separate"/>
      </w:r>
      <w:r>
        <w:t>47</w:t>
      </w:r>
      <w:r>
        <w:fldChar w:fldCharType="end"/>
      </w:r>
      <w:r>
        <w:rPr>
          <w:rFonts w:ascii="Times New Roman" w:hAnsi="Times New Roman" w:eastAsia="宋体" w:cs="Times New Roman"/>
          <w:color w:val="000000"/>
        </w:rPr>
        <w:fldChar w:fldCharType="end"/>
      </w:r>
    </w:p>
    <w:p w14:paraId="52D07115">
      <w:pPr>
        <w:pStyle w:val="8"/>
        <w:tabs>
          <w:tab w:val="right" w:leader="dot" w:pos="9071"/>
        </w:tabs>
      </w:pPr>
      <w:r>
        <w:rPr>
          <w:rFonts w:ascii="Times New Roman" w:hAnsi="Times New Roman" w:eastAsia="宋体" w:cs="Times New Roman"/>
          <w:color w:val="000000"/>
        </w:rPr>
        <w:fldChar w:fldCharType="begin"/>
      </w:r>
      <w:r>
        <w:rPr>
          <w:rFonts w:ascii="Times New Roman" w:hAnsi="Times New Roman" w:eastAsia="宋体" w:cs="Times New Roman"/>
        </w:rPr>
        <w:instrText xml:space="preserve"> HYPERLINK \l _Toc16709 </w:instrText>
      </w:r>
      <w:r>
        <w:rPr>
          <w:rFonts w:ascii="Times New Roman" w:hAnsi="Times New Roman" w:eastAsia="宋体" w:cs="Times New Roman"/>
        </w:rPr>
        <w:fldChar w:fldCharType="separate"/>
      </w:r>
      <w:r>
        <w:rPr>
          <w:rFonts w:ascii="Times New Roman" w:hAnsi="Times New Roman" w:eastAsia="黑体" w:cs="Times New Roman"/>
        </w:rPr>
        <w:t>C.4 核心模块的端口和诊断信息</w:t>
      </w:r>
      <w:r>
        <w:tab/>
      </w:r>
      <w:r>
        <w:fldChar w:fldCharType="begin"/>
      </w:r>
      <w:r>
        <w:instrText xml:space="preserve"> PAGEREF _Toc16709 \h </w:instrText>
      </w:r>
      <w:r>
        <w:fldChar w:fldCharType="separate"/>
      </w:r>
      <w:r>
        <w:t>49</w:t>
      </w:r>
      <w:r>
        <w:fldChar w:fldCharType="end"/>
      </w:r>
      <w:r>
        <w:rPr>
          <w:rFonts w:ascii="Times New Roman" w:hAnsi="Times New Roman" w:eastAsia="宋体" w:cs="Times New Roman"/>
          <w:color w:val="000000"/>
        </w:rPr>
        <w:fldChar w:fldCharType="end"/>
      </w:r>
    </w:p>
    <w:p w14:paraId="0FB32D71">
      <w:pPr>
        <w:pStyle w:val="8"/>
        <w:tabs>
          <w:tab w:val="right" w:leader="dot" w:pos="9071"/>
        </w:tabs>
      </w:pPr>
      <w:r>
        <w:rPr>
          <w:rFonts w:ascii="Times New Roman" w:hAnsi="Times New Roman" w:eastAsia="宋体" w:cs="Times New Roman"/>
          <w:color w:val="000000"/>
        </w:rPr>
        <w:fldChar w:fldCharType="begin"/>
      </w:r>
      <w:r>
        <w:rPr>
          <w:rFonts w:ascii="Times New Roman" w:hAnsi="Times New Roman" w:eastAsia="宋体" w:cs="Times New Roman"/>
        </w:rPr>
        <w:instrText xml:space="preserve"> HYPERLINK \l _Toc14359 </w:instrText>
      </w:r>
      <w:r>
        <w:rPr>
          <w:rFonts w:ascii="Times New Roman" w:hAnsi="Times New Roman" w:eastAsia="宋体" w:cs="Times New Roman"/>
        </w:rPr>
        <w:fldChar w:fldCharType="separate"/>
      </w:r>
      <w:r>
        <w:rPr>
          <w:rFonts w:ascii="Times New Roman" w:hAnsi="Times New Roman" w:eastAsia="黑体" w:cs="Times New Roman"/>
        </w:rPr>
        <w:t>C.5 参考来源与团队实现</w:t>
      </w:r>
      <w:r>
        <w:tab/>
      </w:r>
      <w:r>
        <w:fldChar w:fldCharType="begin"/>
      </w:r>
      <w:r>
        <w:instrText xml:space="preserve"> PAGEREF _Toc14359 \h </w:instrText>
      </w:r>
      <w:r>
        <w:fldChar w:fldCharType="separate"/>
      </w:r>
      <w:r>
        <w:t>50</w:t>
      </w:r>
      <w:r>
        <w:fldChar w:fldCharType="end"/>
      </w:r>
      <w:r>
        <w:rPr>
          <w:rFonts w:ascii="Times New Roman" w:hAnsi="Times New Roman" w:eastAsia="宋体" w:cs="Times New Roman"/>
          <w:color w:val="000000"/>
        </w:rPr>
        <w:fldChar w:fldCharType="end"/>
      </w:r>
    </w:p>
    <w:p w14:paraId="672A87ED">
      <w:pPr>
        <w:pStyle w:val="7"/>
        <w:tabs>
          <w:tab w:val="right" w:leader="dot" w:pos="9071"/>
        </w:tabs>
      </w:pPr>
      <w:r>
        <w:rPr>
          <w:rFonts w:ascii="Times New Roman" w:hAnsi="Times New Roman" w:eastAsia="宋体" w:cs="Times New Roman"/>
          <w:color w:val="000000"/>
        </w:rPr>
        <w:fldChar w:fldCharType="begin"/>
      </w:r>
      <w:r>
        <w:rPr>
          <w:rFonts w:ascii="Times New Roman" w:hAnsi="Times New Roman" w:eastAsia="宋体" w:cs="Times New Roman"/>
        </w:rPr>
        <w:instrText xml:space="preserve"> HYPERLINK \l _Toc32214 </w:instrText>
      </w:r>
      <w:r>
        <w:rPr>
          <w:rFonts w:ascii="Times New Roman" w:hAnsi="Times New Roman" w:eastAsia="宋体" w:cs="Times New Roman"/>
        </w:rPr>
        <w:fldChar w:fldCharType="separate"/>
      </w:r>
      <w:r>
        <w:rPr>
          <w:rFonts w:ascii="Times New Roman" w:hAnsi="Times New Roman" w:eastAsia="黑体" w:cs="Times New Roman"/>
        </w:rPr>
        <w:t>附录D 复合参数与外扰测试补充</w:t>
      </w:r>
      <w:r>
        <w:tab/>
      </w:r>
      <w:r>
        <w:fldChar w:fldCharType="begin"/>
      </w:r>
      <w:r>
        <w:instrText xml:space="preserve"> PAGEREF _Toc32214 \h </w:instrText>
      </w:r>
      <w:r>
        <w:fldChar w:fldCharType="separate"/>
      </w:r>
      <w:r>
        <w:t>51</w:t>
      </w:r>
      <w:r>
        <w:fldChar w:fldCharType="end"/>
      </w:r>
      <w:r>
        <w:rPr>
          <w:rFonts w:ascii="Times New Roman" w:hAnsi="Times New Roman" w:eastAsia="宋体" w:cs="Times New Roman"/>
          <w:color w:val="000000"/>
        </w:rPr>
        <w:fldChar w:fldCharType="end"/>
      </w:r>
    </w:p>
    <w:p w14:paraId="7830398A">
      <w:pPr>
        <w:pStyle w:val="7"/>
        <w:tabs>
          <w:tab w:val="right" w:leader="dot" w:pos="9071"/>
        </w:tabs>
      </w:pPr>
      <w:r>
        <w:rPr>
          <w:rFonts w:ascii="Times New Roman" w:hAnsi="Times New Roman" w:eastAsia="宋体" w:cs="Times New Roman"/>
          <w:color w:val="000000"/>
        </w:rPr>
        <w:fldChar w:fldCharType="begin"/>
      </w:r>
      <w:r>
        <w:rPr>
          <w:rFonts w:ascii="Times New Roman" w:hAnsi="Times New Roman" w:eastAsia="宋体" w:cs="Times New Roman"/>
        </w:rPr>
        <w:instrText xml:space="preserve"> HYPERLINK \l _Toc11557 </w:instrText>
      </w:r>
      <w:r>
        <w:rPr>
          <w:rFonts w:ascii="Times New Roman" w:hAnsi="Times New Roman" w:eastAsia="宋体" w:cs="Times New Roman"/>
        </w:rPr>
        <w:fldChar w:fldCharType="separate"/>
      </w:r>
      <w:r>
        <w:rPr>
          <w:rFonts w:ascii="Times New Roman" w:hAnsi="Times New Roman" w:eastAsia="黑体" w:cs="Times New Roman"/>
          <w:i w:val="0"/>
        </w:rPr>
        <w:t>附录E 编队指标与PP-CBF诊断</w:t>
      </w:r>
      <w:r>
        <w:tab/>
      </w:r>
      <w:r>
        <w:fldChar w:fldCharType="begin"/>
      </w:r>
      <w:r>
        <w:instrText xml:space="preserve"> PAGEREF _Toc11557 \h </w:instrText>
      </w:r>
      <w:r>
        <w:fldChar w:fldCharType="separate"/>
      </w:r>
      <w:r>
        <w:t>52</w:t>
      </w:r>
      <w:r>
        <w:fldChar w:fldCharType="end"/>
      </w:r>
      <w:r>
        <w:rPr>
          <w:rFonts w:ascii="Times New Roman" w:hAnsi="Times New Roman" w:eastAsia="宋体" w:cs="Times New Roman"/>
          <w:color w:val="000000"/>
        </w:rPr>
        <w:fldChar w:fldCharType="end"/>
      </w:r>
    </w:p>
    <w:p w14:paraId="4919E576">
      <w:pPr>
        <w:pStyle w:val="8"/>
        <w:tabs>
          <w:tab w:val="right" w:leader="dot" w:pos="9071"/>
        </w:tabs>
      </w:pPr>
      <w:r>
        <w:rPr>
          <w:rFonts w:ascii="Times New Roman" w:hAnsi="Times New Roman" w:eastAsia="宋体" w:cs="Times New Roman"/>
          <w:color w:val="000000"/>
        </w:rPr>
        <w:fldChar w:fldCharType="begin"/>
      </w:r>
      <w:r>
        <w:rPr>
          <w:rFonts w:ascii="Times New Roman" w:hAnsi="Times New Roman" w:eastAsia="宋体" w:cs="Times New Roman"/>
        </w:rPr>
        <w:instrText xml:space="preserve"> HYPERLINK \l _Toc24575 </w:instrText>
      </w:r>
      <w:r>
        <w:rPr>
          <w:rFonts w:ascii="Times New Roman" w:hAnsi="Times New Roman" w:eastAsia="宋体" w:cs="Times New Roman"/>
        </w:rPr>
        <w:fldChar w:fldCharType="separate"/>
      </w:r>
      <w:r>
        <w:rPr>
          <w:rFonts w:ascii="Times New Roman" w:hAnsi="Times New Roman" w:eastAsia="黑体" w:cs="Times New Roman"/>
          <w:i w:val="0"/>
        </w:rPr>
        <w:t>E.1 质心与成员协同指标</w:t>
      </w:r>
      <w:r>
        <w:tab/>
      </w:r>
      <w:r>
        <w:fldChar w:fldCharType="begin"/>
      </w:r>
      <w:r>
        <w:instrText xml:space="preserve"> PAGEREF _Toc24575 \h </w:instrText>
      </w:r>
      <w:r>
        <w:fldChar w:fldCharType="separate"/>
      </w:r>
      <w:r>
        <w:t>52</w:t>
      </w:r>
      <w:r>
        <w:fldChar w:fldCharType="end"/>
      </w:r>
      <w:r>
        <w:rPr>
          <w:rFonts w:ascii="Times New Roman" w:hAnsi="Times New Roman" w:eastAsia="宋体" w:cs="Times New Roman"/>
          <w:color w:val="000000"/>
        </w:rPr>
        <w:fldChar w:fldCharType="end"/>
      </w:r>
    </w:p>
    <w:p w14:paraId="1023FFD6">
      <w:pPr>
        <w:pStyle w:val="8"/>
        <w:tabs>
          <w:tab w:val="right" w:leader="dot" w:pos="9071"/>
        </w:tabs>
      </w:pPr>
      <w:r>
        <w:rPr>
          <w:rFonts w:ascii="Times New Roman" w:hAnsi="Times New Roman" w:eastAsia="宋体" w:cs="Times New Roman"/>
          <w:color w:val="000000"/>
        </w:rPr>
        <w:fldChar w:fldCharType="begin"/>
      </w:r>
      <w:r>
        <w:rPr>
          <w:rFonts w:ascii="Times New Roman" w:hAnsi="Times New Roman" w:eastAsia="宋体" w:cs="Times New Roman"/>
        </w:rPr>
        <w:instrText xml:space="preserve"> HYPERLINK \l _Toc32206 </w:instrText>
      </w:r>
      <w:r>
        <w:rPr>
          <w:rFonts w:ascii="Times New Roman" w:hAnsi="Times New Roman" w:eastAsia="宋体" w:cs="Times New Roman"/>
        </w:rPr>
        <w:fldChar w:fldCharType="separate"/>
      </w:r>
      <w:r>
        <w:rPr>
          <w:rFonts w:ascii="Times New Roman" w:hAnsi="Times New Roman" w:eastAsia="黑体" w:cs="Times New Roman"/>
          <w:i w:val="0"/>
        </w:rPr>
        <w:t>E.2 安全监督介入诊断</w:t>
      </w:r>
      <w:r>
        <w:tab/>
      </w:r>
      <w:r>
        <w:fldChar w:fldCharType="begin"/>
      </w:r>
      <w:r>
        <w:instrText xml:space="preserve"> PAGEREF _Toc32206 \h </w:instrText>
      </w:r>
      <w:r>
        <w:fldChar w:fldCharType="separate"/>
      </w:r>
      <w:r>
        <w:t>52</w:t>
      </w:r>
      <w:r>
        <w:fldChar w:fldCharType="end"/>
      </w:r>
      <w:r>
        <w:rPr>
          <w:rFonts w:ascii="Times New Roman" w:hAnsi="Times New Roman" w:eastAsia="宋体" w:cs="Times New Roman"/>
          <w:color w:val="000000"/>
        </w:rPr>
        <w:fldChar w:fldCharType="end"/>
      </w:r>
    </w:p>
    <w:p w14:paraId="72A0C9F1">
      <w:pPr>
        <w:spacing w:before="0" w:after="0" w:line="360" w:lineRule="auto"/>
        <w:ind w:firstLine="480"/>
        <w:jc w:val="both"/>
      </w:pPr>
      <w:r>
        <w:rPr>
          <w:rFonts w:ascii="Times New Roman" w:hAnsi="Times New Roman" w:eastAsia="宋体" w:cs="Times New Roman"/>
          <w:color w:val="000000"/>
        </w:rPr>
        <w:fldChar w:fldCharType="end"/>
      </w:r>
    </w:p>
    <w:p w14:paraId="33E31F85">
      <w:pPr>
        <w:sectPr>
          <w:headerReference r:id="rId6" w:type="default"/>
          <w:footerReference r:id="rId7" w:type="default"/>
          <w:pgSz w:w="11906" w:h="16838"/>
          <w:pgMar w:top="1417" w:right="1361" w:bottom="1304" w:left="1474" w:header="680" w:footer="680" w:gutter="0"/>
          <w:pgNumType w:fmt="lowerRoman" w:start="1"/>
          <w:cols w:space="720" w:num="1"/>
          <w:vAlign w:val="top"/>
          <w:docGrid w:linePitch="360" w:charSpace="0"/>
        </w:sectPr>
      </w:pPr>
    </w:p>
    <w:p w14:paraId="128B405F">
      <w:pPr>
        <w:pStyle w:val="2"/>
        <w:keepNext/>
        <w:keepLines/>
      </w:pPr>
      <w:bookmarkStart w:id="0" w:name="_Toc9472"/>
      <w:r>
        <w:rPr>
          <w:rFonts w:ascii="Times New Roman" w:hAnsi="Times New Roman" w:eastAsia="黑体" w:cs="Times New Roman"/>
          <w:b/>
          <w:color w:val="000000"/>
          <w:sz w:val="32"/>
        </w:rPr>
        <w:t>第1章 赛题要求、研究现状与问题定义</w:t>
      </w:r>
      <w:bookmarkEnd w:id="0"/>
    </w:p>
    <w:p w14:paraId="6B7BC98B">
      <w:pPr>
        <w:widowControl/>
        <w:spacing w:before="0" w:after="0" w:line="360" w:lineRule="auto"/>
        <w:ind w:firstLine="480"/>
        <w:jc w:val="both"/>
      </w:pPr>
      <w:r>
        <w:rPr>
          <w:rFonts w:ascii="Times New Roman" w:hAnsi="Times New Roman" w:eastAsia="宋体" w:cs="Times New Roman"/>
          <w:b w:val="0"/>
          <w:i w:val="0"/>
          <w:color w:val="000000"/>
          <w:sz w:val="24"/>
        </w:rPr>
        <w:t>本章从四旋翼无人机的控制需求和赛题任务出发，说明精确跟踪、抗扰、执行器约束和多机安全等主要问题；随后介绍赛题任务与项目目标；最后结合2015-2025年相关研究，说明本文采用的几何控制、扰动抑制、控制分配和安全控制方法。具体控制律、参数和仿真结果将在后续章节展开。</w:t>
      </w:r>
    </w:p>
    <w:p w14:paraId="22632DEE">
      <w:pPr>
        <w:pStyle w:val="3"/>
        <w:keepNext/>
        <w:keepLines/>
      </w:pPr>
      <w:bookmarkStart w:id="1" w:name="_Toc16020"/>
      <w:r>
        <w:rPr>
          <w:rFonts w:ascii="Times New Roman" w:hAnsi="Times New Roman" w:eastAsia="黑体" w:cs="Times New Roman"/>
          <w:b/>
          <w:color w:val="000000"/>
          <w:sz w:val="26"/>
        </w:rPr>
        <w:t>1.1 应用背景与控制问题</w:t>
      </w:r>
      <w:bookmarkEnd w:id="1"/>
    </w:p>
    <w:p w14:paraId="4CB7950D">
      <w:pPr>
        <w:widowControl/>
        <w:spacing w:before="0" w:after="0" w:line="360" w:lineRule="auto"/>
        <w:ind w:firstLine="480"/>
        <w:jc w:val="both"/>
      </w:pPr>
      <w:r>
        <w:rPr>
          <w:rFonts w:ascii="Times New Roman" w:hAnsi="Times New Roman" w:eastAsia="宋体" w:cs="Times New Roman"/>
          <w:b w:val="0"/>
          <w:i w:val="0"/>
          <w:color w:val="000000"/>
          <w:sz w:val="24"/>
        </w:rPr>
        <w:t>四旋翼无人机具有垂直起降、定点悬停、机动灵活和部署成本较低等特点，广泛用于巡检、应急救援、物流运输、农业监测和空间测绘。在狭窄空间、阵风区域和多机协同场景中，控制系统需维持飞行稳定，并在任务时间与执行器能力限制下完成连续轨迹跟踪、姿态调整和安全约束协调。相关综述将飞行控制、扰动抑制、路径跟踪和自主协同列为旋翼无人系统的关键研究问题（Abdelmaksoud et al., 2020; de Oliveira Evald et al., 2024; Zuo et al., 2022）。</w:t>
      </w:r>
    </w:p>
    <w:p w14:paraId="786DE453">
      <w:pPr>
        <w:widowControl/>
        <w:spacing w:before="0" w:after="0" w:line="360" w:lineRule="auto"/>
        <w:ind w:firstLine="480"/>
        <w:jc w:val="both"/>
      </w:pPr>
      <w:r>
        <w:rPr>
          <w:rFonts w:ascii="Times New Roman" w:hAnsi="Times New Roman" w:eastAsia="宋体" w:cs="Times New Roman"/>
          <w:b w:val="0"/>
          <w:i w:val="0"/>
          <w:color w:val="000000"/>
          <w:sz w:val="24"/>
        </w:rPr>
        <w:t>从动力学看，四旋翼是典型的欠驱动、强耦合非线性系统。机体平移依赖总推力方向，推力方向随姿态变化，位置与姿态由此形成紧密耦合。质量、转动惯量和升力效能偏差会改变标称控制量与实际响应的关系，风场、外力和气动阻力会引入时变扰动。传感器噪声与延迟会降低状态反馈质量，电机上下限会约束控制量的可实现域（de Oliveira Evald et al., 2024; Faessler et al., 2018; Montañez-Molina &amp; Pliego-Jiménez, 2024）。这些因素要求控制器兼顾动态性能、稳态精度、鲁棒性和物理可实现性。</w:t>
      </w:r>
    </w:p>
    <w:p w14:paraId="35E20743">
      <w:pPr>
        <w:pStyle w:val="4"/>
        <w:keepNext/>
        <w:ind w:firstLine="0"/>
        <w:jc w:val="center"/>
      </w:pPr>
      <w:r>
        <w:rPr>
          <w:rFonts w:ascii="Times New Roman" w:hAnsi="Times New Roman" w:eastAsia="宋体" w:cs="Times New Roman"/>
          <w:b/>
          <w:i w:val="0"/>
          <w:color w:val="000000"/>
          <w:sz w:val="21"/>
        </w:rPr>
        <w:t>表 1-1  四旋翼位姿控制的主要问题</w:t>
      </w:r>
    </w:p>
    <w:tbl>
      <w:tblPr>
        <w:tblStyle w:val="10"/>
        <w:tblW w:w="0" w:type="auto"/>
        <w:jc w:val="center"/>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342"/>
        <w:gridCol w:w="2960"/>
        <w:gridCol w:w="2484"/>
        <w:gridCol w:w="2485"/>
      </w:tblGrid>
      <w:tr w14:paraId="039E3920">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blHeader/>
          <w:jc w:val="center"/>
        </w:trPr>
        <w:tc>
          <w:tcPr>
            <w:tcW w:w="0" w:type="auto"/>
            <w:tcBorders>
              <w:top w:val="single" w:color="000000" w:sz="12" w:space="0"/>
              <w:bottom w:val="single" w:color="000000" w:sz="4" w:space="0"/>
              <w:tl2br w:val="nil"/>
            </w:tcBorders>
            <w:shd w:val="clear" w:color="auto" w:fill="FFFFFF"/>
            <w:tcMar>
              <w:top w:w="90" w:type="dxa"/>
              <w:left w:w="100" w:type="dxa"/>
              <w:bottom w:w="90" w:type="dxa"/>
              <w:right w:w="100" w:type="dxa"/>
            </w:tcMar>
            <w:vAlign w:val="center"/>
          </w:tcPr>
          <w:p w14:paraId="66B5E043">
            <w:pPr>
              <w:spacing w:before="0" w:after="0" w:line="240" w:lineRule="auto"/>
              <w:ind w:firstLine="0"/>
              <w:jc w:val="center"/>
              <w:rPr>
                <w:b/>
                <w:bCs/>
              </w:rPr>
            </w:pPr>
            <w:r>
              <w:rPr>
                <w:rFonts w:ascii="Times New Roman" w:hAnsi="Times New Roman" w:eastAsia="宋体" w:cs="Times New Roman"/>
                <w:b/>
                <w:bCs/>
                <w:i w:val="0"/>
                <w:color w:val="000000"/>
                <w:sz w:val="19"/>
              </w:rPr>
              <w:t>问题类型</w:t>
            </w:r>
          </w:p>
        </w:tc>
        <w:tc>
          <w:tcPr>
            <w:tcW w:w="0" w:type="auto"/>
            <w:tcBorders>
              <w:top w:val="single" w:color="000000" w:sz="12" w:space="0"/>
              <w:bottom w:val="single" w:color="000000" w:sz="4" w:space="0"/>
            </w:tcBorders>
            <w:shd w:val="clear" w:color="auto" w:fill="FFFFFF"/>
            <w:tcMar>
              <w:top w:w="90" w:type="dxa"/>
              <w:left w:w="100" w:type="dxa"/>
              <w:bottom w:w="90" w:type="dxa"/>
              <w:right w:w="100" w:type="dxa"/>
            </w:tcMar>
            <w:vAlign w:val="center"/>
          </w:tcPr>
          <w:p w14:paraId="58FA604E">
            <w:pPr>
              <w:spacing w:before="0" w:after="0" w:line="240" w:lineRule="auto"/>
              <w:ind w:firstLine="0"/>
              <w:jc w:val="center"/>
              <w:rPr>
                <w:b/>
                <w:bCs/>
              </w:rPr>
            </w:pPr>
            <w:r>
              <w:rPr>
                <w:rFonts w:ascii="Times New Roman" w:hAnsi="Times New Roman" w:eastAsia="宋体" w:cs="Times New Roman"/>
                <w:b/>
                <w:bCs/>
                <w:i w:val="0"/>
                <w:color w:val="000000"/>
                <w:sz w:val="19"/>
              </w:rPr>
              <w:t>主要原因</w:t>
            </w:r>
          </w:p>
        </w:tc>
        <w:tc>
          <w:tcPr>
            <w:tcW w:w="0" w:type="auto"/>
            <w:tcBorders>
              <w:top w:val="single" w:color="000000" w:sz="12" w:space="0"/>
              <w:bottom w:val="single" w:color="000000" w:sz="4" w:space="0"/>
            </w:tcBorders>
            <w:shd w:val="clear" w:color="auto" w:fill="FFFFFF"/>
            <w:tcMar>
              <w:top w:w="90" w:type="dxa"/>
              <w:left w:w="100" w:type="dxa"/>
              <w:bottom w:w="90" w:type="dxa"/>
              <w:right w:w="100" w:type="dxa"/>
            </w:tcMar>
            <w:vAlign w:val="center"/>
          </w:tcPr>
          <w:p w14:paraId="735A17A9">
            <w:pPr>
              <w:spacing w:before="0" w:after="0" w:line="240" w:lineRule="auto"/>
              <w:ind w:firstLine="0"/>
              <w:jc w:val="center"/>
              <w:rPr>
                <w:b/>
                <w:bCs/>
              </w:rPr>
            </w:pPr>
            <w:r>
              <w:rPr>
                <w:rFonts w:ascii="Times New Roman" w:hAnsi="Times New Roman" w:eastAsia="宋体" w:cs="Times New Roman"/>
                <w:b/>
                <w:bCs/>
                <w:i w:val="0"/>
                <w:color w:val="000000"/>
                <w:sz w:val="19"/>
              </w:rPr>
              <w:t>常见表现</w:t>
            </w:r>
          </w:p>
        </w:tc>
        <w:tc>
          <w:tcPr>
            <w:tcW w:w="0" w:type="auto"/>
            <w:tcBorders>
              <w:top w:val="single" w:color="000000" w:sz="12" w:space="0"/>
              <w:bottom w:val="single" w:color="000000" w:sz="4" w:space="0"/>
            </w:tcBorders>
            <w:shd w:val="clear" w:color="auto" w:fill="FFFFFF"/>
            <w:tcMar>
              <w:top w:w="90" w:type="dxa"/>
              <w:left w:w="100" w:type="dxa"/>
              <w:bottom w:w="90" w:type="dxa"/>
              <w:right w:w="100" w:type="dxa"/>
            </w:tcMar>
            <w:vAlign w:val="center"/>
          </w:tcPr>
          <w:p w14:paraId="42DEC55B">
            <w:pPr>
              <w:spacing w:before="0" w:after="0" w:line="240" w:lineRule="auto"/>
              <w:ind w:firstLine="0"/>
              <w:jc w:val="center"/>
              <w:rPr>
                <w:b/>
                <w:bCs/>
              </w:rPr>
            </w:pPr>
            <w:r>
              <w:rPr>
                <w:rFonts w:ascii="Times New Roman" w:hAnsi="Times New Roman" w:eastAsia="宋体" w:cs="Times New Roman"/>
                <w:b/>
                <w:bCs/>
                <w:i w:val="0"/>
                <w:color w:val="000000"/>
                <w:sz w:val="19"/>
              </w:rPr>
              <w:t>验证内容</w:t>
            </w:r>
          </w:p>
        </w:tc>
      </w:tr>
      <w:tr w14:paraId="1F7150F9">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0" w:type="auto"/>
            <w:tcBorders>
              <w:top w:val="single" w:color="000000" w:sz="4" w:space="0"/>
            </w:tcBorders>
            <w:shd w:val="clear" w:color="auto" w:fill="FFFFFF"/>
            <w:tcMar>
              <w:top w:w="90" w:type="dxa"/>
              <w:left w:w="100" w:type="dxa"/>
              <w:bottom w:w="90" w:type="dxa"/>
              <w:right w:w="100" w:type="dxa"/>
            </w:tcMar>
            <w:vAlign w:val="center"/>
          </w:tcPr>
          <w:p w14:paraId="7B8ED95D">
            <w:pPr>
              <w:spacing w:before="0" w:after="0" w:line="240" w:lineRule="auto"/>
              <w:ind w:firstLine="0"/>
              <w:jc w:val="center"/>
              <w:rPr>
                <w:b w:val="0"/>
              </w:rPr>
            </w:pPr>
            <w:r>
              <w:rPr>
                <w:rFonts w:ascii="Times New Roman" w:hAnsi="Times New Roman" w:eastAsia="宋体" w:cs="Times New Roman"/>
                <w:b w:val="0"/>
                <w:i w:val="0"/>
                <w:color w:val="000000"/>
                <w:sz w:val="19"/>
              </w:rPr>
              <w:t>非线性与耦合</w:t>
            </w:r>
          </w:p>
        </w:tc>
        <w:tc>
          <w:tcPr>
            <w:tcW w:w="0" w:type="auto"/>
            <w:tcBorders>
              <w:top w:val="single" w:color="000000" w:sz="4" w:space="0"/>
            </w:tcBorders>
            <w:shd w:val="clear" w:color="auto" w:fill="FFFFFF"/>
            <w:tcMar>
              <w:top w:w="90" w:type="dxa"/>
              <w:left w:w="100" w:type="dxa"/>
              <w:bottom w:w="90" w:type="dxa"/>
              <w:right w:w="100" w:type="dxa"/>
            </w:tcMar>
            <w:vAlign w:val="center"/>
          </w:tcPr>
          <w:p w14:paraId="301B6EAE">
            <w:pPr>
              <w:spacing w:before="0" w:after="0" w:line="240" w:lineRule="auto"/>
              <w:ind w:firstLine="0"/>
              <w:jc w:val="center"/>
              <w:rPr>
                <w:b w:val="0"/>
              </w:rPr>
            </w:pPr>
            <w:r>
              <w:rPr>
                <w:rFonts w:ascii="Times New Roman" w:hAnsi="Times New Roman" w:eastAsia="宋体" w:cs="Times New Roman"/>
                <w:b w:val="0"/>
                <w:i w:val="0"/>
                <w:color w:val="000000"/>
                <w:sz w:val="19"/>
              </w:rPr>
              <w:t>推力方向受姿态约束，位置与姿态耦合</w:t>
            </w:r>
          </w:p>
        </w:tc>
        <w:tc>
          <w:tcPr>
            <w:tcW w:w="0" w:type="auto"/>
            <w:tcBorders>
              <w:top w:val="single" w:color="000000" w:sz="4" w:space="0"/>
            </w:tcBorders>
            <w:shd w:val="clear" w:color="auto" w:fill="FFFFFF"/>
            <w:tcMar>
              <w:top w:w="90" w:type="dxa"/>
              <w:left w:w="100" w:type="dxa"/>
              <w:bottom w:w="90" w:type="dxa"/>
              <w:right w:w="100" w:type="dxa"/>
            </w:tcMar>
            <w:vAlign w:val="center"/>
          </w:tcPr>
          <w:p w14:paraId="2B5C93DC">
            <w:pPr>
              <w:spacing w:before="0" w:after="0" w:line="240" w:lineRule="auto"/>
              <w:ind w:firstLine="0"/>
              <w:jc w:val="center"/>
              <w:rPr>
                <w:b w:val="0"/>
              </w:rPr>
            </w:pPr>
            <w:r>
              <w:rPr>
                <w:rFonts w:ascii="Times New Roman" w:hAnsi="Times New Roman" w:eastAsia="宋体" w:cs="Times New Roman"/>
                <w:b w:val="0"/>
                <w:i w:val="0"/>
                <w:color w:val="000000"/>
                <w:sz w:val="19"/>
              </w:rPr>
              <w:t>大机动误差放大、响应变慢</w:t>
            </w:r>
          </w:p>
        </w:tc>
        <w:tc>
          <w:tcPr>
            <w:tcW w:w="0" w:type="auto"/>
            <w:tcBorders>
              <w:top w:val="single" w:color="000000" w:sz="4" w:space="0"/>
            </w:tcBorders>
            <w:shd w:val="clear" w:color="auto" w:fill="FFFFFF"/>
            <w:tcMar>
              <w:top w:w="90" w:type="dxa"/>
              <w:left w:w="100" w:type="dxa"/>
              <w:bottom w:w="90" w:type="dxa"/>
              <w:right w:w="100" w:type="dxa"/>
            </w:tcMar>
            <w:vAlign w:val="center"/>
          </w:tcPr>
          <w:p w14:paraId="13EB80D9">
            <w:pPr>
              <w:spacing w:before="0" w:after="0" w:line="240" w:lineRule="auto"/>
              <w:ind w:firstLine="0"/>
              <w:jc w:val="center"/>
              <w:rPr>
                <w:b w:val="0"/>
              </w:rPr>
            </w:pPr>
            <w:r>
              <w:rPr>
                <w:rFonts w:ascii="Times New Roman" w:hAnsi="Times New Roman" w:eastAsia="宋体" w:cs="Times New Roman"/>
                <w:b w:val="0"/>
                <w:i w:val="0"/>
                <w:color w:val="000000"/>
                <w:sz w:val="19"/>
              </w:rPr>
              <w:t>阶跃、螺旋与8字轨迹</w:t>
            </w:r>
          </w:p>
        </w:tc>
      </w:tr>
      <w:tr w14:paraId="3A65141B">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0" w:type="auto"/>
            <w:shd w:val="clear" w:color="auto" w:fill="FFFFFF"/>
            <w:tcMar>
              <w:top w:w="90" w:type="dxa"/>
              <w:left w:w="100" w:type="dxa"/>
              <w:bottom w:w="90" w:type="dxa"/>
              <w:right w:w="100" w:type="dxa"/>
            </w:tcMar>
            <w:vAlign w:val="center"/>
          </w:tcPr>
          <w:p w14:paraId="78BBC7DA">
            <w:pPr>
              <w:spacing w:before="0" w:after="0" w:line="240" w:lineRule="auto"/>
              <w:ind w:firstLine="0"/>
              <w:jc w:val="center"/>
              <w:rPr>
                <w:b w:val="0"/>
              </w:rPr>
            </w:pPr>
            <w:r>
              <w:rPr>
                <w:rFonts w:ascii="Times New Roman" w:hAnsi="Times New Roman" w:eastAsia="宋体" w:cs="Times New Roman"/>
                <w:b w:val="0"/>
                <w:i w:val="0"/>
                <w:color w:val="000000"/>
                <w:sz w:val="19"/>
              </w:rPr>
              <w:t>模型不确定性</w:t>
            </w:r>
          </w:p>
        </w:tc>
        <w:tc>
          <w:tcPr>
            <w:tcW w:w="0" w:type="auto"/>
            <w:shd w:val="clear" w:color="auto" w:fill="FFFFFF"/>
            <w:tcMar>
              <w:top w:w="90" w:type="dxa"/>
              <w:left w:w="100" w:type="dxa"/>
              <w:bottom w:w="90" w:type="dxa"/>
              <w:right w:w="100" w:type="dxa"/>
            </w:tcMar>
            <w:vAlign w:val="center"/>
          </w:tcPr>
          <w:p w14:paraId="471A0555">
            <w:pPr>
              <w:spacing w:before="0" w:after="0" w:line="240" w:lineRule="auto"/>
              <w:ind w:firstLine="0"/>
              <w:jc w:val="center"/>
              <w:rPr>
                <w:b w:val="0"/>
              </w:rPr>
            </w:pPr>
            <w:r>
              <w:rPr>
                <w:rFonts w:ascii="Times New Roman" w:hAnsi="Times New Roman" w:eastAsia="宋体" w:cs="Times New Roman"/>
                <w:b w:val="0"/>
                <w:i w:val="0"/>
                <w:color w:val="000000"/>
                <w:sz w:val="19"/>
              </w:rPr>
              <w:t>质量、惯量和升力效能偏差</w:t>
            </w:r>
          </w:p>
        </w:tc>
        <w:tc>
          <w:tcPr>
            <w:tcW w:w="0" w:type="auto"/>
            <w:shd w:val="clear" w:color="auto" w:fill="FFFFFF"/>
            <w:tcMar>
              <w:top w:w="90" w:type="dxa"/>
              <w:left w:w="100" w:type="dxa"/>
              <w:bottom w:w="90" w:type="dxa"/>
              <w:right w:w="100" w:type="dxa"/>
            </w:tcMar>
            <w:vAlign w:val="center"/>
          </w:tcPr>
          <w:p w14:paraId="3E597748">
            <w:pPr>
              <w:spacing w:before="0" w:after="0" w:line="240" w:lineRule="auto"/>
              <w:ind w:firstLine="0"/>
              <w:jc w:val="center"/>
              <w:rPr>
                <w:b w:val="0"/>
              </w:rPr>
            </w:pPr>
            <w:r>
              <w:rPr>
                <w:rFonts w:ascii="Times New Roman" w:hAnsi="Times New Roman" w:eastAsia="宋体" w:cs="Times New Roman"/>
                <w:b w:val="0"/>
                <w:i w:val="0"/>
                <w:color w:val="000000"/>
                <w:sz w:val="19"/>
              </w:rPr>
              <w:t>稳态偏差、动态响应变化</w:t>
            </w:r>
          </w:p>
        </w:tc>
        <w:tc>
          <w:tcPr>
            <w:tcW w:w="0" w:type="auto"/>
            <w:shd w:val="clear" w:color="auto" w:fill="FFFFFF"/>
            <w:tcMar>
              <w:top w:w="90" w:type="dxa"/>
              <w:left w:w="100" w:type="dxa"/>
              <w:bottom w:w="90" w:type="dxa"/>
              <w:right w:w="100" w:type="dxa"/>
            </w:tcMar>
            <w:vAlign w:val="center"/>
          </w:tcPr>
          <w:p w14:paraId="61AC913D">
            <w:pPr>
              <w:spacing w:before="0" w:after="0" w:line="240" w:lineRule="auto"/>
              <w:ind w:firstLine="0"/>
              <w:jc w:val="center"/>
              <w:rPr>
                <w:b w:val="0"/>
              </w:rPr>
            </w:pPr>
            <w:r>
              <w:rPr>
                <w:rFonts w:ascii="Times New Roman" w:hAnsi="Times New Roman" w:eastAsia="宋体" w:cs="Times New Roman"/>
                <w:b w:val="0"/>
                <w:i w:val="0"/>
                <w:color w:val="000000"/>
                <w:sz w:val="19"/>
              </w:rPr>
              <w:t>参数摄动、标称参数对照</w:t>
            </w:r>
          </w:p>
        </w:tc>
      </w:tr>
      <w:tr w14:paraId="6590F424">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0" w:type="auto"/>
            <w:shd w:val="clear" w:color="auto" w:fill="FFFFFF"/>
            <w:tcMar>
              <w:top w:w="90" w:type="dxa"/>
              <w:left w:w="100" w:type="dxa"/>
              <w:bottom w:w="90" w:type="dxa"/>
              <w:right w:w="100" w:type="dxa"/>
            </w:tcMar>
            <w:vAlign w:val="center"/>
          </w:tcPr>
          <w:p w14:paraId="3E430981">
            <w:pPr>
              <w:spacing w:before="0" w:after="0" w:line="240" w:lineRule="auto"/>
              <w:ind w:firstLine="0"/>
              <w:jc w:val="center"/>
              <w:rPr>
                <w:b w:val="0"/>
              </w:rPr>
            </w:pPr>
            <w:r>
              <w:rPr>
                <w:rFonts w:ascii="Times New Roman" w:hAnsi="Times New Roman" w:eastAsia="宋体" w:cs="Times New Roman"/>
                <w:b w:val="0"/>
                <w:i w:val="0"/>
                <w:color w:val="000000"/>
                <w:sz w:val="19"/>
              </w:rPr>
              <w:t>外部扰动</w:t>
            </w:r>
          </w:p>
        </w:tc>
        <w:tc>
          <w:tcPr>
            <w:tcW w:w="0" w:type="auto"/>
            <w:shd w:val="clear" w:color="auto" w:fill="FFFFFF"/>
            <w:tcMar>
              <w:top w:w="90" w:type="dxa"/>
              <w:left w:w="100" w:type="dxa"/>
              <w:bottom w:w="90" w:type="dxa"/>
              <w:right w:w="100" w:type="dxa"/>
            </w:tcMar>
            <w:vAlign w:val="center"/>
          </w:tcPr>
          <w:p w14:paraId="0440905D">
            <w:pPr>
              <w:spacing w:before="0" w:after="0" w:line="240" w:lineRule="auto"/>
              <w:ind w:firstLine="0"/>
              <w:jc w:val="center"/>
              <w:rPr>
                <w:b w:val="0"/>
              </w:rPr>
            </w:pPr>
            <w:r>
              <w:rPr>
                <w:rFonts w:ascii="Times New Roman" w:hAnsi="Times New Roman" w:eastAsia="宋体" w:cs="Times New Roman"/>
                <w:b w:val="0"/>
                <w:i w:val="0"/>
                <w:color w:val="000000"/>
                <w:sz w:val="19"/>
              </w:rPr>
              <w:t>风、外力及未建模气动效应</w:t>
            </w:r>
          </w:p>
        </w:tc>
        <w:tc>
          <w:tcPr>
            <w:tcW w:w="0" w:type="auto"/>
            <w:shd w:val="clear" w:color="auto" w:fill="FFFFFF"/>
            <w:tcMar>
              <w:top w:w="90" w:type="dxa"/>
              <w:left w:w="100" w:type="dxa"/>
              <w:bottom w:w="90" w:type="dxa"/>
              <w:right w:w="100" w:type="dxa"/>
            </w:tcMar>
            <w:vAlign w:val="center"/>
          </w:tcPr>
          <w:p w14:paraId="13991AA4">
            <w:pPr>
              <w:spacing w:before="0" w:after="0" w:line="240" w:lineRule="auto"/>
              <w:ind w:firstLine="0"/>
              <w:jc w:val="center"/>
              <w:rPr>
                <w:b w:val="0"/>
              </w:rPr>
            </w:pPr>
            <w:r>
              <w:rPr>
                <w:rFonts w:ascii="Times New Roman" w:hAnsi="Times New Roman" w:eastAsia="宋体" w:cs="Times New Roman"/>
                <w:b w:val="0"/>
                <w:i w:val="0"/>
                <w:color w:val="000000"/>
                <w:sz w:val="19"/>
              </w:rPr>
              <w:t>轨迹偏移、姿态波动、恢复变慢</w:t>
            </w:r>
          </w:p>
        </w:tc>
        <w:tc>
          <w:tcPr>
            <w:tcW w:w="0" w:type="auto"/>
            <w:shd w:val="clear" w:color="auto" w:fill="FFFFFF"/>
            <w:tcMar>
              <w:top w:w="90" w:type="dxa"/>
              <w:left w:w="100" w:type="dxa"/>
              <w:bottom w:w="90" w:type="dxa"/>
              <w:right w:w="100" w:type="dxa"/>
            </w:tcMar>
            <w:vAlign w:val="center"/>
          </w:tcPr>
          <w:p w14:paraId="22EEFC5F">
            <w:pPr>
              <w:spacing w:before="0" w:after="0" w:line="240" w:lineRule="auto"/>
              <w:ind w:firstLine="0"/>
              <w:jc w:val="center"/>
              <w:rPr>
                <w:b w:val="0"/>
              </w:rPr>
            </w:pPr>
            <w:r>
              <w:rPr>
                <w:rFonts w:ascii="Times New Roman" w:hAnsi="Times New Roman" w:eastAsia="宋体" w:cs="Times New Roman"/>
                <w:b w:val="0"/>
                <w:i w:val="0"/>
                <w:color w:val="000000"/>
                <w:sz w:val="19"/>
              </w:rPr>
              <w:t>风扰、外扰、恢复时间</w:t>
            </w:r>
          </w:p>
        </w:tc>
      </w:tr>
      <w:tr w14:paraId="37ADE2B7">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0" w:type="auto"/>
            <w:shd w:val="clear" w:color="auto" w:fill="FFFFFF"/>
            <w:tcMar>
              <w:top w:w="90" w:type="dxa"/>
              <w:left w:w="100" w:type="dxa"/>
              <w:bottom w:w="90" w:type="dxa"/>
              <w:right w:w="100" w:type="dxa"/>
            </w:tcMar>
            <w:vAlign w:val="center"/>
          </w:tcPr>
          <w:p w14:paraId="147FE70B">
            <w:pPr>
              <w:spacing w:before="0" w:after="0" w:line="240" w:lineRule="auto"/>
              <w:ind w:firstLine="0"/>
              <w:jc w:val="center"/>
              <w:rPr>
                <w:b w:val="0"/>
              </w:rPr>
            </w:pPr>
            <w:r>
              <w:rPr>
                <w:rFonts w:ascii="Times New Roman" w:hAnsi="Times New Roman" w:eastAsia="宋体" w:cs="Times New Roman"/>
                <w:b w:val="0"/>
                <w:i w:val="0"/>
                <w:color w:val="000000"/>
                <w:sz w:val="19"/>
              </w:rPr>
              <w:t>感知与执行约束</w:t>
            </w:r>
          </w:p>
        </w:tc>
        <w:tc>
          <w:tcPr>
            <w:tcW w:w="0" w:type="auto"/>
            <w:shd w:val="clear" w:color="auto" w:fill="FFFFFF"/>
            <w:tcMar>
              <w:top w:w="90" w:type="dxa"/>
              <w:left w:w="100" w:type="dxa"/>
              <w:bottom w:w="90" w:type="dxa"/>
              <w:right w:w="100" w:type="dxa"/>
            </w:tcMar>
            <w:vAlign w:val="center"/>
          </w:tcPr>
          <w:p w14:paraId="54350DF5">
            <w:pPr>
              <w:spacing w:before="0" w:after="0" w:line="240" w:lineRule="auto"/>
              <w:ind w:firstLine="0"/>
              <w:jc w:val="center"/>
              <w:rPr>
                <w:b w:val="0"/>
              </w:rPr>
            </w:pPr>
            <w:r>
              <w:rPr>
                <w:rFonts w:ascii="Times New Roman" w:hAnsi="Times New Roman" w:eastAsia="宋体" w:cs="Times New Roman"/>
                <w:b w:val="0"/>
                <w:i w:val="0"/>
                <w:color w:val="000000"/>
                <w:sz w:val="19"/>
              </w:rPr>
              <w:t>噪声、延迟与电机限幅</w:t>
            </w:r>
          </w:p>
        </w:tc>
        <w:tc>
          <w:tcPr>
            <w:tcW w:w="0" w:type="auto"/>
            <w:shd w:val="clear" w:color="auto" w:fill="FFFFFF"/>
            <w:tcMar>
              <w:top w:w="90" w:type="dxa"/>
              <w:left w:w="100" w:type="dxa"/>
              <w:bottom w:w="90" w:type="dxa"/>
              <w:right w:w="100" w:type="dxa"/>
            </w:tcMar>
            <w:vAlign w:val="center"/>
          </w:tcPr>
          <w:p w14:paraId="5D8EE408">
            <w:pPr>
              <w:spacing w:before="0" w:after="0" w:line="240" w:lineRule="auto"/>
              <w:ind w:firstLine="0"/>
              <w:jc w:val="center"/>
              <w:rPr>
                <w:b w:val="0"/>
              </w:rPr>
            </w:pPr>
            <w:r>
              <w:rPr>
                <w:rFonts w:ascii="Times New Roman" w:hAnsi="Times New Roman" w:eastAsia="宋体" w:cs="Times New Roman"/>
                <w:b w:val="0"/>
                <w:i w:val="0"/>
                <w:color w:val="000000"/>
                <w:sz w:val="19"/>
              </w:rPr>
              <w:t>抖动、饱和、分配残差</w:t>
            </w:r>
          </w:p>
        </w:tc>
        <w:tc>
          <w:tcPr>
            <w:tcW w:w="0" w:type="auto"/>
            <w:shd w:val="clear" w:color="auto" w:fill="FFFFFF"/>
            <w:tcMar>
              <w:top w:w="90" w:type="dxa"/>
              <w:left w:w="100" w:type="dxa"/>
              <w:bottom w:w="90" w:type="dxa"/>
              <w:right w:w="100" w:type="dxa"/>
            </w:tcMar>
            <w:vAlign w:val="center"/>
          </w:tcPr>
          <w:p w14:paraId="03C07666">
            <w:pPr>
              <w:spacing w:before="0" w:after="0" w:line="240" w:lineRule="auto"/>
              <w:ind w:firstLine="0"/>
              <w:jc w:val="center"/>
              <w:rPr>
                <w:b w:val="0"/>
              </w:rPr>
            </w:pPr>
            <w:r>
              <w:rPr>
                <w:rFonts w:ascii="Times New Roman" w:hAnsi="Times New Roman" w:eastAsia="宋体" w:cs="Times New Roman"/>
                <w:b w:val="0"/>
                <w:i w:val="0"/>
                <w:color w:val="000000"/>
                <w:sz w:val="19"/>
              </w:rPr>
              <w:t>传感器退化、电机负荷</w:t>
            </w:r>
          </w:p>
        </w:tc>
      </w:tr>
      <w:tr w14:paraId="027EB505">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0" w:type="auto"/>
            <w:tcBorders>
              <w:bottom w:val="single" w:color="000000" w:sz="12" w:space="0"/>
            </w:tcBorders>
            <w:shd w:val="clear" w:color="auto" w:fill="FFFFFF"/>
            <w:tcMar>
              <w:top w:w="90" w:type="dxa"/>
              <w:left w:w="100" w:type="dxa"/>
              <w:bottom w:w="90" w:type="dxa"/>
              <w:right w:w="100" w:type="dxa"/>
            </w:tcMar>
            <w:vAlign w:val="center"/>
          </w:tcPr>
          <w:p w14:paraId="6736F89B">
            <w:pPr>
              <w:spacing w:before="0" w:after="0" w:line="240" w:lineRule="auto"/>
              <w:ind w:firstLine="0"/>
              <w:jc w:val="center"/>
              <w:rPr>
                <w:b w:val="0"/>
              </w:rPr>
            </w:pPr>
            <w:r>
              <w:rPr>
                <w:rFonts w:ascii="Times New Roman" w:hAnsi="Times New Roman" w:eastAsia="宋体" w:cs="Times New Roman"/>
                <w:b w:val="0"/>
                <w:i w:val="0"/>
                <w:color w:val="000000"/>
                <w:sz w:val="19"/>
              </w:rPr>
              <w:t>多机协同安全</w:t>
            </w:r>
          </w:p>
        </w:tc>
        <w:tc>
          <w:tcPr>
            <w:tcW w:w="0" w:type="auto"/>
            <w:tcBorders>
              <w:bottom w:val="single" w:color="000000" w:sz="12" w:space="0"/>
            </w:tcBorders>
            <w:shd w:val="clear" w:color="auto" w:fill="FFFFFF"/>
            <w:tcMar>
              <w:top w:w="90" w:type="dxa"/>
              <w:left w:w="100" w:type="dxa"/>
              <w:bottom w:w="90" w:type="dxa"/>
              <w:right w:w="100" w:type="dxa"/>
            </w:tcMar>
            <w:vAlign w:val="center"/>
          </w:tcPr>
          <w:p w14:paraId="5DC946BB">
            <w:pPr>
              <w:spacing w:before="0" w:after="0" w:line="240" w:lineRule="auto"/>
              <w:ind w:firstLine="0"/>
              <w:jc w:val="center"/>
              <w:rPr>
                <w:b w:val="0"/>
              </w:rPr>
            </w:pPr>
            <w:r>
              <w:rPr>
                <w:rFonts w:ascii="Times New Roman" w:hAnsi="Times New Roman" w:eastAsia="宋体" w:cs="Times New Roman"/>
                <w:b w:val="0"/>
                <w:i w:val="0"/>
                <w:color w:val="000000"/>
                <w:sz w:val="19"/>
              </w:rPr>
              <w:t>队形目标与碰撞约束竞争</w:t>
            </w:r>
          </w:p>
        </w:tc>
        <w:tc>
          <w:tcPr>
            <w:tcW w:w="0" w:type="auto"/>
            <w:tcBorders>
              <w:bottom w:val="single" w:color="000000" w:sz="12" w:space="0"/>
            </w:tcBorders>
            <w:shd w:val="clear" w:color="auto" w:fill="FFFFFF"/>
            <w:tcMar>
              <w:top w:w="90" w:type="dxa"/>
              <w:left w:w="100" w:type="dxa"/>
              <w:bottom w:w="90" w:type="dxa"/>
              <w:right w:w="100" w:type="dxa"/>
            </w:tcMar>
            <w:vAlign w:val="center"/>
          </w:tcPr>
          <w:p w14:paraId="023CE330">
            <w:pPr>
              <w:spacing w:before="0" w:after="0" w:line="240" w:lineRule="auto"/>
              <w:ind w:firstLine="0"/>
              <w:jc w:val="center"/>
              <w:rPr>
                <w:b w:val="0"/>
              </w:rPr>
            </w:pPr>
            <w:r>
              <w:rPr>
                <w:rFonts w:ascii="Times New Roman" w:hAnsi="Times New Roman" w:eastAsia="宋体" w:cs="Times New Roman"/>
                <w:b w:val="0"/>
                <w:i w:val="0"/>
                <w:color w:val="000000"/>
                <w:sz w:val="19"/>
              </w:rPr>
              <w:t>跟踪正常但最小间距不足</w:t>
            </w:r>
          </w:p>
        </w:tc>
        <w:tc>
          <w:tcPr>
            <w:tcW w:w="0" w:type="auto"/>
            <w:tcBorders>
              <w:bottom w:val="single" w:color="000000" w:sz="12" w:space="0"/>
            </w:tcBorders>
            <w:shd w:val="clear" w:color="auto" w:fill="FFFFFF"/>
            <w:tcMar>
              <w:top w:w="90" w:type="dxa"/>
              <w:left w:w="100" w:type="dxa"/>
              <w:bottom w:w="90" w:type="dxa"/>
              <w:right w:w="100" w:type="dxa"/>
            </w:tcMar>
            <w:vAlign w:val="center"/>
          </w:tcPr>
          <w:p w14:paraId="7856EB50">
            <w:pPr>
              <w:spacing w:before="0" w:after="0" w:line="240" w:lineRule="auto"/>
              <w:ind w:firstLine="0"/>
              <w:jc w:val="center"/>
              <w:rPr>
                <w:b w:val="0"/>
              </w:rPr>
            </w:pPr>
            <w:r>
              <w:rPr>
                <w:rFonts w:ascii="Times New Roman" w:hAnsi="Times New Roman" w:eastAsia="宋体" w:cs="Times New Roman"/>
                <w:b w:val="0"/>
                <w:i w:val="0"/>
                <w:color w:val="000000"/>
                <w:sz w:val="19"/>
              </w:rPr>
              <w:t>队形误差、最小间距、跟踪代价</w:t>
            </w:r>
          </w:p>
        </w:tc>
      </w:tr>
    </w:tbl>
    <w:p w14:paraId="195657FA">
      <w:pPr>
        <w:spacing w:after="0"/>
      </w:pPr>
    </w:p>
    <w:p w14:paraId="7EFCA413">
      <w:pPr>
        <w:widowControl/>
        <w:spacing w:before="0" w:after="0" w:line="360" w:lineRule="auto"/>
        <w:ind w:firstLine="480"/>
        <w:jc w:val="both"/>
      </w:pPr>
      <w:r>
        <w:rPr>
          <w:rFonts w:ascii="Times New Roman" w:hAnsi="Times New Roman" w:eastAsia="宋体" w:cs="Times New Roman"/>
          <w:b w:val="0"/>
          <w:i w:val="0"/>
          <w:color w:val="000000"/>
          <w:sz w:val="24"/>
        </w:rPr>
        <w:t>表1-1将位姿控制难点归纳为五类。超调量和调节时间反映瞬态响应，稳态误差和均方根误差反映长期跟踪，扰动恢复和参数摄动用于评价模型变化时的性能，电机与安全约束用于判断控制量能否实际执行。后续实验依次评价基准性能、鲁棒性、输入约束和编队安全。</w:t>
      </w:r>
    </w:p>
    <w:p w14:paraId="6DBFCE0C">
      <w:pPr>
        <w:widowControl/>
        <w:spacing w:before="0" w:after="0" w:line="360" w:lineRule="auto"/>
        <w:ind w:firstLine="480"/>
        <w:jc w:val="both"/>
      </w:pPr>
      <w:r>
        <w:rPr>
          <w:rFonts w:ascii="Times New Roman" w:hAnsi="Times New Roman" w:eastAsia="宋体" w:cs="Times New Roman"/>
          <w:b w:val="0"/>
          <w:i w:val="0"/>
          <w:color w:val="000000"/>
          <w:sz w:val="24"/>
        </w:rPr>
        <w:t>多机任务增加了协同与安全两个控制层次。空中集群需要在三维空间内同时处理轨迹规划、信息交换、队形保持和碰撞避免，单机控制误差会通过相对位置关系传播到编队性能（Chung et al., 2018）。控制障碍函数可把安全集合的前向不变性转化为控制输入约束，并与性能目标在实时优化中协调（Ames et al., 2017; Wu &amp; Sreenath, 2015）。低层控制负责单机跟踪，上层安全机制约束相对运动，两层功能需分别验证。</w:t>
      </w:r>
    </w:p>
    <w:p w14:paraId="0E017B5A">
      <w:pPr>
        <w:pStyle w:val="3"/>
        <w:keepNext/>
        <w:keepLines/>
      </w:pPr>
      <w:bookmarkStart w:id="2" w:name="_Toc27506"/>
      <w:r>
        <w:rPr>
          <w:rFonts w:ascii="Times New Roman" w:hAnsi="Times New Roman" w:eastAsia="黑体" w:cs="Times New Roman"/>
          <w:b/>
          <w:color w:val="000000"/>
          <w:sz w:val="26"/>
        </w:rPr>
        <w:t>1.2 赛题任务、项目目标与主要问题</w:t>
      </w:r>
      <w:bookmarkEnd w:id="2"/>
    </w:p>
    <w:p w14:paraId="2CACE32D">
      <w:pPr>
        <w:widowControl/>
        <w:spacing w:before="0" w:after="0" w:line="360" w:lineRule="auto"/>
        <w:ind w:firstLine="480"/>
        <w:jc w:val="both"/>
      </w:pPr>
      <w:r>
        <w:rPr>
          <w:rFonts w:ascii="Times New Roman" w:hAnsi="Times New Roman" w:eastAsia="宋体" w:cs="Times New Roman"/>
          <w:b w:val="0"/>
          <w:i w:val="0"/>
          <w:color w:val="000000"/>
          <w:sz w:val="24"/>
        </w:rPr>
        <w:t>A8赛题以MWORKS四旋翼模型和仿真环境为基础。参赛团队需分析官方级联比例-积分-微分控制基线（Official Cascaded Proportional-Integral-Derivative Control Baseline, PID）在螺旋爬升、8字轨迹等场景中的表现，在MWORKS.Sysblock中实现改进算法并接入MWORKS.Sysplorer，使用MWORKS.Syslab定量比较；同时验证参数变化、扰动和多机编队控制。评分包括功能性、创新性、规范性和完整性。表1-2列出主要任务及其在报告中的位置。</w:t>
      </w:r>
    </w:p>
    <w:p w14:paraId="28FB9160">
      <w:pPr>
        <w:widowControl/>
        <w:spacing w:before="0" w:after="0" w:line="360" w:lineRule="auto"/>
        <w:ind w:firstLine="480"/>
        <w:jc w:val="both"/>
      </w:pPr>
      <w:r>
        <w:rPr>
          <w:rFonts w:ascii="Times New Roman" w:hAnsi="Times New Roman" w:eastAsia="宋体" w:cs="Times New Roman"/>
          <w:b w:val="0"/>
          <w:i w:val="0"/>
          <w:color w:val="000000"/>
          <w:sz w:val="24"/>
        </w:rPr>
        <w:t>本文比较五个低层控制对象。前述PID作为改进前基线；约化姿态几何控制基础构型（Baseline Reduced-Attitude Geometric Control Configuration, RA-GCA/Base）用于结构消融；置信门控悬停推力估计增强的约化姿态几何控制与约束感知分配算法（Reduced-Attitude Geometric Control with Constraint-Aware Allocation Enhanced by Confidence-Gated Hover-Thrust Estimation, RA-GCA-CGHTE）为主算法。</w:t>
      </w:r>
    </w:p>
    <w:p w14:paraId="204E41E8">
      <w:pPr>
        <w:widowControl/>
        <w:spacing w:before="0" w:after="0" w:line="360" w:lineRule="auto"/>
        <w:ind w:firstLine="480"/>
        <w:jc w:val="both"/>
      </w:pPr>
      <w:r>
        <w:rPr>
          <w:rFonts w:ascii="Times New Roman" w:hAnsi="Times New Roman" w:eastAsia="宋体" w:cs="Times New Roman"/>
          <w:b w:val="0"/>
          <w:i w:val="0"/>
          <w:color w:val="000000"/>
          <w:sz w:val="24"/>
        </w:rPr>
        <w:t>控制权限优先主动扰动抑制控制（Control-Authority-Prioritized Active Disturbance Rejection Control, CAP-ADRC）和指令代理增量非线性动态逆控制（Command-Proxy Incremental Nonlinear Dynamic Inversion Control, CP-INDI）分别作为主动抗扰与增量控制对照。五个对象只在相同测试条件下比较。</w:t>
      </w:r>
    </w:p>
    <w:p w14:paraId="129DD82F">
      <w:pPr>
        <w:widowControl/>
        <w:spacing w:before="0" w:after="0" w:line="360" w:lineRule="auto"/>
        <w:ind w:firstLine="480"/>
        <w:jc w:val="both"/>
      </w:pPr>
      <w:r>
        <w:rPr>
          <w:rFonts w:ascii="Times New Roman" w:hAnsi="Times New Roman" w:eastAsia="宋体" w:cs="Times New Roman"/>
          <w:b w:val="0"/>
          <w:i w:val="0"/>
          <w:color w:val="000000"/>
          <w:sz w:val="24"/>
        </w:rPr>
        <w:t>预测型成对投影控制障碍函数安全监督器（Predictive Pairwise-Projection Control Barrier Function Safety Supervisor, PP-CBF）位于三套RA-GCA-CGHTE低层控制器之上，用于三机安全距离控制。悬停推力估计增强的作用通过单独的消融实验分析。</w:t>
      </w:r>
    </w:p>
    <w:p w14:paraId="31EF76BD">
      <w:pPr>
        <w:pStyle w:val="4"/>
        <w:keepNext/>
        <w:ind w:firstLine="0"/>
        <w:jc w:val="center"/>
      </w:pPr>
      <w:r>
        <w:rPr>
          <w:rFonts w:ascii="Times New Roman" w:hAnsi="Times New Roman" w:eastAsia="宋体" w:cs="Times New Roman"/>
          <w:b/>
          <w:i w:val="0"/>
          <w:color w:val="000000"/>
          <w:sz w:val="21"/>
        </w:rPr>
        <w:t>表 1-2  赛题主要任务与报告内容</w:t>
      </w:r>
    </w:p>
    <w:tbl>
      <w:tblPr>
        <w:tblStyle w:val="10"/>
        <w:tblW w:w="0" w:type="auto"/>
        <w:jc w:val="center"/>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960"/>
        <w:gridCol w:w="2480"/>
        <w:gridCol w:w="3225"/>
        <w:gridCol w:w="1625"/>
      </w:tblGrid>
      <w:tr w14:paraId="56038111">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blHeader/>
          <w:jc w:val="center"/>
        </w:trPr>
        <w:tc>
          <w:tcPr>
            <w:tcW w:w="0" w:type="auto"/>
            <w:tcBorders>
              <w:top w:val="single" w:color="000000" w:sz="12" w:space="0"/>
              <w:bottom w:val="single" w:color="000000" w:sz="4" w:space="0"/>
              <w:tl2br w:val="nil"/>
            </w:tcBorders>
            <w:shd w:val="clear" w:color="auto" w:fill="FFFFFF"/>
            <w:tcMar>
              <w:top w:w="90" w:type="dxa"/>
              <w:left w:w="100" w:type="dxa"/>
              <w:bottom w:w="90" w:type="dxa"/>
              <w:right w:w="100" w:type="dxa"/>
            </w:tcMar>
            <w:vAlign w:val="center"/>
          </w:tcPr>
          <w:p w14:paraId="77F6BA9E">
            <w:pPr>
              <w:spacing w:before="0" w:after="0" w:line="240" w:lineRule="auto"/>
              <w:ind w:firstLine="0"/>
              <w:jc w:val="center"/>
              <w:rPr>
                <w:b/>
                <w:bCs/>
              </w:rPr>
            </w:pPr>
            <w:r>
              <w:rPr>
                <w:rFonts w:ascii="Times New Roman" w:hAnsi="Times New Roman" w:eastAsia="宋体" w:cs="Times New Roman"/>
                <w:b/>
                <w:bCs/>
                <w:i w:val="0"/>
                <w:color w:val="000000"/>
                <w:sz w:val="19"/>
              </w:rPr>
              <w:t>任务</w:t>
            </w:r>
          </w:p>
        </w:tc>
        <w:tc>
          <w:tcPr>
            <w:tcW w:w="0" w:type="auto"/>
            <w:tcBorders>
              <w:top w:val="single" w:color="000000" w:sz="12" w:space="0"/>
              <w:bottom w:val="single" w:color="000000" w:sz="4" w:space="0"/>
            </w:tcBorders>
            <w:shd w:val="clear" w:color="auto" w:fill="FFFFFF"/>
            <w:tcMar>
              <w:top w:w="90" w:type="dxa"/>
              <w:left w:w="100" w:type="dxa"/>
              <w:bottom w:w="90" w:type="dxa"/>
              <w:right w:w="100" w:type="dxa"/>
            </w:tcMar>
            <w:vAlign w:val="center"/>
          </w:tcPr>
          <w:p w14:paraId="71CD391C">
            <w:pPr>
              <w:spacing w:before="0" w:after="0" w:line="240" w:lineRule="auto"/>
              <w:ind w:firstLine="0"/>
              <w:jc w:val="center"/>
              <w:rPr>
                <w:b/>
                <w:bCs/>
              </w:rPr>
            </w:pPr>
            <w:r>
              <w:rPr>
                <w:rFonts w:ascii="Times New Roman" w:hAnsi="Times New Roman" w:eastAsia="宋体" w:cs="Times New Roman"/>
                <w:b/>
                <w:bCs/>
                <w:i w:val="0"/>
                <w:color w:val="000000"/>
                <w:sz w:val="19"/>
              </w:rPr>
              <w:t>主要问题</w:t>
            </w:r>
          </w:p>
        </w:tc>
        <w:tc>
          <w:tcPr>
            <w:tcW w:w="0" w:type="auto"/>
            <w:tcBorders>
              <w:top w:val="single" w:color="000000" w:sz="12" w:space="0"/>
              <w:bottom w:val="single" w:color="000000" w:sz="4" w:space="0"/>
            </w:tcBorders>
            <w:shd w:val="clear" w:color="auto" w:fill="FFFFFF"/>
            <w:tcMar>
              <w:top w:w="90" w:type="dxa"/>
              <w:left w:w="100" w:type="dxa"/>
              <w:bottom w:w="90" w:type="dxa"/>
              <w:right w:w="100" w:type="dxa"/>
            </w:tcMar>
            <w:vAlign w:val="center"/>
          </w:tcPr>
          <w:p w14:paraId="560DC70E">
            <w:pPr>
              <w:spacing w:before="0" w:after="0" w:line="240" w:lineRule="auto"/>
              <w:ind w:firstLine="0"/>
              <w:jc w:val="center"/>
              <w:rPr>
                <w:b/>
                <w:bCs/>
              </w:rPr>
            </w:pPr>
            <w:r>
              <w:rPr>
                <w:rFonts w:ascii="Times New Roman" w:hAnsi="Times New Roman" w:eastAsia="宋体" w:cs="Times New Roman"/>
                <w:b/>
                <w:bCs/>
                <w:i w:val="0"/>
                <w:color w:val="000000"/>
                <w:sz w:val="19"/>
              </w:rPr>
              <w:t>实现与验证</w:t>
            </w:r>
          </w:p>
        </w:tc>
        <w:tc>
          <w:tcPr>
            <w:tcW w:w="0" w:type="auto"/>
            <w:tcBorders>
              <w:top w:val="single" w:color="000000" w:sz="12" w:space="0"/>
              <w:bottom w:val="single" w:color="000000" w:sz="4" w:space="0"/>
            </w:tcBorders>
            <w:shd w:val="clear" w:color="auto" w:fill="FFFFFF"/>
            <w:tcMar>
              <w:top w:w="90" w:type="dxa"/>
              <w:left w:w="100" w:type="dxa"/>
              <w:bottom w:w="90" w:type="dxa"/>
              <w:right w:w="100" w:type="dxa"/>
            </w:tcMar>
            <w:vAlign w:val="center"/>
          </w:tcPr>
          <w:p w14:paraId="2FC39EF4">
            <w:pPr>
              <w:spacing w:before="0" w:after="0" w:line="240" w:lineRule="auto"/>
              <w:ind w:firstLine="0"/>
              <w:jc w:val="center"/>
              <w:rPr>
                <w:b/>
                <w:bCs/>
              </w:rPr>
            </w:pPr>
            <w:r>
              <w:rPr>
                <w:rFonts w:ascii="Times New Roman" w:hAnsi="Times New Roman" w:eastAsia="宋体" w:cs="Times New Roman"/>
                <w:b/>
                <w:bCs/>
                <w:i w:val="0"/>
                <w:color w:val="000000"/>
                <w:sz w:val="19"/>
              </w:rPr>
              <w:t>相关章节</w:t>
            </w:r>
          </w:p>
        </w:tc>
      </w:tr>
      <w:tr w14:paraId="75CC67C3">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0" w:type="auto"/>
            <w:tcBorders>
              <w:top w:val="single" w:color="000000" w:sz="4" w:space="0"/>
            </w:tcBorders>
            <w:shd w:val="clear" w:color="auto" w:fill="FFFFFF"/>
            <w:tcMar>
              <w:top w:w="90" w:type="dxa"/>
              <w:left w:w="100" w:type="dxa"/>
              <w:bottom w:w="90" w:type="dxa"/>
              <w:right w:w="100" w:type="dxa"/>
            </w:tcMar>
            <w:vAlign w:val="center"/>
          </w:tcPr>
          <w:p w14:paraId="4EAC75B0">
            <w:pPr>
              <w:spacing w:before="0" w:after="0" w:line="240" w:lineRule="auto"/>
              <w:ind w:firstLine="0"/>
              <w:jc w:val="center"/>
              <w:rPr>
                <w:b w:val="0"/>
              </w:rPr>
            </w:pPr>
            <w:r>
              <w:rPr>
                <w:rFonts w:ascii="Times New Roman" w:hAnsi="Times New Roman" w:eastAsia="宋体" w:cs="Times New Roman"/>
                <w:b w:val="0"/>
                <w:i w:val="0"/>
                <w:color w:val="000000"/>
                <w:sz w:val="19"/>
              </w:rPr>
              <w:t>PID基线</w:t>
            </w:r>
          </w:p>
        </w:tc>
        <w:tc>
          <w:tcPr>
            <w:tcW w:w="0" w:type="auto"/>
            <w:tcBorders>
              <w:top w:val="single" w:color="000000" w:sz="4" w:space="0"/>
            </w:tcBorders>
            <w:shd w:val="clear" w:color="auto" w:fill="FFFFFF"/>
            <w:tcMar>
              <w:top w:w="90" w:type="dxa"/>
              <w:left w:w="100" w:type="dxa"/>
              <w:bottom w:w="90" w:type="dxa"/>
              <w:right w:w="100" w:type="dxa"/>
            </w:tcMar>
            <w:vAlign w:val="center"/>
          </w:tcPr>
          <w:p w14:paraId="7E99D769">
            <w:pPr>
              <w:spacing w:before="0" w:after="0" w:line="240" w:lineRule="auto"/>
              <w:ind w:firstLine="0"/>
              <w:jc w:val="center"/>
              <w:rPr>
                <w:b w:val="0"/>
              </w:rPr>
            </w:pPr>
            <w:r>
              <w:rPr>
                <w:rFonts w:ascii="Times New Roman" w:hAnsi="Times New Roman" w:eastAsia="宋体" w:cs="Times New Roman"/>
                <w:b w:val="0"/>
                <w:i w:val="0"/>
                <w:color w:val="000000"/>
                <w:sz w:val="19"/>
              </w:rPr>
              <w:t>动态与跟踪性能</w:t>
            </w:r>
          </w:p>
        </w:tc>
        <w:tc>
          <w:tcPr>
            <w:tcW w:w="0" w:type="auto"/>
            <w:tcBorders>
              <w:top w:val="single" w:color="000000" w:sz="4" w:space="0"/>
            </w:tcBorders>
            <w:shd w:val="clear" w:color="auto" w:fill="FFFFFF"/>
            <w:tcMar>
              <w:top w:w="90" w:type="dxa"/>
              <w:left w:w="100" w:type="dxa"/>
              <w:bottom w:w="90" w:type="dxa"/>
              <w:right w:w="100" w:type="dxa"/>
            </w:tcMar>
            <w:vAlign w:val="center"/>
          </w:tcPr>
          <w:p w14:paraId="6F3FCE81">
            <w:pPr>
              <w:spacing w:before="0" w:after="0" w:line="240" w:lineRule="auto"/>
              <w:ind w:firstLine="0"/>
              <w:jc w:val="center"/>
              <w:rPr>
                <w:b w:val="0"/>
              </w:rPr>
            </w:pPr>
            <w:r>
              <w:rPr>
                <w:rFonts w:ascii="Times New Roman" w:hAnsi="Times New Roman" w:eastAsia="宋体" w:cs="Times New Roman"/>
                <w:b w:val="0"/>
                <w:i w:val="0"/>
                <w:color w:val="000000"/>
                <w:sz w:val="19"/>
              </w:rPr>
              <w:t>在相同模型和参考下计算指标</w:t>
            </w:r>
          </w:p>
        </w:tc>
        <w:tc>
          <w:tcPr>
            <w:tcW w:w="0" w:type="auto"/>
            <w:tcBorders>
              <w:top w:val="single" w:color="000000" w:sz="4" w:space="0"/>
            </w:tcBorders>
            <w:shd w:val="clear" w:color="auto" w:fill="FFFFFF"/>
            <w:tcMar>
              <w:top w:w="90" w:type="dxa"/>
              <w:left w:w="100" w:type="dxa"/>
              <w:bottom w:w="90" w:type="dxa"/>
              <w:right w:w="100" w:type="dxa"/>
            </w:tcMar>
            <w:vAlign w:val="center"/>
          </w:tcPr>
          <w:p w14:paraId="71599AFB">
            <w:pPr>
              <w:spacing w:before="0" w:after="0" w:line="240" w:lineRule="auto"/>
              <w:ind w:firstLine="0"/>
              <w:jc w:val="center"/>
              <w:rPr>
                <w:b w:val="0"/>
              </w:rPr>
            </w:pPr>
            <w:r>
              <w:rPr>
                <w:rFonts w:ascii="Times New Roman" w:hAnsi="Times New Roman" w:eastAsia="宋体" w:cs="Times New Roman"/>
                <w:b w:val="0"/>
                <w:i w:val="0"/>
                <w:color w:val="000000"/>
                <w:sz w:val="19"/>
              </w:rPr>
              <w:t>第2、6章</w:t>
            </w:r>
          </w:p>
        </w:tc>
      </w:tr>
      <w:tr w14:paraId="7EC55856">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0" w:type="auto"/>
            <w:shd w:val="clear" w:color="auto" w:fill="FFFFFF"/>
            <w:tcMar>
              <w:top w:w="90" w:type="dxa"/>
              <w:left w:w="100" w:type="dxa"/>
              <w:bottom w:w="90" w:type="dxa"/>
              <w:right w:w="100" w:type="dxa"/>
            </w:tcMar>
            <w:vAlign w:val="center"/>
          </w:tcPr>
          <w:p w14:paraId="4002F762">
            <w:pPr>
              <w:spacing w:before="0" w:after="0" w:line="240" w:lineRule="auto"/>
              <w:ind w:firstLine="0"/>
              <w:jc w:val="center"/>
              <w:rPr>
                <w:b w:val="0"/>
              </w:rPr>
            </w:pPr>
            <w:r>
              <w:rPr>
                <w:rFonts w:ascii="Times New Roman" w:hAnsi="Times New Roman" w:eastAsia="宋体" w:cs="Times New Roman"/>
                <w:b w:val="0"/>
                <w:i w:val="0"/>
                <w:color w:val="000000"/>
                <w:sz w:val="19"/>
              </w:rPr>
              <w:t>控制改进</w:t>
            </w:r>
          </w:p>
        </w:tc>
        <w:tc>
          <w:tcPr>
            <w:tcW w:w="0" w:type="auto"/>
            <w:shd w:val="clear" w:color="auto" w:fill="FFFFFF"/>
            <w:tcMar>
              <w:top w:w="90" w:type="dxa"/>
              <w:left w:w="100" w:type="dxa"/>
              <w:bottom w:w="90" w:type="dxa"/>
              <w:right w:w="100" w:type="dxa"/>
            </w:tcMar>
            <w:vAlign w:val="center"/>
          </w:tcPr>
          <w:p w14:paraId="1D451EF7">
            <w:pPr>
              <w:spacing w:before="0" w:after="0" w:line="240" w:lineRule="auto"/>
              <w:ind w:firstLine="0"/>
              <w:jc w:val="center"/>
              <w:rPr>
                <w:b w:val="0"/>
              </w:rPr>
            </w:pPr>
            <w:r>
              <w:rPr>
                <w:rFonts w:ascii="Times New Roman" w:hAnsi="Times New Roman" w:eastAsia="宋体" w:cs="Times New Roman"/>
                <w:b w:val="0"/>
                <w:i w:val="0"/>
                <w:color w:val="000000"/>
                <w:sz w:val="19"/>
              </w:rPr>
              <w:t>跟踪、推力估计和输入限制</w:t>
            </w:r>
          </w:p>
        </w:tc>
        <w:tc>
          <w:tcPr>
            <w:tcW w:w="0" w:type="auto"/>
            <w:shd w:val="clear" w:color="auto" w:fill="FFFFFF"/>
            <w:tcMar>
              <w:top w:w="90" w:type="dxa"/>
              <w:left w:w="100" w:type="dxa"/>
              <w:bottom w:w="90" w:type="dxa"/>
              <w:right w:w="100" w:type="dxa"/>
            </w:tcMar>
            <w:vAlign w:val="center"/>
          </w:tcPr>
          <w:p w14:paraId="047377EE">
            <w:pPr>
              <w:spacing w:before="0" w:after="0" w:line="240" w:lineRule="auto"/>
              <w:ind w:firstLine="0"/>
              <w:jc w:val="center"/>
              <w:rPr>
                <w:b w:val="0"/>
              </w:rPr>
            </w:pPr>
            <w:r>
              <w:rPr>
                <w:rFonts w:ascii="Times New Roman" w:hAnsi="Times New Roman" w:eastAsia="宋体" w:cs="Times New Roman"/>
                <w:b w:val="0"/>
                <w:i w:val="0"/>
                <w:color w:val="000000"/>
                <w:sz w:val="19"/>
              </w:rPr>
              <w:t>在Sysblock中实现RA-GCA-CGHTE</w:t>
            </w:r>
          </w:p>
        </w:tc>
        <w:tc>
          <w:tcPr>
            <w:tcW w:w="0" w:type="auto"/>
            <w:shd w:val="clear" w:color="auto" w:fill="FFFFFF"/>
            <w:tcMar>
              <w:top w:w="90" w:type="dxa"/>
              <w:left w:w="100" w:type="dxa"/>
              <w:bottom w:w="90" w:type="dxa"/>
              <w:right w:w="100" w:type="dxa"/>
            </w:tcMar>
            <w:vAlign w:val="center"/>
          </w:tcPr>
          <w:p w14:paraId="1B97F076">
            <w:pPr>
              <w:spacing w:before="0" w:after="0" w:line="240" w:lineRule="auto"/>
              <w:ind w:firstLine="0"/>
              <w:jc w:val="center"/>
              <w:rPr>
                <w:b w:val="0"/>
              </w:rPr>
            </w:pPr>
            <w:r>
              <w:rPr>
                <w:rFonts w:ascii="Times New Roman" w:hAnsi="Times New Roman" w:eastAsia="宋体" w:cs="Times New Roman"/>
                <w:b w:val="0"/>
                <w:i w:val="0"/>
                <w:color w:val="000000"/>
                <w:sz w:val="19"/>
              </w:rPr>
              <w:t>第3章</w:t>
            </w:r>
          </w:p>
        </w:tc>
      </w:tr>
      <w:tr w14:paraId="1D404A9A">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0" w:type="auto"/>
            <w:shd w:val="clear" w:color="auto" w:fill="FFFFFF"/>
            <w:tcMar>
              <w:top w:w="90" w:type="dxa"/>
              <w:left w:w="100" w:type="dxa"/>
              <w:bottom w:w="90" w:type="dxa"/>
              <w:right w:w="100" w:type="dxa"/>
            </w:tcMar>
            <w:vAlign w:val="center"/>
          </w:tcPr>
          <w:p w14:paraId="75CBF8AB">
            <w:pPr>
              <w:spacing w:before="0" w:after="0" w:line="240" w:lineRule="auto"/>
              <w:ind w:firstLine="0"/>
              <w:jc w:val="center"/>
              <w:rPr>
                <w:b w:val="0"/>
              </w:rPr>
            </w:pPr>
            <w:r>
              <w:rPr>
                <w:rFonts w:ascii="Times New Roman" w:hAnsi="Times New Roman" w:eastAsia="宋体" w:cs="Times New Roman"/>
                <w:b w:val="0"/>
                <w:i w:val="0"/>
                <w:color w:val="000000"/>
                <w:sz w:val="19"/>
              </w:rPr>
              <w:t>鲁棒性</w:t>
            </w:r>
          </w:p>
        </w:tc>
        <w:tc>
          <w:tcPr>
            <w:tcW w:w="0" w:type="auto"/>
            <w:shd w:val="clear" w:color="auto" w:fill="FFFFFF"/>
            <w:tcMar>
              <w:top w:w="90" w:type="dxa"/>
              <w:left w:w="100" w:type="dxa"/>
              <w:bottom w:w="90" w:type="dxa"/>
              <w:right w:w="100" w:type="dxa"/>
            </w:tcMar>
            <w:vAlign w:val="center"/>
          </w:tcPr>
          <w:p w14:paraId="67B4622D">
            <w:pPr>
              <w:spacing w:before="0" w:after="0" w:line="240" w:lineRule="auto"/>
              <w:ind w:firstLine="0"/>
              <w:jc w:val="center"/>
              <w:rPr>
                <w:b w:val="0"/>
              </w:rPr>
            </w:pPr>
            <w:r>
              <w:rPr>
                <w:rFonts w:ascii="Times New Roman" w:hAnsi="Times New Roman" w:eastAsia="宋体" w:cs="Times New Roman"/>
                <w:b w:val="0"/>
                <w:i w:val="0"/>
                <w:color w:val="000000"/>
                <w:sz w:val="19"/>
              </w:rPr>
              <w:t>参数变化和扰动下的性能</w:t>
            </w:r>
          </w:p>
        </w:tc>
        <w:tc>
          <w:tcPr>
            <w:tcW w:w="0" w:type="auto"/>
            <w:shd w:val="clear" w:color="auto" w:fill="FFFFFF"/>
            <w:tcMar>
              <w:top w:w="90" w:type="dxa"/>
              <w:left w:w="100" w:type="dxa"/>
              <w:bottom w:w="90" w:type="dxa"/>
              <w:right w:w="100" w:type="dxa"/>
            </w:tcMar>
            <w:vAlign w:val="center"/>
          </w:tcPr>
          <w:p w14:paraId="1656EEF6">
            <w:pPr>
              <w:spacing w:before="0" w:after="0" w:line="240" w:lineRule="auto"/>
              <w:ind w:firstLine="0"/>
              <w:jc w:val="center"/>
              <w:rPr>
                <w:b w:val="0"/>
              </w:rPr>
            </w:pPr>
            <w:r>
              <w:rPr>
                <w:rFonts w:ascii="Times New Roman" w:hAnsi="Times New Roman" w:eastAsia="宋体" w:cs="Times New Roman"/>
                <w:b w:val="0"/>
                <w:i w:val="0"/>
                <w:color w:val="000000"/>
                <w:sz w:val="19"/>
              </w:rPr>
              <w:t>参数、扰动和消融实验</w:t>
            </w:r>
          </w:p>
        </w:tc>
        <w:tc>
          <w:tcPr>
            <w:tcW w:w="0" w:type="auto"/>
            <w:shd w:val="clear" w:color="auto" w:fill="FFFFFF"/>
            <w:tcMar>
              <w:top w:w="90" w:type="dxa"/>
              <w:left w:w="100" w:type="dxa"/>
              <w:bottom w:w="90" w:type="dxa"/>
              <w:right w:w="100" w:type="dxa"/>
            </w:tcMar>
            <w:vAlign w:val="center"/>
          </w:tcPr>
          <w:p w14:paraId="215259F0">
            <w:pPr>
              <w:spacing w:before="0" w:after="0" w:line="240" w:lineRule="auto"/>
              <w:ind w:firstLine="0"/>
              <w:jc w:val="center"/>
              <w:rPr>
                <w:b w:val="0"/>
              </w:rPr>
            </w:pPr>
            <w:r>
              <w:rPr>
                <w:rFonts w:ascii="Times New Roman" w:hAnsi="Times New Roman" w:eastAsia="宋体" w:cs="Times New Roman"/>
                <w:b w:val="0"/>
                <w:i w:val="0"/>
                <w:color w:val="000000"/>
                <w:sz w:val="19"/>
              </w:rPr>
              <w:t>第5、6章</w:t>
            </w:r>
          </w:p>
        </w:tc>
      </w:tr>
      <w:tr w14:paraId="79043A97">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0" w:type="auto"/>
            <w:shd w:val="clear" w:color="auto" w:fill="FFFFFF"/>
            <w:tcMar>
              <w:top w:w="90" w:type="dxa"/>
              <w:left w:w="100" w:type="dxa"/>
              <w:bottom w:w="90" w:type="dxa"/>
              <w:right w:w="100" w:type="dxa"/>
            </w:tcMar>
            <w:vAlign w:val="center"/>
          </w:tcPr>
          <w:p w14:paraId="2BF7C7A2">
            <w:pPr>
              <w:spacing w:before="0" w:after="0" w:line="240" w:lineRule="auto"/>
              <w:ind w:firstLine="0"/>
              <w:jc w:val="center"/>
              <w:rPr>
                <w:b w:val="0"/>
              </w:rPr>
            </w:pPr>
            <w:r>
              <w:rPr>
                <w:rFonts w:ascii="Times New Roman" w:hAnsi="Times New Roman" w:eastAsia="宋体" w:cs="Times New Roman"/>
                <w:b w:val="0"/>
                <w:i w:val="0"/>
                <w:color w:val="000000"/>
                <w:sz w:val="19"/>
              </w:rPr>
              <w:t>编队控制</w:t>
            </w:r>
          </w:p>
        </w:tc>
        <w:tc>
          <w:tcPr>
            <w:tcW w:w="0" w:type="auto"/>
            <w:shd w:val="clear" w:color="auto" w:fill="FFFFFF"/>
            <w:tcMar>
              <w:top w:w="90" w:type="dxa"/>
              <w:left w:w="100" w:type="dxa"/>
              <w:bottom w:w="90" w:type="dxa"/>
              <w:right w:w="100" w:type="dxa"/>
            </w:tcMar>
            <w:vAlign w:val="center"/>
          </w:tcPr>
          <w:p w14:paraId="6B7A3258">
            <w:pPr>
              <w:spacing w:before="0" w:after="0" w:line="240" w:lineRule="auto"/>
              <w:ind w:firstLine="0"/>
              <w:jc w:val="center"/>
              <w:rPr>
                <w:b w:val="0"/>
              </w:rPr>
            </w:pPr>
            <w:r>
              <w:rPr>
                <w:rFonts w:ascii="Times New Roman" w:hAnsi="Times New Roman" w:eastAsia="宋体" w:cs="Times New Roman"/>
                <w:b w:val="0"/>
                <w:i w:val="0"/>
                <w:color w:val="000000"/>
                <w:sz w:val="19"/>
              </w:rPr>
              <w:t>队形保持与安全距离</w:t>
            </w:r>
          </w:p>
        </w:tc>
        <w:tc>
          <w:tcPr>
            <w:tcW w:w="0" w:type="auto"/>
            <w:shd w:val="clear" w:color="auto" w:fill="FFFFFF"/>
            <w:tcMar>
              <w:top w:w="90" w:type="dxa"/>
              <w:left w:w="100" w:type="dxa"/>
              <w:bottom w:w="90" w:type="dxa"/>
              <w:right w:w="100" w:type="dxa"/>
            </w:tcMar>
            <w:vAlign w:val="center"/>
          </w:tcPr>
          <w:p w14:paraId="072BF584">
            <w:pPr>
              <w:spacing w:before="0" w:after="0" w:line="240" w:lineRule="auto"/>
              <w:ind w:firstLine="0"/>
              <w:jc w:val="center"/>
              <w:rPr>
                <w:b w:val="0"/>
              </w:rPr>
            </w:pPr>
            <w:r>
              <w:rPr>
                <w:rFonts w:ascii="Times New Roman" w:hAnsi="Times New Roman" w:eastAsia="宋体" w:cs="Times New Roman"/>
                <w:b w:val="0"/>
                <w:i w:val="0"/>
                <w:color w:val="000000"/>
                <w:sz w:val="19"/>
              </w:rPr>
              <w:t>低层主控配合PP-CBF</w:t>
            </w:r>
          </w:p>
        </w:tc>
        <w:tc>
          <w:tcPr>
            <w:tcW w:w="0" w:type="auto"/>
            <w:shd w:val="clear" w:color="auto" w:fill="FFFFFF"/>
            <w:tcMar>
              <w:top w:w="90" w:type="dxa"/>
              <w:left w:w="100" w:type="dxa"/>
              <w:bottom w:w="90" w:type="dxa"/>
              <w:right w:w="100" w:type="dxa"/>
            </w:tcMar>
            <w:vAlign w:val="center"/>
          </w:tcPr>
          <w:p w14:paraId="6092D507">
            <w:pPr>
              <w:spacing w:before="0" w:after="0" w:line="240" w:lineRule="auto"/>
              <w:ind w:firstLine="0"/>
              <w:jc w:val="center"/>
              <w:rPr>
                <w:b w:val="0"/>
              </w:rPr>
            </w:pPr>
            <w:r>
              <w:rPr>
                <w:rFonts w:ascii="Times New Roman" w:hAnsi="Times New Roman" w:eastAsia="宋体" w:cs="Times New Roman"/>
                <w:b w:val="0"/>
                <w:i w:val="0"/>
                <w:color w:val="000000"/>
                <w:sz w:val="19"/>
              </w:rPr>
              <w:t>第4、7章</w:t>
            </w:r>
          </w:p>
        </w:tc>
      </w:tr>
      <w:tr w14:paraId="6C992D04">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0" w:type="auto"/>
            <w:tcBorders>
              <w:bottom w:val="single" w:color="000000" w:sz="12" w:space="0"/>
            </w:tcBorders>
            <w:shd w:val="clear" w:color="auto" w:fill="FFFFFF"/>
            <w:tcMar>
              <w:top w:w="90" w:type="dxa"/>
              <w:left w:w="100" w:type="dxa"/>
              <w:bottom w:w="90" w:type="dxa"/>
              <w:right w:w="100" w:type="dxa"/>
            </w:tcMar>
            <w:vAlign w:val="center"/>
          </w:tcPr>
          <w:p w14:paraId="541D1142">
            <w:pPr>
              <w:spacing w:before="0" w:after="0" w:line="240" w:lineRule="auto"/>
              <w:ind w:firstLine="0"/>
              <w:jc w:val="center"/>
              <w:rPr>
                <w:b w:val="0"/>
              </w:rPr>
            </w:pPr>
            <w:r>
              <w:rPr>
                <w:rFonts w:ascii="Times New Roman" w:hAnsi="Times New Roman" w:eastAsia="宋体" w:cs="Times New Roman"/>
                <w:b w:val="0"/>
                <w:i w:val="0"/>
                <w:color w:val="000000"/>
                <w:sz w:val="19"/>
              </w:rPr>
              <w:t>工程实现</w:t>
            </w:r>
          </w:p>
        </w:tc>
        <w:tc>
          <w:tcPr>
            <w:tcW w:w="0" w:type="auto"/>
            <w:tcBorders>
              <w:bottom w:val="single" w:color="000000" w:sz="12" w:space="0"/>
            </w:tcBorders>
            <w:shd w:val="clear" w:color="auto" w:fill="FFFFFF"/>
            <w:tcMar>
              <w:top w:w="90" w:type="dxa"/>
              <w:left w:w="100" w:type="dxa"/>
              <w:bottom w:w="90" w:type="dxa"/>
              <w:right w:w="100" w:type="dxa"/>
            </w:tcMar>
            <w:vAlign w:val="center"/>
          </w:tcPr>
          <w:p w14:paraId="0ED31698">
            <w:pPr>
              <w:spacing w:before="0" w:after="0" w:line="240" w:lineRule="auto"/>
              <w:ind w:firstLine="0"/>
              <w:jc w:val="center"/>
              <w:rPr>
                <w:b w:val="0"/>
              </w:rPr>
            </w:pPr>
            <w:r>
              <w:rPr>
                <w:rFonts w:ascii="Times New Roman" w:hAnsi="Times New Roman" w:eastAsia="宋体" w:cs="Times New Roman"/>
                <w:b w:val="0"/>
                <w:i w:val="0"/>
                <w:color w:val="000000"/>
                <w:sz w:val="19"/>
              </w:rPr>
              <w:t>模型、代码和数据来源清楚</w:t>
            </w:r>
          </w:p>
        </w:tc>
        <w:tc>
          <w:tcPr>
            <w:tcW w:w="0" w:type="auto"/>
            <w:tcBorders>
              <w:bottom w:val="single" w:color="000000" w:sz="12" w:space="0"/>
            </w:tcBorders>
            <w:shd w:val="clear" w:color="auto" w:fill="FFFFFF"/>
            <w:tcMar>
              <w:top w:w="90" w:type="dxa"/>
              <w:left w:w="100" w:type="dxa"/>
              <w:bottom w:w="90" w:type="dxa"/>
              <w:right w:w="100" w:type="dxa"/>
            </w:tcMar>
            <w:vAlign w:val="center"/>
          </w:tcPr>
          <w:p w14:paraId="31DC9279">
            <w:pPr>
              <w:spacing w:before="0" w:after="0" w:line="240" w:lineRule="auto"/>
              <w:ind w:firstLine="0"/>
              <w:jc w:val="center"/>
              <w:rPr>
                <w:b w:val="0"/>
              </w:rPr>
            </w:pPr>
            <w:r>
              <w:rPr>
                <w:rFonts w:ascii="Times New Roman" w:hAnsi="Times New Roman" w:eastAsia="宋体" w:cs="Times New Roman"/>
                <w:b w:val="0"/>
                <w:i w:val="0"/>
                <w:color w:val="000000"/>
                <w:sz w:val="19"/>
              </w:rPr>
              <w:t>说明接口、指标计算和数据来源</w:t>
            </w:r>
          </w:p>
        </w:tc>
        <w:tc>
          <w:tcPr>
            <w:tcW w:w="0" w:type="auto"/>
            <w:tcBorders>
              <w:bottom w:val="single" w:color="000000" w:sz="12" w:space="0"/>
            </w:tcBorders>
            <w:shd w:val="clear" w:color="auto" w:fill="FFFFFF"/>
            <w:tcMar>
              <w:top w:w="90" w:type="dxa"/>
              <w:left w:w="100" w:type="dxa"/>
              <w:bottom w:w="90" w:type="dxa"/>
              <w:right w:w="100" w:type="dxa"/>
            </w:tcMar>
            <w:vAlign w:val="center"/>
          </w:tcPr>
          <w:p w14:paraId="3E7DB47B">
            <w:pPr>
              <w:spacing w:before="0" w:after="0" w:line="240" w:lineRule="auto"/>
              <w:ind w:firstLine="0"/>
              <w:jc w:val="center"/>
              <w:rPr>
                <w:b w:val="0"/>
              </w:rPr>
            </w:pPr>
            <w:r>
              <w:rPr>
                <w:rFonts w:ascii="Times New Roman" w:hAnsi="Times New Roman" w:eastAsia="宋体" w:cs="Times New Roman"/>
                <w:b w:val="0"/>
                <w:i w:val="0"/>
                <w:color w:val="000000"/>
                <w:sz w:val="19"/>
              </w:rPr>
              <w:t>第3、5章及附录</w:t>
            </w:r>
          </w:p>
        </w:tc>
      </w:tr>
    </w:tbl>
    <w:p w14:paraId="3975CCF6">
      <w:pPr>
        <w:spacing w:after="0"/>
      </w:pPr>
    </w:p>
    <w:p w14:paraId="517272BA">
      <w:pPr>
        <w:widowControl/>
        <w:spacing w:before="0" w:after="0" w:line="360" w:lineRule="auto"/>
        <w:ind w:firstLine="480"/>
        <w:jc w:val="both"/>
      </w:pPr>
      <w:r>
        <w:rPr>
          <w:rFonts w:ascii="Times New Roman" w:hAnsi="Times New Roman" w:eastAsia="宋体" w:cs="Times New Roman"/>
          <w:b w:val="0"/>
          <w:i w:val="0"/>
          <w:color w:val="000000"/>
          <w:sz w:val="24"/>
        </w:rPr>
        <w:t>本文在Sysblock、Sysplorer和Syslab中完成控制器实现、模型接入、仿真与指标计算，并验证参数变化、扰动、传感器、执行器和三机编队场景。统一接口包括11维参考输入、18维状态输入、2维分配限制输入、4维电机命令输出和16维诊断输出，控制周期为0.01 s；控制范围为约化姿态，不包含独立偏航跟踪。</w:t>
      </w:r>
    </w:p>
    <w:p w14:paraId="45720160">
      <w:pPr>
        <w:widowControl/>
        <w:spacing w:before="0" w:after="0" w:line="360" w:lineRule="auto"/>
        <w:ind w:firstLine="480"/>
        <w:jc w:val="both"/>
      </w:pPr>
      <w:r>
        <w:rPr>
          <w:rFonts w:ascii="Times New Roman" w:hAnsi="Times New Roman" w:eastAsia="宋体" w:cs="Times New Roman"/>
          <w:b w:val="0"/>
          <w:i w:val="0"/>
          <w:color w:val="000000"/>
          <w:sz w:val="24"/>
        </w:rPr>
        <w:t>第2章介绍模型与PID，第3、4章说明RA-GCA-CGHTE和PP-CBF，第5章给出实验设置，第6、7章分别报告单机与编队结果。</w:t>
      </w:r>
    </w:p>
    <w:p w14:paraId="1447FDD6">
      <w:pPr>
        <w:pStyle w:val="3"/>
        <w:keepNext/>
        <w:keepLines/>
      </w:pPr>
      <w:bookmarkStart w:id="3" w:name="_Toc7866"/>
      <w:r>
        <w:rPr>
          <w:rFonts w:ascii="Times New Roman" w:hAnsi="Times New Roman" w:eastAsia="黑体" w:cs="Times New Roman"/>
          <w:b/>
          <w:color w:val="000000"/>
          <w:sz w:val="26"/>
        </w:rPr>
        <w:t>1.3 相关研究与本文方法</w:t>
      </w:r>
      <w:bookmarkEnd w:id="3"/>
    </w:p>
    <w:p w14:paraId="1F428CBF">
      <w:pPr>
        <w:widowControl/>
        <w:spacing w:before="0" w:after="0" w:line="360" w:lineRule="auto"/>
        <w:ind w:firstLine="480"/>
        <w:jc w:val="both"/>
      </w:pPr>
      <w:r>
        <w:rPr>
          <w:rFonts w:ascii="Times New Roman" w:hAnsi="Times New Roman" w:eastAsia="宋体" w:cs="Times New Roman"/>
          <w:b w:val="0"/>
          <w:i w:val="0"/>
          <w:color w:val="000000"/>
          <w:sz w:val="24"/>
        </w:rPr>
        <w:t>本文结合代表性论文和OpenAlex文献数据，梳理2015-2025年四旋翼控制研究。检索以题名中的quadrotor、quadcopter和multirotor为入口，并用控制相关词筛选，共保留6153篇文献（Donthu et al., 2021; Priem et al., 2022）。图1-1展示年度文献量和主要研究主题，具体方法与性能判断仍以论文原文和本文仿真结果为准。</w:t>
      </w:r>
    </w:p>
    <w:p w14:paraId="41D21CC0">
      <w:pPr>
        <w:keepNext/>
        <w:keepLines/>
        <w:spacing w:before="0" w:after="60"/>
        <w:ind w:firstLine="0"/>
        <w:jc w:val="center"/>
      </w:pPr>
      <w:r>
        <w:drawing>
          <wp:inline distT="0" distB="0" distL="114300" distR="114300">
            <wp:extent cx="5471795" cy="3744595"/>
            <wp:effectExtent l="0" t="0" r="14605"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2"/>
                    <a:stretch>
                      <a:fillRect/>
                    </a:stretch>
                  </pic:blipFill>
                  <pic:spPr>
                    <a:xfrm>
                      <a:off x="0" y="0"/>
                      <a:ext cx="5472000" cy="3745204"/>
                    </a:xfrm>
                    <a:prstGeom prst="rect">
                      <a:avLst/>
                    </a:prstGeom>
                  </pic:spPr>
                </pic:pic>
              </a:graphicData>
            </a:graphic>
          </wp:inline>
        </w:drawing>
      </w:r>
    </w:p>
    <w:p w14:paraId="42E3E7CC">
      <w:pPr>
        <w:pStyle w:val="4"/>
        <w:keepNext w:val="0"/>
        <w:ind w:firstLine="0"/>
        <w:jc w:val="center"/>
      </w:pPr>
      <w:r>
        <w:rPr>
          <w:rFonts w:ascii="Times New Roman" w:hAnsi="Times New Roman" w:eastAsia="宋体" w:cs="Times New Roman"/>
          <w:b/>
          <w:i w:val="0"/>
          <w:color w:val="000000"/>
          <w:sz w:val="21"/>
        </w:rPr>
        <w:t>图 1-1  2015-2025年四旋翼控制研究年度论文量与主题演化</w:t>
      </w:r>
    </w:p>
    <w:p w14:paraId="47CB62A6">
      <w:pPr>
        <w:spacing w:before="0" w:after="0" w:line="360" w:lineRule="auto"/>
        <w:ind w:left="283" w:right="283" w:firstLine="480"/>
        <w:jc w:val="both"/>
      </w:pPr>
      <w:r>
        <w:rPr>
          <w:rFonts w:ascii="Times New Roman" w:hAnsi="Times New Roman" w:eastAsia="宋体" w:cs="Times New Roman"/>
          <w:b w:val="0"/>
          <w:i w:val="0"/>
          <w:color w:val="000000"/>
          <w:sz w:val="24"/>
        </w:rPr>
        <w:t>注：（a）柱线表示纳入文献的年度数量；（b）色阶和单元格数值表示各主题在当年文献中的占比（%）。主题可重叠，因此各主题占比之和可能超过100%。数据来源：OpenAlex Works API。</w:t>
      </w:r>
    </w:p>
    <w:p w14:paraId="52C665C8">
      <w:pPr>
        <w:widowControl/>
        <w:spacing w:before="0" w:after="0" w:line="360" w:lineRule="auto"/>
        <w:ind w:firstLine="480"/>
        <w:jc w:val="both"/>
      </w:pPr>
      <w:r>
        <w:rPr>
          <w:rFonts w:ascii="Times New Roman" w:hAnsi="Times New Roman" w:eastAsia="宋体" w:cs="Times New Roman"/>
          <w:b w:val="0"/>
          <w:i w:val="0"/>
          <w:color w:val="000000"/>
          <w:sz w:val="24"/>
        </w:rPr>
        <w:t>图1-1显示，纳入文献由2015年的318篇增至2025年的748篇。几何与轨迹跟踪的年度占比由约59%降至约46%；鲁棒、自适应与扰动抑制由约30%升至约42%，优化与约束控制由约7%升至约16%。研究重点逐步扩展到模型变化、执行器约束、环境扰动和多机安全。图中数值仅描述OpenAlex收录文献，算法性能由后文仿真结果评价。</w:t>
      </w:r>
    </w:p>
    <w:p w14:paraId="499BAAAB">
      <w:pPr>
        <w:widowControl/>
        <w:spacing w:before="0" w:after="0" w:line="360" w:lineRule="auto"/>
        <w:ind w:firstLine="480"/>
        <w:jc w:val="both"/>
      </w:pPr>
      <w:r>
        <w:rPr>
          <w:rFonts w:ascii="Times New Roman" w:hAnsi="Times New Roman" w:eastAsia="宋体" w:cs="Times New Roman"/>
          <w:b w:val="0"/>
          <w:i w:val="0"/>
          <w:color w:val="000000"/>
          <w:sz w:val="24"/>
        </w:rPr>
        <w:t>经典PID及其变型因结构直观、实现成本低和工程经验丰富而被广泛使用。固定误差反馈在强耦合、大范围姿态、模型变化和输入约束条件下存在性能局限。ADRC通过扩张状态观测和总扰动补偿把误差反馈与状态估计结合起来（Han, 2009）。INDI利用角加速度等增量反馈降低对完整气动模型的依赖，但会受到微分噪声、反馈延迟和执行器动态影响（Smeur et al., 2016; Jeong et al., 2024; Wang et al., 2026）。在线扰动辨识和学习方法则需同时考虑估计误差和系统稳定性（Gao et al., 2026）。</w:t>
      </w:r>
    </w:p>
    <w:p w14:paraId="4B32D339">
      <w:pPr>
        <w:widowControl/>
        <w:spacing w:before="0" w:after="0" w:line="360" w:lineRule="auto"/>
        <w:ind w:firstLine="480"/>
        <w:jc w:val="both"/>
      </w:pPr>
      <w:r>
        <w:rPr>
          <w:rFonts w:ascii="Times New Roman" w:hAnsi="Times New Roman" w:eastAsia="宋体" w:cs="Times New Roman"/>
          <w:b w:val="0"/>
          <w:i w:val="0"/>
          <w:color w:val="000000"/>
          <w:sz w:val="24"/>
        </w:rPr>
        <w:t>几何控制直接在SO(3)或SE(3)流形上定义姿态与位姿误差，可避免局部参数化带来的奇异性，并为大范围运动提供统一描述（Lee et al., 2010; Goodarzi et al., 2013; Lee et al., 2013）。当平移任务优先于偏航时，可把推力方向误差与绕推力轴的偏航误差分离，优先保证期望加速度方向。相关研究已从姿态控制扩展到位置与降阶姿态轨迹跟踪（Brescianini &amp; D'Andrea, 2020; Montañez-Molina &amp; Pliego-Jiménez, 2024）。高动态轨迹中的旋翼阻力等气动效应会使简化模型产生系统误差，模型补偿和参数辨识可进一步提高跟踪精度（Faessler et al., 2018）。</w:t>
      </w:r>
    </w:p>
    <w:p w14:paraId="096A9784">
      <w:pPr>
        <w:widowControl/>
        <w:spacing w:before="0" w:after="0" w:line="360" w:lineRule="auto"/>
        <w:ind w:firstLine="480"/>
        <w:jc w:val="both"/>
      </w:pPr>
      <w:r>
        <w:rPr>
          <w:rFonts w:ascii="Times New Roman" w:hAnsi="Times New Roman" w:eastAsia="宋体" w:cs="Times New Roman"/>
          <w:b w:val="0"/>
          <w:i w:val="0"/>
          <w:color w:val="000000"/>
          <w:sz w:val="24"/>
        </w:rPr>
        <w:t>控制律经执行器分配转换为电机命令。控制分配需要处理推力和力矩映射、饱和、优先级及故障后的可行控制域（Johansen &amp; Fossen, 2013）。过驱动飞行器研究表明，控制分配与容错控制的联合设计能够利用冗余执行器，同时会增加优化和模型一致性要求（Mancinelli et al., 2025）。多机系统需分别处理队形跟踪与安全约束。编队方法形成期望相对关系，CBF等安全机制通过约束可行控制输入维持安全集合（Ames et al., 2017; Wang &amp; Han, 2026; Wu &amp; Sreenath, 2015）。</w:t>
      </w:r>
    </w:p>
    <w:p w14:paraId="726683F5">
      <w:pPr>
        <w:pStyle w:val="4"/>
        <w:keepNext/>
        <w:ind w:firstLine="0"/>
        <w:jc w:val="center"/>
      </w:pPr>
      <w:r>
        <w:rPr>
          <w:rFonts w:ascii="Times New Roman" w:hAnsi="Times New Roman" w:eastAsia="宋体" w:cs="Times New Roman"/>
          <w:b/>
          <w:i w:val="0"/>
          <w:color w:val="000000"/>
          <w:sz w:val="21"/>
        </w:rPr>
        <w:t>表 1-3  代表性控制方法及主要特点</w:t>
      </w:r>
    </w:p>
    <w:tbl>
      <w:tblPr>
        <w:tblStyle w:val="10"/>
        <w:tblW w:w="0" w:type="auto"/>
        <w:jc w:val="center"/>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628"/>
        <w:gridCol w:w="2414"/>
        <w:gridCol w:w="2283"/>
        <w:gridCol w:w="2946"/>
      </w:tblGrid>
      <w:tr w14:paraId="07890336">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blHeader/>
          <w:jc w:val="center"/>
        </w:trPr>
        <w:tc>
          <w:tcPr>
            <w:tcW w:w="0" w:type="auto"/>
            <w:tcBorders>
              <w:top w:val="single" w:color="000000" w:sz="12" w:space="0"/>
              <w:bottom w:val="single" w:color="000000" w:sz="4" w:space="0"/>
              <w:tl2br w:val="nil"/>
            </w:tcBorders>
            <w:shd w:val="clear" w:color="auto" w:fill="FFFFFF"/>
            <w:tcMar>
              <w:top w:w="90" w:type="dxa"/>
              <w:left w:w="100" w:type="dxa"/>
              <w:bottom w:w="90" w:type="dxa"/>
              <w:right w:w="100" w:type="dxa"/>
            </w:tcMar>
            <w:vAlign w:val="center"/>
          </w:tcPr>
          <w:p w14:paraId="0DB028EE">
            <w:pPr>
              <w:spacing w:before="0" w:after="0" w:line="240" w:lineRule="auto"/>
              <w:ind w:firstLine="0"/>
              <w:jc w:val="center"/>
              <w:rPr>
                <w:b/>
                <w:bCs/>
              </w:rPr>
            </w:pPr>
            <w:r>
              <w:rPr>
                <w:rFonts w:ascii="Times New Roman" w:hAnsi="Times New Roman" w:eastAsia="宋体" w:cs="Times New Roman"/>
                <w:b/>
                <w:bCs/>
                <w:i w:val="0"/>
                <w:color w:val="000000"/>
                <w:sz w:val="19"/>
              </w:rPr>
              <w:t>方法</w:t>
            </w:r>
          </w:p>
        </w:tc>
        <w:tc>
          <w:tcPr>
            <w:tcW w:w="0" w:type="auto"/>
            <w:tcBorders>
              <w:top w:val="single" w:color="000000" w:sz="12" w:space="0"/>
              <w:bottom w:val="single" w:color="000000" w:sz="4" w:space="0"/>
            </w:tcBorders>
            <w:shd w:val="clear" w:color="auto" w:fill="FFFFFF"/>
            <w:tcMar>
              <w:top w:w="90" w:type="dxa"/>
              <w:left w:w="100" w:type="dxa"/>
              <w:bottom w:w="90" w:type="dxa"/>
              <w:right w:w="100" w:type="dxa"/>
            </w:tcMar>
            <w:vAlign w:val="center"/>
          </w:tcPr>
          <w:p w14:paraId="3F2C19C2">
            <w:pPr>
              <w:spacing w:before="0" w:after="0" w:line="240" w:lineRule="auto"/>
              <w:ind w:firstLine="0"/>
              <w:jc w:val="center"/>
              <w:rPr>
                <w:b/>
                <w:bCs/>
              </w:rPr>
            </w:pPr>
            <w:r>
              <w:rPr>
                <w:rFonts w:ascii="Times New Roman" w:hAnsi="Times New Roman" w:eastAsia="宋体" w:cs="Times New Roman"/>
                <w:b/>
                <w:bCs/>
                <w:i w:val="0"/>
                <w:color w:val="000000"/>
                <w:sz w:val="19"/>
              </w:rPr>
              <w:t>主要作用</w:t>
            </w:r>
          </w:p>
        </w:tc>
        <w:tc>
          <w:tcPr>
            <w:tcW w:w="0" w:type="auto"/>
            <w:tcBorders>
              <w:top w:val="single" w:color="000000" w:sz="12" w:space="0"/>
              <w:bottom w:val="single" w:color="000000" w:sz="4" w:space="0"/>
            </w:tcBorders>
            <w:shd w:val="clear" w:color="auto" w:fill="FFFFFF"/>
            <w:tcMar>
              <w:top w:w="90" w:type="dxa"/>
              <w:left w:w="100" w:type="dxa"/>
              <w:bottom w:w="90" w:type="dxa"/>
              <w:right w:w="100" w:type="dxa"/>
            </w:tcMar>
            <w:vAlign w:val="center"/>
          </w:tcPr>
          <w:p w14:paraId="2F281025">
            <w:pPr>
              <w:spacing w:before="0" w:after="0" w:line="240" w:lineRule="auto"/>
              <w:ind w:firstLine="0"/>
              <w:jc w:val="center"/>
              <w:rPr>
                <w:b/>
                <w:bCs/>
              </w:rPr>
            </w:pPr>
            <w:r>
              <w:rPr>
                <w:rFonts w:ascii="Times New Roman" w:hAnsi="Times New Roman" w:eastAsia="宋体" w:cs="Times New Roman"/>
                <w:b/>
                <w:bCs/>
                <w:i w:val="0"/>
                <w:color w:val="000000"/>
                <w:sz w:val="19"/>
              </w:rPr>
              <w:t>实际注意事项</w:t>
            </w:r>
          </w:p>
        </w:tc>
        <w:tc>
          <w:tcPr>
            <w:tcW w:w="0" w:type="auto"/>
            <w:tcBorders>
              <w:top w:val="single" w:color="000000" w:sz="12" w:space="0"/>
              <w:bottom w:val="single" w:color="000000" w:sz="4" w:space="0"/>
            </w:tcBorders>
            <w:shd w:val="clear" w:color="auto" w:fill="FFFFFF"/>
            <w:tcMar>
              <w:top w:w="90" w:type="dxa"/>
              <w:left w:w="100" w:type="dxa"/>
              <w:bottom w:w="90" w:type="dxa"/>
              <w:right w:w="100" w:type="dxa"/>
            </w:tcMar>
            <w:vAlign w:val="center"/>
          </w:tcPr>
          <w:p w14:paraId="4389A60E">
            <w:pPr>
              <w:spacing w:before="0" w:after="0" w:line="240" w:lineRule="auto"/>
              <w:ind w:firstLine="0"/>
              <w:jc w:val="center"/>
              <w:rPr>
                <w:b/>
                <w:bCs/>
              </w:rPr>
            </w:pPr>
            <w:r>
              <w:rPr>
                <w:rFonts w:ascii="Times New Roman" w:hAnsi="Times New Roman" w:eastAsia="宋体" w:cs="Times New Roman"/>
                <w:b/>
                <w:bCs/>
                <w:i w:val="0"/>
                <w:color w:val="000000"/>
                <w:sz w:val="19"/>
              </w:rPr>
              <w:t>代表文献</w:t>
            </w:r>
          </w:p>
        </w:tc>
      </w:tr>
      <w:tr w14:paraId="064617E9">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0" w:type="auto"/>
            <w:tcBorders>
              <w:top w:val="single" w:color="000000" w:sz="4" w:space="0"/>
            </w:tcBorders>
            <w:shd w:val="clear" w:color="auto" w:fill="FFFFFF"/>
            <w:tcMar>
              <w:top w:w="90" w:type="dxa"/>
              <w:left w:w="100" w:type="dxa"/>
              <w:bottom w:w="90" w:type="dxa"/>
              <w:right w:w="100" w:type="dxa"/>
            </w:tcMar>
            <w:vAlign w:val="center"/>
          </w:tcPr>
          <w:p w14:paraId="17ECA52A">
            <w:pPr>
              <w:spacing w:before="0" w:after="0" w:line="240" w:lineRule="auto"/>
              <w:ind w:firstLine="0"/>
              <w:jc w:val="center"/>
              <w:rPr>
                <w:b w:val="0"/>
              </w:rPr>
            </w:pPr>
            <w:r>
              <w:rPr>
                <w:rFonts w:ascii="Times New Roman" w:hAnsi="Times New Roman" w:eastAsia="宋体" w:cs="Times New Roman"/>
                <w:b w:val="0"/>
                <w:i w:val="0"/>
                <w:color w:val="000000"/>
                <w:sz w:val="19"/>
              </w:rPr>
              <w:t>PID与经典反馈</w:t>
            </w:r>
          </w:p>
        </w:tc>
        <w:tc>
          <w:tcPr>
            <w:tcW w:w="0" w:type="auto"/>
            <w:tcBorders>
              <w:top w:val="single" w:color="000000" w:sz="4" w:space="0"/>
            </w:tcBorders>
            <w:shd w:val="clear" w:color="auto" w:fill="FFFFFF"/>
            <w:tcMar>
              <w:top w:w="90" w:type="dxa"/>
              <w:left w:w="100" w:type="dxa"/>
              <w:bottom w:w="90" w:type="dxa"/>
              <w:right w:w="100" w:type="dxa"/>
            </w:tcMar>
            <w:vAlign w:val="center"/>
          </w:tcPr>
          <w:p w14:paraId="733A8440">
            <w:pPr>
              <w:spacing w:before="0" w:after="0" w:line="240" w:lineRule="auto"/>
              <w:ind w:firstLine="0"/>
              <w:jc w:val="center"/>
              <w:rPr>
                <w:b w:val="0"/>
              </w:rPr>
            </w:pPr>
            <w:r>
              <w:rPr>
                <w:rFonts w:ascii="Times New Roman" w:hAnsi="Times New Roman" w:eastAsia="宋体" w:cs="Times New Roman"/>
                <w:b w:val="0"/>
                <w:i w:val="0"/>
                <w:color w:val="000000"/>
                <w:sz w:val="19"/>
              </w:rPr>
              <w:t>以误差反馈实现局部调节，结构简单</w:t>
            </w:r>
          </w:p>
        </w:tc>
        <w:tc>
          <w:tcPr>
            <w:tcW w:w="0" w:type="auto"/>
            <w:tcBorders>
              <w:top w:val="single" w:color="000000" w:sz="4" w:space="0"/>
            </w:tcBorders>
            <w:shd w:val="clear" w:color="auto" w:fill="FFFFFF"/>
            <w:tcMar>
              <w:top w:w="90" w:type="dxa"/>
              <w:left w:w="100" w:type="dxa"/>
              <w:bottom w:w="90" w:type="dxa"/>
              <w:right w:w="100" w:type="dxa"/>
            </w:tcMar>
            <w:vAlign w:val="center"/>
          </w:tcPr>
          <w:p w14:paraId="7FF7AA48">
            <w:pPr>
              <w:spacing w:before="0" w:after="0" w:line="240" w:lineRule="auto"/>
              <w:ind w:firstLine="0"/>
              <w:jc w:val="center"/>
              <w:rPr>
                <w:b w:val="0"/>
              </w:rPr>
            </w:pPr>
            <w:r>
              <w:rPr>
                <w:rFonts w:ascii="Times New Roman" w:hAnsi="Times New Roman" w:eastAsia="宋体" w:cs="Times New Roman"/>
                <w:b w:val="0"/>
                <w:i w:val="0"/>
                <w:color w:val="000000"/>
                <w:sz w:val="19"/>
              </w:rPr>
              <w:t>耦合、约束与模型变化下的性能</w:t>
            </w:r>
          </w:p>
        </w:tc>
        <w:tc>
          <w:tcPr>
            <w:tcW w:w="0" w:type="auto"/>
            <w:tcBorders>
              <w:top w:val="single" w:color="000000" w:sz="4" w:space="0"/>
            </w:tcBorders>
            <w:shd w:val="clear" w:color="auto" w:fill="FFFFFF"/>
            <w:tcMar>
              <w:top w:w="90" w:type="dxa"/>
              <w:left w:w="100" w:type="dxa"/>
              <w:bottom w:w="90" w:type="dxa"/>
              <w:right w:w="100" w:type="dxa"/>
            </w:tcMar>
            <w:vAlign w:val="center"/>
          </w:tcPr>
          <w:p w14:paraId="677C53C9">
            <w:pPr>
              <w:spacing w:before="0" w:after="0" w:line="240" w:lineRule="auto"/>
              <w:ind w:firstLine="0"/>
              <w:jc w:val="center"/>
              <w:rPr>
                <w:b w:val="0"/>
              </w:rPr>
            </w:pPr>
            <w:r>
              <w:rPr>
                <w:rFonts w:ascii="Times New Roman" w:hAnsi="Times New Roman" w:eastAsia="宋体" w:cs="Times New Roman"/>
                <w:b w:val="0"/>
                <w:i w:val="0"/>
                <w:color w:val="000000"/>
                <w:sz w:val="19"/>
              </w:rPr>
              <w:t>Han, 2009</w:t>
            </w:r>
          </w:p>
        </w:tc>
      </w:tr>
      <w:tr w14:paraId="594C96BA">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0" w:type="auto"/>
            <w:shd w:val="clear" w:color="auto" w:fill="FFFFFF"/>
            <w:tcMar>
              <w:top w:w="90" w:type="dxa"/>
              <w:left w:w="100" w:type="dxa"/>
              <w:bottom w:w="90" w:type="dxa"/>
              <w:right w:w="100" w:type="dxa"/>
            </w:tcMar>
            <w:vAlign w:val="center"/>
          </w:tcPr>
          <w:p w14:paraId="1623D58D">
            <w:pPr>
              <w:spacing w:before="0" w:after="0" w:line="240" w:lineRule="auto"/>
              <w:ind w:firstLine="0"/>
              <w:jc w:val="center"/>
              <w:rPr>
                <w:b w:val="0"/>
              </w:rPr>
            </w:pPr>
            <w:r>
              <w:rPr>
                <w:rFonts w:ascii="Times New Roman" w:hAnsi="Times New Roman" w:eastAsia="宋体" w:cs="Times New Roman"/>
                <w:b w:val="0"/>
                <w:i w:val="0"/>
                <w:color w:val="000000"/>
                <w:sz w:val="19"/>
              </w:rPr>
              <w:t>几何与降阶姿态</w:t>
            </w:r>
          </w:p>
        </w:tc>
        <w:tc>
          <w:tcPr>
            <w:tcW w:w="0" w:type="auto"/>
            <w:shd w:val="clear" w:color="auto" w:fill="FFFFFF"/>
            <w:tcMar>
              <w:top w:w="90" w:type="dxa"/>
              <w:left w:w="100" w:type="dxa"/>
              <w:bottom w:w="90" w:type="dxa"/>
              <w:right w:w="100" w:type="dxa"/>
            </w:tcMar>
            <w:vAlign w:val="center"/>
          </w:tcPr>
          <w:p w14:paraId="34445621">
            <w:pPr>
              <w:spacing w:before="0" w:after="0" w:line="240" w:lineRule="auto"/>
              <w:ind w:firstLine="0"/>
              <w:jc w:val="center"/>
              <w:rPr>
                <w:b w:val="0"/>
              </w:rPr>
            </w:pPr>
            <w:r>
              <w:rPr>
                <w:rFonts w:ascii="Times New Roman" w:hAnsi="Times New Roman" w:eastAsia="宋体" w:cs="Times New Roman"/>
                <w:b w:val="0"/>
                <w:i w:val="0"/>
                <w:color w:val="000000"/>
                <w:sz w:val="19"/>
              </w:rPr>
              <w:t>在流形上定义误差并优先推力方向</w:t>
            </w:r>
          </w:p>
        </w:tc>
        <w:tc>
          <w:tcPr>
            <w:tcW w:w="0" w:type="auto"/>
            <w:shd w:val="clear" w:color="auto" w:fill="FFFFFF"/>
            <w:tcMar>
              <w:top w:w="90" w:type="dxa"/>
              <w:left w:w="100" w:type="dxa"/>
              <w:bottom w:w="90" w:type="dxa"/>
              <w:right w:w="100" w:type="dxa"/>
            </w:tcMar>
            <w:vAlign w:val="center"/>
          </w:tcPr>
          <w:p w14:paraId="56F7D6BD">
            <w:pPr>
              <w:spacing w:before="0" w:after="0" w:line="240" w:lineRule="auto"/>
              <w:ind w:firstLine="0"/>
              <w:jc w:val="center"/>
              <w:rPr>
                <w:b w:val="0"/>
              </w:rPr>
            </w:pPr>
            <w:r>
              <w:rPr>
                <w:rFonts w:ascii="Times New Roman" w:hAnsi="Times New Roman" w:eastAsia="宋体" w:cs="Times New Roman"/>
                <w:b w:val="0"/>
                <w:i w:val="0"/>
                <w:color w:val="000000"/>
                <w:sz w:val="19"/>
              </w:rPr>
              <w:t>模型参数、姿态范围与执行器映射</w:t>
            </w:r>
          </w:p>
        </w:tc>
        <w:tc>
          <w:tcPr>
            <w:tcW w:w="0" w:type="auto"/>
            <w:shd w:val="clear" w:color="auto" w:fill="FFFFFF"/>
            <w:tcMar>
              <w:top w:w="90" w:type="dxa"/>
              <w:left w:w="100" w:type="dxa"/>
              <w:bottom w:w="90" w:type="dxa"/>
              <w:right w:w="100" w:type="dxa"/>
            </w:tcMar>
            <w:vAlign w:val="center"/>
          </w:tcPr>
          <w:p w14:paraId="7AFBB283">
            <w:pPr>
              <w:spacing w:before="0" w:after="0" w:line="240" w:lineRule="auto"/>
              <w:ind w:firstLine="0"/>
              <w:jc w:val="center"/>
              <w:rPr>
                <w:b w:val="0"/>
              </w:rPr>
            </w:pPr>
            <w:r>
              <w:rPr>
                <w:rFonts w:ascii="Times New Roman" w:hAnsi="Times New Roman" w:eastAsia="宋体" w:cs="Times New Roman"/>
                <w:b w:val="0"/>
                <w:i w:val="0"/>
                <w:color w:val="000000"/>
                <w:sz w:val="19"/>
              </w:rPr>
              <w:t>Lee et al., 2013; Brescianini &amp; D'Andrea, 2020</w:t>
            </w:r>
          </w:p>
        </w:tc>
      </w:tr>
      <w:tr w14:paraId="1F22B9E3">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0" w:type="auto"/>
            <w:shd w:val="clear" w:color="auto" w:fill="FFFFFF"/>
            <w:tcMar>
              <w:top w:w="90" w:type="dxa"/>
              <w:left w:w="100" w:type="dxa"/>
              <w:bottom w:w="90" w:type="dxa"/>
              <w:right w:w="100" w:type="dxa"/>
            </w:tcMar>
            <w:vAlign w:val="center"/>
          </w:tcPr>
          <w:p w14:paraId="4CE42999">
            <w:pPr>
              <w:spacing w:before="0" w:after="0" w:line="240" w:lineRule="auto"/>
              <w:ind w:firstLine="0"/>
              <w:jc w:val="center"/>
              <w:rPr>
                <w:b w:val="0"/>
              </w:rPr>
            </w:pPr>
            <w:r>
              <w:rPr>
                <w:rFonts w:ascii="Times New Roman" w:hAnsi="Times New Roman" w:eastAsia="宋体" w:cs="Times New Roman"/>
                <w:b w:val="0"/>
                <w:i w:val="0"/>
                <w:color w:val="000000"/>
                <w:sz w:val="19"/>
              </w:rPr>
              <w:t>鲁棒、观测与增量控制</w:t>
            </w:r>
          </w:p>
        </w:tc>
        <w:tc>
          <w:tcPr>
            <w:tcW w:w="0" w:type="auto"/>
            <w:shd w:val="clear" w:color="auto" w:fill="FFFFFF"/>
            <w:tcMar>
              <w:top w:w="90" w:type="dxa"/>
              <w:left w:w="100" w:type="dxa"/>
              <w:bottom w:w="90" w:type="dxa"/>
              <w:right w:w="100" w:type="dxa"/>
            </w:tcMar>
            <w:vAlign w:val="center"/>
          </w:tcPr>
          <w:p w14:paraId="7FE7D468">
            <w:pPr>
              <w:spacing w:before="0" w:after="0" w:line="240" w:lineRule="auto"/>
              <w:ind w:firstLine="0"/>
              <w:jc w:val="center"/>
              <w:rPr>
                <w:b w:val="0"/>
              </w:rPr>
            </w:pPr>
            <w:r>
              <w:rPr>
                <w:rFonts w:ascii="Times New Roman" w:hAnsi="Times New Roman" w:eastAsia="宋体" w:cs="Times New Roman"/>
                <w:b w:val="0"/>
                <w:i w:val="0"/>
                <w:color w:val="000000"/>
                <w:sz w:val="19"/>
              </w:rPr>
              <w:t>估计扰动并降低模型依赖</w:t>
            </w:r>
          </w:p>
        </w:tc>
        <w:tc>
          <w:tcPr>
            <w:tcW w:w="0" w:type="auto"/>
            <w:shd w:val="clear" w:color="auto" w:fill="FFFFFF"/>
            <w:tcMar>
              <w:top w:w="90" w:type="dxa"/>
              <w:left w:w="100" w:type="dxa"/>
              <w:bottom w:w="90" w:type="dxa"/>
              <w:right w:w="100" w:type="dxa"/>
            </w:tcMar>
            <w:vAlign w:val="center"/>
          </w:tcPr>
          <w:p w14:paraId="66F12C4B">
            <w:pPr>
              <w:spacing w:before="0" w:after="0" w:line="240" w:lineRule="auto"/>
              <w:ind w:firstLine="0"/>
              <w:jc w:val="center"/>
              <w:rPr>
                <w:b w:val="0"/>
              </w:rPr>
            </w:pPr>
            <w:r>
              <w:rPr>
                <w:rFonts w:ascii="Times New Roman" w:hAnsi="Times New Roman" w:eastAsia="宋体" w:cs="Times New Roman"/>
                <w:b w:val="0"/>
                <w:i w:val="0"/>
                <w:color w:val="000000"/>
                <w:sz w:val="19"/>
              </w:rPr>
              <w:t>噪声、延迟、估计瞬态与稳定性</w:t>
            </w:r>
          </w:p>
        </w:tc>
        <w:tc>
          <w:tcPr>
            <w:tcW w:w="0" w:type="auto"/>
            <w:shd w:val="clear" w:color="auto" w:fill="FFFFFF"/>
            <w:tcMar>
              <w:top w:w="90" w:type="dxa"/>
              <w:left w:w="100" w:type="dxa"/>
              <w:bottom w:w="90" w:type="dxa"/>
              <w:right w:w="100" w:type="dxa"/>
            </w:tcMar>
            <w:vAlign w:val="center"/>
          </w:tcPr>
          <w:p w14:paraId="55F41207">
            <w:pPr>
              <w:spacing w:before="0" w:after="0" w:line="240" w:lineRule="auto"/>
              <w:ind w:firstLine="0"/>
              <w:jc w:val="center"/>
              <w:rPr>
                <w:b w:val="0"/>
              </w:rPr>
            </w:pPr>
            <w:r>
              <w:rPr>
                <w:rFonts w:ascii="Times New Roman" w:hAnsi="Times New Roman" w:eastAsia="宋体" w:cs="Times New Roman"/>
                <w:b w:val="0"/>
                <w:i w:val="0"/>
                <w:color w:val="000000"/>
                <w:sz w:val="19"/>
              </w:rPr>
              <w:t>Smeur et al., 2016; Jeong et al., 2024</w:t>
            </w:r>
          </w:p>
        </w:tc>
      </w:tr>
      <w:tr w14:paraId="3DC92908">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0" w:type="auto"/>
            <w:shd w:val="clear" w:color="auto" w:fill="FFFFFF"/>
            <w:tcMar>
              <w:top w:w="90" w:type="dxa"/>
              <w:left w:w="100" w:type="dxa"/>
              <w:bottom w:w="90" w:type="dxa"/>
              <w:right w:w="100" w:type="dxa"/>
            </w:tcMar>
            <w:vAlign w:val="center"/>
          </w:tcPr>
          <w:p w14:paraId="261473C9">
            <w:pPr>
              <w:spacing w:before="0" w:after="0" w:line="240" w:lineRule="auto"/>
              <w:ind w:firstLine="0"/>
              <w:jc w:val="center"/>
              <w:rPr>
                <w:b w:val="0"/>
              </w:rPr>
            </w:pPr>
            <w:r>
              <w:rPr>
                <w:rFonts w:ascii="Times New Roman" w:hAnsi="Times New Roman" w:eastAsia="宋体" w:cs="Times New Roman"/>
                <w:b w:val="0"/>
                <w:i w:val="0"/>
                <w:color w:val="000000"/>
                <w:sz w:val="19"/>
              </w:rPr>
              <w:t>优化与控制分配</w:t>
            </w:r>
          </w:p>
        </w:tc>
        <w:tc>
          <w:tcPr>
            <w:tcW w:w="0" w:type="auto"/>
            <w:shd w:val="clear" w:color="auto" w:fill="FFFFFF"/>
            <w:tcMar>
              <w:top w:w="90" w:type="dxa"/>
              <w:left w:w="100" w:type="dxa"/>
              <w:bottom w:w="90" w:type="dxa"/>
              <w:right w:w="100" w:type="dxa"/>
            </w:tcMar>
            <w:vAlign w:val="center"/>
          </w:tcPr>
          <w:p w14:paraId="7B09A81E">
            <w:pPr>
              <w:spacing w:before="0" w:after="0" w:line="240" w:lineRule="auto"/>
              <w:ind w:firstLine="0"/>
              <w:jc w:val="center"/>
              <w:rPr>
                <w:b w:val="0"/>
              </w:rPr>
            </w:pPr>
            <w:r>
              <w:rPr>
                <w:rFonts w:ascii="Times New Roman" w:hAnsi="Times New Roman" w:eastAsia="宋体" w:cs="Times New Roman"/>
                <w:b w:val="0"/>
                <w:i w:val="0"/>
                <w:color w:val="000000"/>
                <w:sz w:val="19"/>
              </w:rPr>
              <w:t>显式处理输入约束、饱和与优先级</w:t>
            </w:r>
          </w:p>
        </w:tc>
        <w:tc>
          <w:tcPr>
            <w:tcW w:w="0" w:type="auto"/>
            <w:shd w:val="clear" w:color="auto" w:fill="FFFFFF"/>
            <w:tcMar>
              <w:top w:w="90" w:type="dxa"/>
              <w:left w:w="100" w:type="dxa"/>
              <w:bottom w:w="90" w:type="dxa"/>
              <w:right w:w="100" w:type="dxa"/>
            </w:tcMar>
            <w:vAlign w:val="center"/>
          </w:tcPr>
          <w:p w14:paraId="69AFB814">
            <w:pPr>
              <w:spacing w:before="0" w:after="0" w:line="240" w:lineRule="auto"/>
              <w:ind w:firstLine="0"/>
              <w:jc w:val="center"/>
              <w:rPr>
                <w:b w:val="0"/>
              </w:rPr>
            </w:pPr>
            <w:r>
              <w:rPr>
                <w:rFonts w:ascii="Times New Roman" w:hAnsi="Times New Roman" w:eastAsia="宋体" w:cs="Times New Roman"/>
                <w:b w:val="0"/>
                <w:i w:val="0"/>
                <w:color w:val="000000"/>
                <w:sz w:val="19"/>
              </w:rPr>
              <w:t>计算量、模型一致性与可行恢复</w:t>
            </w:r>
          </w:p>
        </w:tc>
        <w:tc>
          <w:tcPr>
            <w:tcW w:w="0" w:type="auto"/>
            <w:shd w:val="clear" w:color="auto" w:fill="FFFFFF"/>
            <w:tcMar>
              <w:top w:w="90" w:type="dxa"/>
              <w:left w:w="100" w:type="dxa"/>
              <w:bottom w:w="90" w:type="dxa"/>
              <w:right w:w="100" w:type="dxa"/>
            </w:tcMar>
            <w:vAlign w:val="center"/>
          </w:tcPr>
          <w:p w14:paraId="0793BDC3">
            <w:pPr>
              <w:spacing w:before="0" w:after="0" w:line="240" w:lineRule="auto"/>
              <w:ind w:firstLine="0"/>
              <w:jc w:val="center"/>
              <w:rPr>
                <w:b w:val="0"/>
              </w:rPr>
            </w:pPr>
            <w:r>
              <w:rPr>
                <w:rFonts w:ascii="Times New Roman" w:hAnsi="Times New Roman" w:eastAsia="宋体" w:cs="Times New Roman"/>
                <w:b w:val="0"/>
                <w:i w:val="0"/>
                <w:color w:val="000000"/>
                <w:sz w:val="19"/>
              </w:rPr>
              <w:t>Johansen &amp; Fossen, 2013</w:t>
            </w:r>
          </w:p>
        </w:tc>
      </w:tr>
      <w:tr w14:paraId="2FBC439E">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0" w:type="auto"/>
            <w:tcBorders>
              <w:bottom w:val="single" w:color="000000" w:sz="12" w:space="0"/>
            </w:tcBorders>
            <w:shd w:val="clear" w:color="auto" w:fill="FFFFFF"/>
            <w:tcMar>
              <w:top w:w="90" w:type="dxa"/>
              <w:left w:w="100" w:type="dxa"/>
              <w:bottom w:w="90" w:type="dxa"/>
              <w:right w:w="100" w:type="dxa"/>
            </w:tcMar>
            <w:vAlign w:val="center"/>
          </w:tcPr>
          <w:p w14:paraId="10D7EEE9">
            <w:pPr>
              <w:spacing w:before="0" w:after="0" w:line="240" w:lineRule="auto"/>
              <w:ind w:firstLine="0"/>
              <w:jc w:val="center"/>
              <w:rPr>
                <w:b w:val="0"/>
              </w:rPr>
            </w:pPr>
            <w:r>
              <w:rPr>
                <w:rFonts w:ascii="Times New Roman" w:hAnsi="Times New Roman" w:eastAsia="宋体" w:cs="Times New Roman"/>
                <w:b w:val="0"/>
                <w:i w:val="0"/>
                <w:color w:val="000000"/>
                <w:sz w:val="19"/>
              </w:rPr>
              <w:t>编队与CBF安全</w:t>
            </w:r>
          </w:p>
        </w:tc>
        <w:tc>
          <w:tcPr>
            <w:tcW w:w="0" w:type="auto"/>
            <w:tcBorders>
              <w:bottom w:val="single" w:color="000000" w:sz="12" w:space="0"/>
            </w:tcBorders>
            <w:shd w:val="clear" w:color="auto" w:fill="FFFFFF"/>
            <w:tcMar>
              <w:top w:w="90" w:type="dxa"/>
              <w:left w:w="100" w:type="dxa"/>
              <w:bottom w:w="90" w:type="dxa"/>
              <w:right w:w="100" w:type="dxa"/>
            </w:tcMar>
            <w:vAlign w:val="center"/>
          </w:tcPr>
          <w:p w14:paraId="48A3B200">
            <w:pPr>
              <w:spacing w:before="0" w:after="0" w:line="240" w:lineRule="auto"/>
              <w:ind w:firstLine="0"/>
              <w:jc w:val="center"/>
              <w:rPr>
                <w:b w:val="0"/>
              </w:rPr>
            </w:pPr>
            <w:r>
              <w:rPr>
                <w:rFonts w:ascii="Times New Roman" w:hAnsi="Times New Roman" w:eastAsia="宋体" w:cs="Times New Roman"/>
                <w:b w:val="0"/>
                <w:i w:val="0"/>
                <w:color w:val="000000"/>
                <w:sz w:val="19"/>
              </w:rPr>
              <w:t>分层协调队形任务与碰撞约束</w:t>
            </w:r>
          </w:p>
        </w:tc>
        <w:tc>
          <w:tcPr>
            <w:tcW w:w="0" w:type="auto"/>
            <w:tcBorders>
              <w:bottom w:val="single" w:color="000000" w:sz="12" w:space="0"/>
            </w:tcBorders>
            <w:shd w:val="clear" w:color="auto" w:fill="FFFFFF"/>
            <w:tcMar>
              <w:top w:w="90" w:type="dxa"/>
              <w:left w:w="100" w:type="dxa"/>
              <w:bottom w:w="90" w:type="dxa"/>
              <w:right w:w="100" w:type="dxa"/>
            </w:tcMar>
            <w:vAlign w:val="center"/>
          </w:tcPr>
          <w:p w14:paraId="3A9F2522">
            <w:pPr>
              <w:spacing w:before="0" w:after="0" w:line="240" w:lineRule="auto"/>
              <w:ind w:firstLine="0"/>
              <w:jc w:val="center"/>
              <w:rPr>
                <w:b w:val="0"/>
              </w:rPr>
            </w:pPr>
            <w:r>
              <w:rPr>
                <w:rFonts w:ascii="Times New Roman" w:hAnsi="Times New Roman" w:eastAsia="宋体" w:cs="Times New Roman"/>
                <w:b w:val="0"/>
                <w:i w:val="0"/>
                <w:color w:val="000000"/>
                <w:sz w:val="19"/>
              </w:rPr>
              <w:t>通信、可行性与安全修正代价</w:t>
            </w:r>
          </w:p>
        </w:tc>
        <w:tc>
          <w:tcPr>
            <w:tcW w:w="0" w:type="auto"/>
            <w:tcBorders>
              <w:bottom w:val="single" w:color="000000" w:sz="12" w:space="0"/>
            </w:tcBorders>
            <w:shd w:val="clear" w:color="auto" w:fill="FFFFFF"/>
            <w:tcMar>
              <w:top w:w="90" w:type="dxa"/>
              <w:left w:w="100" w:type="dxa"/>
              <w:bottom w:w="90" w:type="dxa"/>
              <w:right w:w="100" w:type="dxa"/>
            </w:tcMar>
            <w:vAlign w:val="center"/>
          </w:tcPr>
          <w:p w14:paraId="5CAF0A90">
            <w:pPr>
              <w:spacing w:before="0" w:after="0" w:line="240" w:lineRule="auto"/>
              <w:ind w:firstLine="0"/>
              <w:jc w:val="center"/>
              <w:rPr>
                <w:b w:val="0"/>
              </w:rPr>
            </w:pPr>
            <w:r>
              <w:rPr>
                <w:rFonts w:ascii="Times New Roman" w:hAnsi="Times New Roman" w:eastAsia="宋体" w:cs="Times New Roman"/>
                <w:b w:val="0"/>
                <w:i w:val="0"/>
                <w:color w:val="000000"/>
                <w:sz w:val="19"/>
              </w:rPr>
              <w:t>Ames et al., 2017; Chung et al., 2018</w:t>
            </w:r>
          </w:p>
        </w:tc>
      </w:tr>
    </w:tbl>
    <w:p w14:paraId="6E956672">
      <w:pPr>
        <w:spacing w:after="0"/>
      </w:pPr>
    </w:p>
    <w:p w14:paraId="4AD552D2">
      <w:pPr>
        <w:widowControl/>
        <w:spacing w:before="0" w:after="0" w:line="360" w:lineRule="auto"/>
        <w:ind w:firstLine="480"/>
        <w:jc w:val="both"/>
      </w:pPr>
      <w:r>
        <w:rPr>
          <w:rFonts w:ascii="Times New Roman" w:hAnsi="Times New Roman" w:eastAsia="宋体" w:cs="Times New Roman"/>
          <w:b w:val="0"/>
          <w:i w:val="0"/>
          <w:color w:val="000000"/>
          <w:sz w:val="24"/>
        </w:rPr>
        <w:t>基于上述研究，RA-GCA-CGHTE以期望合力方向确定机体推力轴，通过约化姿态反馈控制滚转与俯仰，以置信门控悬停推力估计修正持续模型偏差，并在旋翼平方转速域处理电机限制。RA-GCA/Base、CAP-ADRC和CP-INDI分别用于比较基础几何控制、主动抗扰和增量控制方法；PP-CBF用于评价三机安全距离控制。</w:t>
      </w:r>
    </w:p>
    <w:p w14:paraId="0EDE8901">
      <w:pPr>
        <w:widowControl/>
        <w:spacing w:before="0" w:after="0" w:line="360" w:lineRule="auto"/>
        <w:ind w:firstLine="480"/>
        <w:jc w:val="both"/>
      </w:pPr>
      <w:r>
        <w:rPr>
          <w:rFonts w:ascii="Times New Roman" w:hAnsi="Times New Roman" w:eastAsia="宋体" w:cs="Times New Roman"/>
          <w:b w:val="0"/>
          <w:i w:val="0"/>
          <w:color w:val="000000"/>
          <w:sz w:val="24"/>
        </w:rPr>
        <w:t>本项目依据公开论文和开源工程原理，面向A8模型开展控制器设计。除赛题提供的PID基线外，优化与对照控制器均由团队在MWORKS.Sysblock中独立实现，并完成坐标与单位适配、推力估计、约束分配、模型接入和仿真验证。引用仅说明理论与工程来源。</w:t>
      </w:r>
    </w:p>
    <w:p w14:paraId="659B9F09">
      <w:pPr>
        <w:widowControl/>
        <w:spacing w:before="0" w:after="0" w:line="360" w:lineRule="auto"/>
        <w:ind w:firstLine="480"/>
        <w:jc w:val="both"/>
      </w:pPr>
      <w:r>
        <w:rPr>
          <w:rFonts w:ascii="Times New Roman" w:hAnsi="Times New Roman" w:eastAsia="宋体" w:cs="Times New Roman"/>
          <w:b w:val="0"/>
          <w:i w:val="0"/>
          <w:color w:val="000000"/>
          <w:sz w:val="24"/>
        </w:rPr>
        <w:t>报告比较PID、RA-GCA/Base、RA-GCA-CGHTE、CAP-ADRC和CP-INDI，并通过消融实验分析悬停推力估计增强的作用。横向比较只使用模型、参考、初值和评价方法一致的结果；缺少相同测试条件结果时不作比较。</w:t>
      </w:r>
    </w:p>
    <w:p w14:paraId="40A399E1">
      <w:pPr>
        <w:ind w:left="0" w:leftChars="0" w:firstLine="0" w:firstLineChars="0"/>
      </w:pPr>
    </w:p>
    <w:p w14:paraId="5A9EF230">
      <w:pPr>
        <w:pStyle w:val="2"/>
        <w:pageBreakBefore w:val="0"/>
      </w:pPr>
      <w:bookmarkStart w:id="4" w:name="_Toc9004"/>
      <w:r>
        <w:rPr>
          <w:rFonts w:ascii="Times New Roman" w:hAnsi="Times New Roman" w:eastAsia="黑体" w:cs="Times New Roman"/>
          <w:b/>
          <w:color w:val="000000"/>
          <w:sz w:val="32"/>
        </w:rPr>
        <w:t>第2章 官方模型与PID基准分析</w:t>
      </w:r>
      <w:bookmarkEnd w:id="4"/>
    </w:p>
    <w:p w14:paraId="68AE064E">
      <w:pPr>
        <w:spacing w:before="0" w:after="0" w:line="360" w:lineRule="auto"/>
        <w:ind w:firstLine="480"/>
        <w:jc w:val="both"/>
      </w:pPr>
      <w:r>
        <w:rPr>
          <w:rFonts w:ascii="Times New Roman" w:hAnsi="Times New Roman" w:eastAsia="宋体" w:cs="Times New Roman"/>
          <w:color w:val="000000"/>
          <w:sz w:val="24"/>
        </w:rPr>
        <w:t>本章说明后续算法比较采用的四旋翼模型、控制器接口、仿真设置和PID基准。首先介绍赛题模型与控制范围，然后分析PID的三轴阶跃响应，并据此提出改进目标。所有控制器使用相同的模型、参考轨迹、初始状态、求解器和指标计算方法，以保证比较条件一致。</w:t>
      </w:r>
    </w:p>
    <w:p w14:paraId="16FD051C">
      <w:pPr>
        <w:pStyle w:val="3"/>
      </w:pPr>
      <w:bookmarkStart w:id="5" w:name="_Toc5928"/>
      <w:r>
        <w:rPr>
          <w:rFonts w:ascii="Times New Roman" w:hAnsi="Times New Roman" w:eastAsia="黑体" w:cs="Times New Roman"/>
          <w:b/>
          <w:color w:val="000000"/>
          <w:sz w:val="26"/>
        </w:rPr>
        <w:t>2.1  官方四旋翼仿真系统</w:t>
      </w:r>
      <w:bookmarkEnd w:id="5"/>
    </w:p>
    <w:p w14:paraId="5FE890D2">
      <w:pPr>
        <w:spacing w:before="0" w:after="0" w:line="360" w:lineRule="auto"/>
        <w:ind w:firstLine="480"/>
        <w:jc w:val="both"/>
      </w:pPr>
      <w:r>
        <w:rPr>
          <w:rFonts w:ascii="Times New Roman" w:hAnsi="Times New Roman" w:eastAsia="宋体" w:cs="Times New Roman"/>
          <w:color w:val="000000"/>
          <w:sz w:val="24"/>
        </w:rPr>
        <w:t>赛题案例在同一MWORKS.Sysplorer模型中包含无人机本体、电机与旋翼、PID控制器和传感器。参考轨迹进入控制器后，控制器输出四路电机指令；电机和旋翼将指令转换为转速与升力，四个旋翼共同驱动三维刚体机架。传感器将位置和姿态反馈给控制器，形成图2-1所示的完整仿真系统。阶梯爬升、螺旋爬升和8字轨迹只改变参考轨迹，机体模型、执行器和测量方式保持不变。</w:t>
      </w:r>
    </w:p>
    <w:p w14:paraId="06046160">
      <w:pPr>
        <w:keepNext/>
        <w:keepLines/>
        <w:spacing w:before="0" w:after="60"/>
        <w:ind w:firstLine="0"/>
        <w:jc w:val="center"/>
      </w:pPr>
    </w:p>
    <w:p w14:paraId="62491B2B">
      <w:pPr>
        <w:keepNext/>
        <w:keepLines/>
        <w:spacing w:before="0" w:after="60"/>
        <w:ind w:firstLine="0"/>
        <w:jc w:val="center"/>
        <w:rPr>
          <w:rFonts w:hint="eastAsia" w:eastAsia="宋体"/>
          <w:lang w:eastAsia="zh-CN"/>
        </w:rPr>
      </w:pPr>
      <w:r>
        <w:rPr>
          <w:rFonts w:hint="eastAsia" w:eastAsia="宋体"/>
          <w:lang w:eastAsia="zh-CN"/>
        </w:rPr>
        <w:drawing>
          <wp:inline distT="0" distB="0" distL="114300" distR="114300">
            <wp:extent cx="5755005" cy="1459230"/>
            <wp:effectExtent l="0" t="0" r="17145" b="7620"/>
            <wp:docPr id="29" name="图片 29" descr="figure_2_1_official_system_mono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figure_2_1_official_system_monochrome"/>
                    <pic:cNvPicPr>
                      <a:picLocks noChangeAspect="1"/>
                    </pic:cNvPicPr>
                  </pic:nvPicPr>
                  <pic:blipFill>
                    <a:blip r:embed="rId13"/>
                    <a:stretch>
                      <a:fillRect/>
                    </a:stretch>
                  </pic:blipFill>
                  <pic:spPr>
                    <a:xfrm>
                      <a:off x="0" y="0"/>
                      <a:ext cx="5755005" cy="1459230"/>
                    </a:xfrm>
                    <a:prstGeom prst="rect">
                      <a:avLst/>
                    </a:prstGeom>
                  </pic:spPr>
                </pic:pic>
              </a:graphicData>
            </a:graphic>
          </wp:inline>
        </w:drawing>
      </w:r>
    </w:p>
    <w:p w14:paraId="4A7F20C1">
      <w:pPr>
        <w:pStyle w:val="4"/>
      </w:pPr>
      <w:r>
        <w:rPr>
          <w:rFonts w:ascii="Times New Roman" w:hAnsi="Times New Roman" w:eastAsia="宋体" w:cs="Times New Roman"/>
          <w:b/>
          <w:color w:val="000000"/>
          <w:sz w:val="21"/>
        </w:rPr>
        <w:t>图2-1  官方四旋翼仿真系统组成与信号流</w:t>
      </w:r>
    </w:p>
    <w:p w14:paraId="512227B9">
      <w:pPr>
        <w:spacing w:before="0" w:after="0" w:line="360" w:lineRule="auto"/>
        <w:ind w:firstLine="480"/>
        <w:jc w:val="both"/>
      </w:pPr>
      <w:r>
        <w:rPr>
          <w:rFonts w:ascii="Times New Roman" w:hAnsi="Times New Roman" w:eastAsia="宋体" w:cs="Times New Roman"/>
          <w:color w:val="000000"/>
          <w:sz w:val="24"/>
        </w:rPr>
        <w:t>该模型包括机体和旋翼的质量与转动惯量、四套电机驱动、旋翼升力、三维刚体运动、地面接触以及位置和姿态测量。名义旋翼升力系数为0.002，机体质量参数为0.159504 kg；两项参数直接影响悬停推力、姿态耦合和可用推力。旋翼推力与机体运动会共同影响高度和姿态响应（Hoffmann et al., 2007）。因此，控制器输出需经过电机和旋翼动力学后才作用于机体。表2-1归纳模型组成；后续比较只更换控制器，其余部分保持不变。</w:t>
      </w:r>
    </w:p>
    <w:p w14:paraId="73B537C3">
      <w:pPr>
        <w:pStyle w:val="4"/>
        <w:keepNext/>
      </w:pPr>
      <w:r>
        <w:rPr>
          <w:rFonts w:ascii="Times New Roman" w:hAnsi="Times New Roman" w:eastAsia="宋体" w:cs="Times New Roman"/>
          <w:b/>
          <w:color w:val="000000"/>
          <w:sz w:val="21"/>
        </w:rPr>
        <w:t>表2-1  官方模型的主要组成及信号作用</w:t>
      </w:r>
    </w:p>
    <w:tbl>
      <w:tblPr>
        <w:tblStyle w:val="11"/>
        <w:tblW w:w="0" w:type="auto"/>
        <w:jc w:val="center"/>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110"/>
        <w:gridCol w:w="3770"/>
        <w:gridCol w:w="3200"/>
      </w:tblGrid>
      <w:tr w14:paraId="0205EF6C">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blHeader/>
          <w:jc w:val="center"/>
        </w:trPr>
        <w:tc>
          <w:tcPr>
            <w:tcW w:w="0" w:type="auto"/>
            <w:tcBorders>
              <w:top w:val="single" w:color="000000" w:sz="12" w:space="0"/>
              <w:bottom w:val="single" w:color="000000" w:sz="4" w:space="0"/>
              <w:tl2br w:val="nil"/>
            </w:tcBorders>
            <w:shd w:val="clear" w:color="auto" w:fill="FFFFFF"/>
            <w:tcMar>
              <w:top w:w="80" w:type="dxa"/>
              <w:left w:w="80" w:type="dxa"/>
              <w:bottom w:w="80" w:type="dxa"/>
              <w:right w:w="80" w:type="dxa"/>
            </w:tcMar>
            <w:vAlign w:val="center"/>
          </w:tcPr>
          <w:p w14:paraId="443477FE">
            <w:pPr>
              <w:spacing w:before="0" w:after="0" w:line="240" w:lineRule="auto"/>
              <w:ind w:firstLine="0"/>
              <w:jc w:val="center"/>
              <w:rPr>
                <w:b/>
                <w:bCs/>
              </w:rPr>
            </w:pPr>
            <w:r>
              <w:rPr>
                <w:rFonts w:ascii="Times New Roman" w:hAnsi="Times New Roman" w:eastAsia="宋体" w:cs="Times New Roman"/>
                <w:b/>
                <w:bCs/>
                <w:color w:val="000000"/>
                <w:sz w:val="19"/>
              </w:rPr>
              <w:t>模块</w:t>
            </w:r>
          </w:p>
        </w:tc>
        <w:tc>
          <w:tcPr>
            <w:tcW w:w="0" w:type="auto"/>
            <w:tcBorders>
              <w:top w:val="single" w:color="000000" w:sz="12" w:space="0"/>
              <w:bottom w:val="single" w:color="000000" w:sz="4" w:space="0"/>
            </w:tcBorders>
            <w:shd w:val="clear" w:color="auto" w:fill="FFFFFF"/>
            <w:tcMar>
              <w:top w:w="80" w:type="dxa"/>
              <w:left w:w="80" w:type="dxa"/>
              <w:bottom w:w="80" w:type="dxa"/>
              <w:right w:w="80" w:type="dxa"/>
            </w:tcMar>
            <w:vAlign w:val="center"/>
          </w:tcPr>
          <w:p w14:paraId="2CDDB058">
            <w:pPr>
              <w:spacing w:before="0" w:after="0" w:line="240" w:lineRule="auto"/>
              <w:ind w:firstLine="0"/>
              <w:jc w:val="center"/>
              <w:rPr>
                <w:b/>
                <w:bCs/>
              </w:rPr>
            </w:pPr>
            <w:r>
              <w:rPr>
                <w:rFonts w:ascii="Times New Roman" w:hAnsi="Times New Roman" w:eastAsia="宋体" w:cs="Times New Roman"/>
                <w:b/>
                <w:bCs/>
                <w:color w:val="000000"/>
                <w:sz w:val="19"/>
              </w:rPr>
              <w:t>源码实现与作用</w:t>
            </w:r>
          </w:p>
        </w:tc>
        <w:tc>
          <w:tcPr>
            <w:tcW w:w="0" w:type="auto"/>
            <w:tcBorders>
              <w:top w:val="single" w:color="000000" w:sz="12" w:space="0"/>
              <w:bottom w:val="single" w:color="000000" w:sz="4" w:space="0"/>
            </w:tcBorders>
            <w:shd w:val="clear" w:color="auto" w:fill="FFFFFF"/>
            <w:tcMar>
              <w:top w:w="80" w:type="dxa"/>
              <w:left w:w="80" w:type="dxa"/>
              <w:bottom w:w="80" w:type="dxa"/>
              <w:right w:w="80" w:type="dxa"/>
            </w:tcMar>
            <w:vAlign w:val="center"/>
          </w:tcPr>
          <w:p w14:paraId="61E4DBA8">
            <w:pPr>
              <w:spacing w:before="0" w:after="0" w:line="240" w:lineRule="auto"/>
              <w:ind w:firstLine="0"/>
              <w:jc w:val="center"/>
              <w:rPr>
                <w:b/>
                <w:bCs/>
              </w:rPr>
            </w:pPr>
            <w:r>
              <w:rPr>
                <w:rFonts w:ascii="Times New Roman" w:hAnsi="Times New Roman" w:eastAsia="宋体" w:cs="Times New Roman"/>
                <w:b/>
                <w:bCs/>
                <w:color w:val="000000"/>
                <w:sz w:val="19"/>
              </w:rPr>
              <w:t>关键接口</w:t>
            </w:r>
          </w:p>
        </w:tc>
      </w:tr>
      <w:tr w14:paraId="0B9EAEE9">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0" w:type="auto"/>
            <w:tcBorders>
              <w:top w:val="single" w:color="000000" w:sz="4" w:space="0"/>
            </w:tcBorders>
            <w:shd w:val="clear" w:color="auto" w:fill="FFFFFF"/>
            <w:tcMar>
              <w:top w:w="80" w:type="dxa"/>
              <w:left w:w="80" w:type="dxa"/>
              <w:bottom w:w="80" w:type="dxa"/>
              <w:right w:w="80" w:type="dxa"/>
            </w:tcMar>
            <w:vAlign w:val="center"/>
          </w:tcPr>
          <w:p w14:paraId="44534BE5">
            <w:pPr>
              <w:spacing w:before="0" w:after="0" w:line="240" w:lineRule="auto"/>
              <w:ind w:firstLine="0"/>
              <w:jc w:val="left"/>
              <w:rPr>
                <w:b w:val="0"/>
              </w:rPr>
            </w:pPr>
            <w:r>
              <w:rPr>
                <w:rFonts w:ascii="Times New Roman" w:hAnsi="Times New Roman" w:eastAsia="宋体" w:cs="Times New Roman"/>
                <w:b w:val="0"/>
                <w:color w:val="000000"/>
                <w:sz w:val="19"/>
              </w:rPr>
              <w:t>参考轨迹</w:t>
            </w:r>
          </w:p>
        </w:tc>
        <w:tc>
          <w:tcPr>
            <w:tcW w:w="0" w:type="auto"/>
            <w:tcBorders>
              <w:top w:val="single" w:color="000000" w:sz="4" w:space="0"/>
            </w:tcBorders>
            <w:shd w:val="clear" w:color="auto" w:fill="FFFFFF"/>
            <w:tcMar>
              <w:top w:w="80" w:type="dxa"/>
              <w:left w:w="80" w:type="dxa"/>
              <w:bottom w:w="80" w:type="dxa"/>
              <w:right w:w="80" w:type="dxa"/>
            </w:tcMar>
            <w:vAlign w:val="center"/>
          </w:tcPr>
          <w:p w14:paraId="72F91AF2">
            <w:pPr>
              <w:spacing w:before="0" w:after="0" w:line="240" w:lineRule="auto"/>
              <w:ind w:firstLine="0"/>
              <w:jc w:val="center"/>
              <w:rPr>
                <w:b w:val="0"/>
              </w:rPr>
            </w:pPr>
            <w:r>
              <w:rPr>
                <w:rFonts w:ascii="Times New Roman" w:hAnsi="Times New Roman" w:eastAsia="宋体" w:cs="Times New Roman"/>
                <w:b w:val="0"/>
                <w:color w:val="000000"/>
                <w:sz w:val="19"/>
              </w:rPr>
              <w:t>阶梯、螺旋与8字轨迹生成器</w:t>
            </w:r>
          </w:p>
        </w:tc>
        <w:tc>
          <w:tcPr>
            <w:tcW w:w="0" w:type="auto"/>
            <w:tcBorders>
              <w:top w:val="single" w:color="000000" w:sz="4" w:space="0"/>
            </w:tcBorders>
            <w:shd w:val="clear" w:color="auto" w:fill="FFFFFF"/>
            <w:tcMar>
              <w:top w:w="80" w:type="dxa"/>
              <w:left w:w="80" w:type="dxa"/>
              <w:bottom w:w="80" w:type="dxa"/>
              <w:right w:w="80" w:type="dxa"/>
            </w:tcMar>
            <w:vAlign w:val="center"/>
          </w:tcPr>
          <w:p w14:paraId="492DEBA1">
            <w:pPr>
              <w:spacing w:before="0" w:after="0" w:line="240" w:lineRule="auto"/>
              <w:ind w:firstLine="0"/>
              <w:jc w:val="center"/>
              <w:rPr>
                <w:b w:val="0"/>
              </w:rPr>
            </w:pPr>
            <w:r>
              <w:rPr>
                <w:rFonts w:ascii="Times New Roman" w:hAnsi="Times New Roman" w:eastAsia="宋体" w:cs="Times New Roman"/>
                <w:b w:val="0"/>
                <w:color w:val="000000"/>
                <w:sz w:val="19"/>
              </w:rPr>
              <w:t>位置指令 x_d、y_d、z_d</w:t>
            </w:r>
          </w:p>
        </w:tc>
      </w:tr>
      <w:tr w14:paraId="3E6BD6B5">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0" w:type="auto"/>
            <w:shd w:val="clear" w:color="auto" w:fill="FFFFFF"/>
            <w:tcMar>
              <w:top w:w="80" w:type="dxa"/>
              <w:left w:w="80" w:type="dxa"/>
              <w:bottom w:w="80" w:type="dxa"/>
              <w:right w:w="80" w:type="dxa"/>
            </w:tcMar>
            <w:vAlign w:val="center"/>
          </w:tcPr>
          <w:p w14:paraId="629AC4FA">
            <w:pPr>
              <w:spacing w:before="0" w:after="0" w:line="240" w:lineRule="auto"/>
              <w:ind w:firstLine="0"/>
              <w:jc w:val="left"/>
              <w:rPr>
                <w:b w:val="0"/>
              </w:rPr>
            </w:pPr>
            <w:r>
              <w:rPr>
                <w:rFonts w:ascii="Times New Roman" w:hAnsi="Times New Roman" w:eastAsia="宋体" w:cs="Times New Roman"/>
                <w:b w:val="0"/>
                <w:color w:val="000000"/>
                <w:sz w:val="19"/>
              </w:rPr>
              <w:t>控制器</w:t>
            </w:r>
          </w:p>
        </w:tc>
        <w:tc>
          <w:tcPr>
            <w:tcW w:w="0" w:type="auto"/>
            <w:shd w:val="clear" w:color="auto" w:fill="FFFFFF"/>
            <w:tcMar>
              <w:top w:w="80" w:type="dxa"/>
              <w:left w:w="80" w:type="dxa"/>
              <w:bottom w:w="80" w:type="dxa"/>
              <w:right w:w="80" w:type="dxa"/>
            </w:tcMar>
            <w:vAlign w:val="center"/>
          </w:tcPr>
          <w:p w14:paraId="6859E902">
            <w:pPr>
              <w:spacing w:before="0" w:after="0" w:line="240" w:lineRule="auto"/>
              <w:ind w:firstLine="0"/>
              <w:jc w:val="center"/>
              <w:rPr>
                <w:b w:val="0"/>
              </w:rPr>
            </w:pPr>
            <w:r>
              <w:rPr>
                <w:rFonts w:ascii="Times New Roman" w:hAnsi="Times New Roman" w:eastAsia="宋体" w:cs="Times New Roman"/>
                <w:b w:val="0"/>
                <w:color w:val="000000"/>
                <w:sz w:val="19"/>
              </w:rPr>
              <w:t>位置/姿态PID及静态四电机混控</w:t>
            </w:r>
          </w:p>
        </w:tc>
        <w:tc>
          <w:tcPr>
            <w:tcW w:w="0" w:type="auto"/>
            <w:shd w:val="clear" w:color="auto" w:fill="FFFFFF"/>
            <w:tcMar>
              <w:top w:w="80" w:type="dxa"/>
              <w:left w:w="80" w:type="dxa"/>
              <w:bottom w:w="80" w:type="dxa"/>
              <w:right w:w="80" w:type="dxa"/>
            </w:tcMar>
            <w:vAlign w:val="center"/>
          </w:tcPr>
          <w:p w14:paraId="242AD7B9">
            <w:pPr>
              <w:spacing w:before="0" w:after="0" w:line="240" w:lineRule="auto"/>
              <w:ind w:firstLine="0"/>
              <w:jc w:val="center"/>
              <w:rPr>
                <w:b w:val="0"/>
              </w:rPr>
            </w:pPr>
            <w:r>
              <w:rPr>
                <w:rFonts w:ascii="Times New Roman" w:hAnsi="Times New Roman" w:eastAsia="宋体" w:cs="Times New Roman"/>
                <w:b w:val="0"/>
                <w:color w:val="000000"/>
                <w:sz w:val="19"/>
              </w:rPr>
              <w:t>位置、姿态输入；四路电机指令输出</w:t>
            </w:r>
          </w:p>
        </w:tc>
      </w:tr>
      <w:tr w14:paraId="204CB561">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0" w:type="auto"/>
            <w:shd w:val="clear" w:color="auto" w:fill="FFFFFF"/>
            <w:tcMar>
              <w:top w:w="80" w:type="dxa"/>
              <w:left w:w="80" w:type="dxa"/>
              <w:bottom w:w="80" w:type="dxa"/>
              <w:right w:w="80" w:type="dxa"/>
            </w:tcMar>
            <w:vAlign w:val="center"/>
          </w:tcPr>
          <w:p w14:paraId="6ECAF1FC">
            <w:pPr>
              <w:spacing w:before="0" w:after="0" w:line="240" w:lineRule="auto"/>
              <w:ind w:firstLine="0"/>
              <w:jc w:val="left"/>
              <w:rPr>
                <w:b w:val="0"/>
              </w:rPr>
            </w:pPr>
            <w:r>
              <w:rPr>
                <w:rFonts w:ascii="Times New Roman" w:hAnsi="Times New Roman" w:eastAsia="宋体" w:cs="Times New Roman"/>
                <w:b w:val="0"/>
                <w:color w:val="000000"/>
                <w:sz w:val="19"/>
              </w:rPr>
              <w:t>电机与旋翼</w:t>
            </w:r>
          </w:p>
        </w:tc>
        <w:tc>
          <w:tcPr>
            <w:tcW w:w="0" w:type="auto"/>
            <w:shd w:val="clear" w:color="auto" w:fill="FFFFFF"/>
            <w:tcMar>
              <w:top w:w="80" w:type="dxa"/>
              <w:left w:w="80" w:type="dxa"/>
              <w:bottom w:w="80" w:type="dxa"/>
              <w:right w:w="80" w:type="dxa"/>
            </w:tcMar>
            <w:vAlign w:val="center"/>
          </w:tcPr>
          <w:p w14:paraId="2BF25A01">
            <w:pPr>
              <w:spacing w:before="0" w:after="0" w:line="240" w:lineRule="auto"/>
              <w:ind w:firstLine="0"/>
              <w:jc w:val="center"/>
              <w:rPr>
                <w:b w:val="0"/>
              </w:rPr>
            </w:pPr>
            <w:r>
              <w:rPr>
                <w:rFonts w:ascii="Times New Roman" w:hAnsi="Times New Roman" w:eastAsia="宋体" w:cs="Times New Roman"/>
                <w:b w:val="0"/>
                <w:color w:val="000000"/>
                <w:sz w:val="19"/>
              </w:rPr>
              <w:t>直流电机、电气驱动、转速测量与升力映射</w:t>
            </w:r>
          </w:p>
        </w:tc>
        <w:tc>
          <w:tcPr>
            <w:tcW w:w="0" w:type="auto"/>
            <w:shd w:val="clear" w:color="auto" w:fill="FFFFFF"/>
            <w:tcMar>
              <w:top w:w="80" w:type="dxa"/>
              <w:left w:w="80" w:type="dxa"/>
              <w:bottom w:w="80" w:type="dxa"/>
              <w:right w:w="80" w:type="dxa"/>
            </w:tcMar>
            <w:vAlign w:val="center"/>
          </w:tcPr>
          <w:p w14:paraId="4AFEE2BA">
            <w:pPr>
              <w:spacing w:before="0" w:after="0" w:line="240" w:lineRule="auto"/>
              <w:ind w:firstLine="0"/>
              <w:jc w:val="center"/>
              <w:rPr>
                <w:b w:val="0"/>
              </w:rPr>
            </w:pPr>
            <w:r>
              <w:rPr>
                <w:rFonts w:ascii="Times New Roman" w:hAnsi="Times New Roman" w:eastAsia="宋体" w:cs="Times New Roman"/>
                <w:b w:val="0"/>
                <w:color w:val="000000"/>
                <w:sz w:val="19"/>
              </w:rPr>
              <w:t>控制指令、转速、旋翼力</w:t>
            </w:r>
          </w:p>
        </w:tc>
      </w:tr>
      <w:tr w14:paraId="1D4314A7">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0" w:type="auto"/>
            <w:shd w:val="clear" w:color="auto" w:fill="FFFFFF"/>
            <w:tcMar>
              <w:top w:w="80" w:type="dxa"/>
              <w:left w:w="80" w:type="dxa"/>
              <w:bottom w:w="80" w:type="dxa"/>
              <w:right w:w="80" w:type="dxa"/>
            </w:tcMar>
            <w:vAlign w:val="center"/>
          </w:tcPr>
          <w:p w14:paraId="52FAA96C">
            <w:pPr>
              <w:spacing w:before="0" w:after="0" w:line="240" w:lineRule="auto"/>
              <w:ind w:firstLine="0"/>
              <w:jc w:val="left"/>
              <w:rPr>
                <w:b w:val="0"/>
              </w:rPr>
            </w:pPr>
            <w:r>
              <w:rPr>
                <w:rFonts w:ascii="Times New Roman" w:hAnsi="Times New Roman" w:eastAsia="宋体" w:cs="Times New Roman"/>
                <w:b w:val="0"/>
                <w:color w:val="000000"/>
                <w:sz w:val="19"/>
              </w:rPr>
              <w:t>机体模型</w:t>
            </w:r>
          </w:p>
        </w:tc>
        <w:tc>
          <w:tcPr>
            <w:tcW w:w="0" w:type="auto"/>
            <w:shd w:val="clear" w:color="auto" w:fill="FFFFFF"/>
            <w:tcMar>
              <w:top w:w="80" w:type="dxa"/>
              <w:left w:w="80" w:type="dxa"/>
              <w:bottom w:w="80" w:type="dxa"/>
              <w:right w:w="80" w:type="dxa"/>
            </w:tcMar>
            <w:vAlign w:val="center"/>
          </w:tcPr>
          <w:p w14:paraId="7A2F1DE4">
            <w:pPr>
              <w:spacing w:before="0" w:after="0" w:line="240" w:lineRule="auto"/>
              <w:ind w:firstLine="0"/>
              <w:jc w:val="center"/>
              <w:rPr>
                <w:b w:val="0"/>
              </w:rPr>
            </w:pPr>
            <w:r>
              <w:rPr>
                <w:rFonts w:ascii="Times New Roman" w:hAnsi="Times New Roman" w:eastAsia="宋体" w:cs="Times New Roman"/>
                <w:b w:val="0"/>
                <w:color w:val="000000"/>
                <w:sz w:val="19"/>
              </w:rPr>
              <w:t>三维刚体、四臂/旋翼连接与地面接触</w:t>
            </w:r>
          </w:p>
        </w:tc>
        <w:tc>
          <w:tcPr>
            <w:tcW w:w="0" w:type="auto"/>
            <w:shd w:val="clear" w:color="auto" w:fill="FFFFFF"/>
            <w:tcMar>
              <w:top w:w="80" w:type="dxa"/>
              <w:left w:w="80" w:type="dxa"/>
              <w:bottom w:w="80" w:type="dxa"/>
              <w:right w:w="80" w:type="dxa"/>
            </w:tcMar>
            <w:vAlign w:val="center"/>
          </w:tcPr>
          <w:p w14:paraId="2F3F6DB5">
            <w:pPr>
              <w:spacing w:before="0" w:after="0" w:line="240" w:lineRule="auto"/>
              <w:ind w:firstLine="0"/>
              <w:jc w:val="center"/>
              <w:rPr>
                <w:b w:val="0"/>
              </w:rPr>
            </w:pPr>
            <w:r>
              <w:rPr>
                <w:rFonts w:ascii="Times New Roman" w:hAnsi="Times New Roman" w:eastAsia="宋体" w:cs="Times New Roman"/>
                <w:b w:val="0"/>
                <w:color w:val="000000"/>
                <w:sz w:val="19"/>
              </w:rPr>
              <w:t>位置、速度、姿态和角速度</w:t>
            </w:r>
          </w:p>
        </w:tc>
      </w:tr>
      <w:tr w14:paraId="6E5DFBBA">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0" w:type="auto"/>
            <w:shd w:val="clear" w:color="auto" w:fill="FFFFFF"/>
            <w:tcMar>
              <w:top w:w="80" w:type="dxa"/>
              <w:left w:w="80" w:type="dxa"/>
              <w:bottom w:w="80" w:type="dxa"/>
              <w:right w:w="80" w:type="dxa"/>
            </w:tcMar>
            <w:vAlign w:val="center"/>
          </w:tcPr>
          <w:p w14:paraId="07CB86BE">
            <w:pPr>
              <w:spacing w:before="0" w:after="0" w:line="240" w:lineRule="auto"/>
              <w:ind w:firstLine="0"/>
              <w:jc w:val="left"/>
              <w:rPr>
                <w:b w:val="0"/>
              </w:rPr>
            </w:pPr>
            <w:r>
              <w:rPr>
                <w:rFonts w:ascii="Times New Roman" w:hAnsi="Times New Roman" w:eastAsia="宋体" w:cs="Times New Roman"/>
                <w:b w:val="0"/>
                <w:color w:val="000000"/>
                <w:sz w:val="19"/>
              </w:rPr>
              <w:t>传感器</w:t>
            </w:r>
          </w:p>
        </w:tc>
        <w:tc>
          <w:tcPr>
            <w:tcW w:w="0" w:type="auto"/>
            <w:shd w:val="clear" w:color="auto" w:fill="FFFFFF"/>
            <w:tcMar>
              <w:top w:w="80" w:type="dxa"/>
              <w:left w:w="80" w:type="dxa"/>
              <w:bottom w:w="80" w:type="dxa"/>
              <w:right w:w="80" w:type="dxa"/>
            </w:tcMar>
            <w:vAlign w:val="center"/>
          </w:tcPr>
          <w:p w14:paraId="5FBD8CD4">
            <w:pPr>
              <w:spacing w:before="0" w:after="0" w:line="240" w:lineRule="auto"/>
              <w:ind w:firstLine="0"/>
              <w:jc w:val="center"/>
              <w:rPr>
                <w:b w:val="0"/>
              </w:rPr>
            </w:pPr>
            <w:r>
              <w:rPr>
                <w:rFonts w:ascii="Times New Roman" w:hAnsi="Times New Roman" w:eastAsia="宋体" w:cs="Times New Roman"/>
                <w:b w:val="0"/>
                <w:color w:val="000000"/>
                <w:sz w:val="19"/>
              </w:rPr>
              <w:t>世界坐标系绝对位置与姿态角测量</w:t>
            </w:r>
          </w:p>
        </w:tc>
        <w:tc>
          <w:tcPr>
            <w:tcW w:w="0" w:type="auto"/>
            <w:shd w:val="clear" w:color="auto" w:fill="FFFFFF"/>
            <w:tcMar>
              <w:top w:w="80" w:type="dxa"/>
              <w:left w:w="80" w:type="dxa"/>
              <w:bottom w:w="80" w:type="dxa"/>
              <w:right w:w="80" w:type="dxa"/>
            </w:tcMar>
            <w:vAlign w:val="center"/>
          </w:tcPr>
          <w:p w14:paraId="1F8152FF">
            <w:pPr>
              <w:spacing w:before="0" w:after="0" w:line="240" w:lineRule="auto"/>
              <w:ind w:firstLine="0"/>
              <w:jc w:val="center"/>
              <w:rPr>
                <w:b w:val="0"/>
              </w:rPr>
            </w:pPr>
            <w:r>
              <w:rPr>
                <w:rFonts w:ascii="Times New Roman" w:hAnsi="Times New Roman" w:eastAsia="宋体" w:cs="Times New Roman"/>
                <w:b w:val="0"/>
                <w:color w:val="000000"/>
                <w:sz w:val="19"/>
              </w:rPr>
              <w:t>p=[x,y,z]^T；[φ,θ,ψ]^T</w:t>
            </w:r>
          </w:p>
        </w:tc>
      </w:tr>
      <w:tr w14:paraId="50F0BE53">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0" w:type="auto"/>
            <w:tcBorders>
              <w:bottom w:val="single" w:color="000000" w:sz="12" w:space="0"/>
            </w:tcBorders>
            <w:shd w:val="clear" w:color="auto" w:fill="FFFFFF"/>
            <w:tcMar>
              <w:top w:w="80" w:type="dxa"/>
              <w:left w:w="80" w:type="dxa"/>
              <w:bottom w:w="80" w:type="dxa"/>
              <w:right w:w="80" w:type="dxa"/>
            </w:tcMar>
            <w:vAlign w:val="center"/>
          </w:tcPr>
          <w:p w14:paraId="7C9406BC">
            <w:pPr>
              <w:spacing w:before="0" w:after="0" w:line="240" w:lineRule="auto"/>
              <w:ind w:firstLine="0"/>
              <w:jc w:val="left"/>
              <w:rPr>
                <w:b w:val="0"/>
              </w:rPr>
            </w:pPr>
            <w:r>
              <w:rPr>
                <w:rFonts w:ascii="Times New Roman" w:hAnsi="Times New Roman" w:eastAsia="宋体" w:cs="Times New Roman"/>
                <w:b w:val="0"/>
                <w:color w:val="000000"/>
                <w:sz w:val="19"/>
              </w:rPr>
              <w:t>仿真环境</w:t>
            </w:r>
          </w:p>
        </w:tc>
        <w:tc>
          <w:tcPr>
            <w:tcW w:w="0" w:type="auto"/>
            <w:tcBorders>
              <w:bottom w:val="single" w:color="000000" w:sz="12" w:space="0"/>
            </w:tcBorders>
            <w:shd w:val="clear" w:color="auto" w:fill="FFFFFF"/>
            <w:tcMar>
              <w:top w:w="80" w:type="dxa"/>
              <w:left w:w="80" w:type="dxa"/>
              <w:bottom w:w="80" w:type="dxa"/>
              <w:right w:w="80" w:type="dxa"/>
            </w:tcMar>
            <w:vAlign w:val="center"/>
          </w:tcPr>
          <w:p w14:paraId="42AF8C1A">
            <w:pPr>
              <w:spacing w:before="0" w:after="0" w:line="240" w:lineRule="auto"/>
              <w:ind w:firstLine="0"/>
              <w:jc w:val="center"/>
              <w:rPr>
                <w:b w:val="0"/>
              </w:rPr>
            </w:pPr>
            <w:r>
              <w:rPr>
                <w:rFonts w:ascii="Times New Roman" w:hAnsi="Times New Roman" w:eastAsia="宋体" w:cs="Times New Roman"/>
                <w:b w:val="0"/>
                <w:color w:val="000000"/>
                <w:sz w:val="19"/>
              </w:rPr>
              <w:t>重力场、接触约束与DASSL积分</w:t>
            </w:r>
          </w:p>
        </w:tc>
        <w:tc>
          <w:tcPr>
            <w:tcW w:w="0" w:type="auto"/>
            <w:tcBorders>
              <w:bottom w:val="single" w:color="000000" w:sz="12" w:space="0"/>
            </w:tcBorders>
            <w:shd w:val="clear" w:color="auto" w:fill="FFFFFF"/>
            <w:tcMar>
              <w:top w:w="80" w:type="dxa"/>
              <w:left w:w="80" w:type="dxa"/>
              <w:bottom w:w="80" w:type="dxa"/>
              <w:right w:w="80" w:type="dxa"/>
            </w:tcMar>
            <w:vAlign w:val="center"/>
          </w:tcPr>
          <w:p w14:paraId="75767817">
            <w:pPr>
              <w:spacing w:before="0" w:after="0" w:line="240" w:lineRule="auto"/>
              <w:ind w:firstLine="0"/>
              <w:jc w:val="center"/>
              <w:rPr>
                <w:b w:val="0"/>
              </w:rPr>
            </w:pPr>
            <w:r>
              <w:rPr>
                <w:rFonts w:ascii="Times New Roman" w:hAnsi="Times New Roman" w:eastAsia="宋体" w:cs="Times New Roman"/>
                <w:b w:val="0"/>
                <w:color w:val="000000"/>
                <w:sz w:val="19"/>
              </w:rPr>
              <w:t>时间、求解容差和输出间隔</w:t>
            </w:r>
          </w:p>
        </w:tc>
      </w:tr>
    </w:tbl>
    <w:p w14:paraId="0CC11BDD">
      <w:pPr>
        <w:spacing w:after="0"/>
        <w:ind w:firstLine="0"/>
      </w:pPr>
    </w:p>
    <w:p w14:paraId="307079E7">
      <w:pPr>
        <w:spacing w:before="0" w:after="0" w:line="360" w:lineRule="auto"/>
        <w:ind w:firstLine="480"/>
        <w:jc w:val="both"/>
      </w:pPr>
      <w:r>
        <w:rPr>
          <w:rFonts w:ascii="Times New Roman" w:hAnsi="Times New Roman" w:eastAsia="宋体" w:cs="Times New Roman"/>
          <w:color w:val="000000"/>
          <w:sz w:val="24"/>
        </w:rPr>
        <w:t>图2-1中的控制指令依次经过电机、旋翼和机体，传感器再将运动状态送回控制器。该过程同时包含电气、机械和控制系统，是后续评价不同控制器的共同仿真基础。比较时，赛题提供的机体模型和传感器设置保持不变。</w:t>
      </w:r>
    </w:p>
    <w:p w14:paraId="438E0452">
      <w:pPr>
        <w:pStyle w:val="3"/>
      </w:pPr>
      <w:bookmarkStart w:id="6" w:name="_Toc25256"/>
      <w:r>
        <w:rPr>
          <w:rFonts w:ascii="Times New Roman" w:hAnsi="Times New Roman" w:eastAsia="黑体" w:cs="Times New Roman"/>
          <w:b/>
          <w:color w:val="000000"/>
          <w:sz w:val="26"/>
        </w:rPr>
        <w:t>2.2  建模约定、接口与控制范围</w:t>
      </w:r>
      <w:bookmarkEnd w:id="6"/>
    </w:p>
    <w:p w14:paraId="55DB94F0">
      <w:pPr>
        <w:spacing w:before="0" w:after="0" w:line="360" w:lineRule="auto"/>
        <w:ind w:firstLine="480"/>
        <w:jc w:val="both"/>
      </w:pPr>
      <w:r>
        <w:rPr>
          <w:rFonts w:ascii="Times New Roman" w:hAnsi="Times New Roman" w:eastAsia="宋体" w:cs="Times New Roman"/>
          <w:color w:val="000000"/>
          <w:sz w:val="24"/>
        </w:rPr>
        <w:t>模型中的位置和速度均在世界坐标系中表示，单位分别为m和m/s；姿态传感器按{1,2,3}旋转顺序输出三个角度，单位为rad。赛题PID接收三维位置指令、三维位置测量和三维姿态测量，输出四路电机转速指令。为使不同算法能够接入同一模型，本项目统一使用11维参考输入、18维状态输入、2维电机限制输入、4维电机指令输出和16维诊断输出，采样间隔为0.01 s。参考输入包含期望位置、速度、加速度和两个偏航占位量；状态输入包含位置、速度、3×3旋转矩阵和机体系角速度；诊断输出记录控制量、分配误差、推力尺度估计和电机限制状态。</w:t>
      </w:r>
    </w:p>
    <w:p w14:paraId="139ADE18">
      <w:pPr>
        <w:spacing w:before="0" w:after="0" w:line="360" w:lineRule="auto"/>
        <w:ind w:firstLine="480"/>
        <w:jc w:val="both"/>
      </w:pPr>
      <w:r>
        <w:rPr>
          <w:rFonts w:hint="eastAsia" w:cs="Times New Roman"/>
          <w:color w:val="000000"/>
          <w:sz w:val="24"/>
          <w:lang w:val="en-US" w:eastAsia="zh-CN"/>
        </w:rPr>
        <w:t>赛题</w:t>
      </w:r>
      <w:r>
        <w:rPr>
          <w:rFonts w:ascii="Times New Roman" w:hAnsi="Times New Roman" w:eastAsia="宋体" w:cs="Times New Roman"/>
          <w:color w:val="000000"/>
          <w:sz w:val="24"/>
        </w:rPr>
        <w:t>官方三个基础示例均采用DASSL求解器和10⁻⁴相对容差，结果输出间隔为0.01 s；阶梯爬升与螺旋爬升仿真50 s，8字轨迹仿真120 s。报告后续比较保持同一被控对象、参考输入、初值、求解器和输出间隔，仅替换控制器，从实验设计上隔离算法因素。</w:t>
      </w:r>
    </w:p>
    <w:p w14:paraId="73B4BB45">
      <w:pPr>
        <w:spacing w:before="0" w:after="0" w:line="360" w:lineRule="auto"/>
        <w:ind w:firstLine="480"/>
        <w:jc w:val="both"/>
      </w:pPr>
      <w:r>
        <w:rPr>
          <w:rFonts w:ascii="Times New Roman" w:hAnsi="Times New Roman" w:eastAsia="宋体" w:cs="Times New Roman"/>
          <w:color w:val="000000"/>
          <w:sz w:val="24"/>
        </w:rPr>
        <w:t>赛题PID保留偏航误差通道，但偏航参考固定为零。本项目主要控制位置以及决定平移运动的机体推力方向。推力方向误差可以与绕该方向的偏航误差分开处理（Brescianini &amp; D'Andrea, 2020）。对赛题模型的测试表明，电机差动只能产生短暂的偏航角速度变化，模型中没有形成持续偏航力矩所需的旋翼反扭矩。因此，本文评价位置、滚转和俯仰相关的约化姿态控制，不把独立偏航跟踪作为性能结论。</w:t>
      </w:r>
    </w:p>
    <w:p w14:paraId="6054B5D1">
      <w:pPr>
        <w:pStyle w:val="3"/>
      </w:pPr>
      <w:bookmarkStart w:id="7" w:name="_Toc18302"/>
      <w:r>
        <w:rPr>
          <w:rFonts w:ascii="Times New Roman" w:hAnsi="Times New Roman" w:eastAsia="黑体" w:cs="Times New Roman"/>
          <w:b/>
          <w:color w:val="000000"/>
          <w:sz w:val="26"/>
        </w:rPr>
        <w:t>2.3  PID结构与参数</w:t>
      </w:r>
      <w:bookmarkEnd w:id="7"/>
    </w:p>
    <w:p w14:paraId="62AAFCF7">
      <w:pPr>
        <w:spacing w:before="0" w:after="0" w:line="360" w:lineRule="auto"/>
        <w:ind w:firstLine="480"/>
        <w:jc w:val="both"/>
      </w:pPr>
      <w:r>
        <w:rPr>
          <w:rFonts w:ascii="Times New Roman" w:hAnsi="Times New Roman" w:eastAsia="宋体" w:cs="Times New Roman"/>
          <w:color w:val="000000"/>
          <w:sz w:val="24"/>
        </w:rPr>
        <w:t>PID结构简洁、易于实现且便于解释，因此常用作四旋翼控制和算法比较的基准方法（López-Sánchez &amp; Moreno-Valenzuela, 2023）。官方控制器采用连续PID基本环节。对任一误差通道e(t)=r(t)-y(t)，控制量由比例、积分和微分三项叠加：比例项提供即时校正，积分项消除持续偏差，微分项增加响应阻尼。其统一表达式为</w:t>
      </w:r>
    </w:p>
    <w:tbl>
      <w:tblPr>
        <w:tblStyle w:val="10"/>
        <w:tblW w:w="0" w:type="auto"/>
        <w:jc w:val="center"/>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8130"/>
        <w:gridCol w:w="770"/>
      </w:tblGrid>
      <w:tr w14:paraId="7E6AFA19">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blHeader/>
          <w:jc w:val="center"/>
        </w:trPr>
        <w:tc>
          <w:tcPr>
            <w:tcW w:w="8130" w:type="dxa"/>
            <w:tcBorders>
              <w:bottom w:val="single" w:color="000000" w:sz="4" w:space="0"/>
            </w:tcBorders>
            <w:vAlign w:val="center"/>
          </w:tcPr>
          <w:p w14:paraId="7FA5406B">
            <w:pPr>
              <w:spacing w:before="0" w:after="60"/>
              <w:ind w:left="770" w:firstLine="0"/>
              <w:jc w:val="center"/>
            </w:pPr>
            <m:oMathPara>
              <m:oMath>
                <m:r>
                  <m:rPr>
                    <m:sty m:val="p"/>
                  </m:rPr>
                  <m:t>u(t)=</m:t>
                </m:r>
                <m:sSub>
                  <m:sSubPr/>
                  <m:e>
                    <m:r>
                      <m:rPr>
                        <m:sty m:val="p"/>
                      </m:rPr>
                      <m:t>K</m:t>
                    </m:r>
                  </m:e>
                  <m:sub>
                    <m:r>
                      <m:rPr>
                        <m:sty m:val="p"/>
                      </m:rPr>
                      <m:t>p</m:t>
                    </m:r>
                  </m:sub>
                </m:sSub>
                <m:r>
                  <m:rPr>
                    <m:sty m:val="p"/>
                  </m:rPr>
                  <m:t>e(t)+</m:t>
                </m:r>
                <m:sSub>
                  <m:sSubPr/>
                  <m:e>
                    <m:r>
                      <m:rPr>
                        <m:sty m:val="p"/>
                      </m:rPr>
                      <m:t>K</m:t>
                    </m:r>
                  </m:e>
                  <m:sub>
                    <m:r>
                      <m:rPr>
                        <m:sty m:val="p"/>
                      </m:rPr>
                      <m:t>i</m:t>
                    </m:r>
                  </m:sub>
                </m:sSub>
                <m:nary>
                  <m:naryPr>
                    <m:grow m:val="1"/>
                    <m:limLoc m:val="subSup"/>
                  </m:naryPr>
                  <m:sub>
                    <m:r>
                      <m:rPr>
                        <m:sty m:val="p"/>
                      </m:rPr>
                      <m:t>0</m:t>
                    </m:r>
                  </m:sub>
                  <m:sup>
                    <m:r>
                      <m:rPr>
                        <m:sty m:val="p"/>
                      </m:rPr>
                      <m:t>t</m:t>
                    </m:r>
                  </m:sup>
                  <m:e>
                    <m:r>
                      <m:rPr>
                        <m:sty m:val="p"/>
                      </m:rPr>
                      <m:t>e(τ)dτ</m:t>
                    </m:r>
                  </m:e>
                </m:nary>
                <m:r>
                  <m:rPr>
                    <m:sty m:val="p"/>
                  </m:rPr>
                  <m:t>+</m:t>
                </m:r>
                <m:sSub>
                  <m:sSubPr/>
                  <m:e>
                    <m:r>
                      <m:rPr>
                        <m:sty m:val="p"/>
                      </m:rPr>
                      <m:t>K</m:t>
                    </m:r>
                  </m:e>
                  <m:sub>
                    <m:r>
                      <m:rPr>
                        <m:sty m:val="p"/>
                      </m:rPr>
                      <m:t>d</m:t>
                    </m:r>
                  </m:sub>
                </m:sSub>
                <m:f>
                  <m:fPr/>
                  <m:num>
                    <m:r>
                      <m:rPr>
                        <m:sty m:val="p"/>
                      </m:rPr>
                      <m:t>de(t)</m:t>
                    </m:r>
                  </m:num>
                  <m:den>
                    <m:r>
                      <m:rPr>
                        <m:sty m:val="p"/>
                      </m:rPr>
                      <m:t>dt</m:t>
                    </m:r>
                  </m:den>
                </m:f>
              </m:oMath>
            </m:oMathPara>
          </w:p>
        </w:tc>
        <w:tc>
          <w:tcPr>
            <w:tcW w:w="770" w:type="dxa"/>
            <w:tcBorders>
              <w:bottom w:val="single" w:color="000000" w:sz="4" w:space="0"/>
            </w:tcBorders>
            <w:vAlign w:val="center"/>
          </w:tcPr>
          <w:p w14:paraId="7CB7B965">
            <w:pPr>
              <w:spacing w:before="0" w:after="0" w:line="240" w:lineRule="auto"/>
              <w:ind w:firstLine="0"/>
              <w:jc w:val="right"/>
            </w:pPr>
            <w:r>
              <w:rPr>
                <w:rFonts w:ascii="Times New Roman" w:hAnsi="Times New Roman" w:eastAsia="宋体" w:cs="Times New Roman"/>
                <w:color w:val="000000"/>
                <w:sz w:val="19"/>
              </w:rPr>
              <w:t>（2-1）</w:t>
            </w:r>
          </w:p>
        </w:tc>
      </w:tr>
    </w:tbl>
    <w:p w14:paraId="4A804B03">
      <w:pPr>
        <w:spacing w:before="0" w:after="0" w:line="360" w:lineRule="auto"/>
        <w:ind w:firstLine="480"/>
        <w:jc w:val="both"/>
      </w:pPr>
      <w:r>
        <w:rPr>
          <w:rFonts w:ascii="Times New Roman" w:hAnsi="Times New Roman" w:eastAsia="宋体" w:cs="Times New Roman"/>
          <w:color w:val="000000"/>
          <w:sz w:val="24"/>
        </w:rPr>
        <w:t>其中</w:t>
      </w:r>
      <w:r>
        <w:rPr>
          <w:rFonts w:ascii="Times New Roman" w:hAnsi="Times New Roman" w:eastAsia="宋体" w:cs="Times New Roman"/>
          <w:b w:val="0"/>
          <w:i/>
          <w:color w:val="000000"/>
          <w:sz w:val="24"/>
        </w:rPr>
        <w:t>K</w:t>
      </w:r>
      <w:r>
        <w:rPr>
          <w:rFonts w:ascii="Times New Roman" w:hAnsi="Times New Roman" w:eastAsia="宋体" w:cs="Times New Roman"/>
          <w:b w:val="0"/>
          <w:i/>
          <w:color w:val="000000"/>
          <w:sz w:val="24"/>
          <w:vertAlign w:val="subscript"/>
        </w:rPr>
        <w:t>p</w:t>
      </w:r>
      <w:r>
        <w:rPr>
          <w:rFonts w:ascii="Times New Roman" w:hAnsi="Times New Roman" w:eastAsia="宋体" w:cs="Times New Roman"/>
          <w:color w:val="000000"/>
          <w:sz w:val="24"/>
        </w:rPr>
        <w:t>、</w:t>
      </w:r>
      <w:r>
        <w:rPr>
          <w:rFonts w:ascii="Times New Roman" w:hAnsi="Times New Roman" w:eastAsia="宋体" w:cs="Times New Roman"/>
          <w:b w:val="0"/>
          <w:i/>
          <w:color w:val="000000"/>
          <w:sz w:val="24"/>
        </w:rPr>
        <w:t>K</w:t>
      </w:r>
      <w:r>
        <w:rPr>
          <w:rFonts w:ascii="Times New Roman" w:hAnsi="Times New Roman" w:eastAsia="宋体" w:cs="Times New Roman"/>
          <w:b w:val="0"/>
          <w:i/>
          <w:color w:val="000000"/>
          <w:sz w:val="24"/>
          <w:vertAlign w:val="subscript"/>
        </w:rPr>
        <w:t>i</w:t>
      </w:r>
      <w:r>
        <w:rPr>
          <w:rFonts w:ascii="Times New Roman" w:hAnsi="Times New Roman" w:eastAsia="宋体" w:cs="Times New Roman"/>
          <w:color w:val="000000"/>
          <w:sz w:val="24"/>
        </w:rPr>
        <w:t>和</w:t>
      </w:r>
      <w:r>
        <w:rPr>
          <w:rFonts w:ascii="Times New Roman" w:hAnsi="Times New Roman" w:eastAsia="宋体" w:cs="Times New Roman"/>
          <w:b w:val="0"/>
          <w:i/>
          <w:color w:val="000000"/>
          <w:sz w:val="24"/>
        </w:rPr>
        <w:t>K</w:t>
      </w:r>
      <w:r>
        <w:rPr>
          <w:rFonts w:ascii="Times New Roman" w:hAnsi="Times New Roman" w:eastAsia="宋体" w:cs="Times New Roman"/>
          <w:b w:val="0"/>
          <w:i/>
          <w:color w:val="000000"/>
          <w:sz w:val="24"/>
          <w:vertAlign w:val="subscript"/>
        </w:rPr>
        <w:t>d</w:t>
      </w:r>
      <w:r>
        <w:rPr>
          <w:rFonts w:ascii="Times New Roman" w:hAnsi="Times New Roman" w:eastAsia="宋体" w:cs="Times New Roman"/>
          <w:color w:val="000000"/>
          <w:sz w:val="24"/>
        </w:rPr>
        <w:t>分别表示比例、积分和微分增益。官方实现采用固定参数的连续积分器和微分器。</w:t>
      </w:r>
    </w:p>
    <w:p w14:paraId="67A2B458">
      <w:pPr>
        <w:keepNext/>
        <w:keepLines/>
        <w:spacing w:before="0" w:after="60"/>
        <w:ind w:firstLine="0"/>
        <w:jc w:val="center"/>
      </w:pPr>
      <w:r>
        <w:drawing>
          <wp:inline distT="0" distB="0" distL="114300" distR="114300">
            <wp:extent cx="5759450" cy="2375535"/>
            <wp:effectExtent l="0" t="0" r="12700" b="5715"/>
            <wp:docPr id="3" name="Picture 2" descr="赛题PID由水平位置、高度和姿态控制部分及四电机混控组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赛题PID由水平位置、高度和姿态控制部分及四电机混控组成"/>
                    <pic:cNvPicPr>
                      <a:picLocks noChangeAspect="1"/>
                    </pic:cNvPicPr>
                  </pic:nvPicPr>
                  <pic:blipFill>
                    <a:blip r:embed="rId14"/>
                    <a:stretch>
                      <a:fillRect/>
                    </a:stretch>
                  </pic:blipFill>
                  <pic:spPr>
                    <a:xfrm>
                      <a:off x="0" y="0"/>
                      <a:ext cx="5760000" cy="2375593"/>
                    </a:xfrm>
                    <a:prstGeom prst="rect">
                      <a:avLst/>
                    </a:prstGeom>
                  </pic:spPr>
                </pic:pic>
              </a:graphicData>
            </a:graphic>
          </wp:inline>
        </w:drawing>
      </w:r>
    </w:p>
    <w:p w14:paraId="2FF69652">
      <w:pPr>
        <w:pStyle w:val="4"/>
      </w:pPr>
      <w:r>
        <w:rPr>
          <w:rFonts w:ascii="Times New Roman" w:hAnsi="Times New Roman" w:eastAsia="宋体" w:cs="Times New Roman"/>
          <w:b/>
          <w:color w:val="000000"/>
          <w:sz w:val="21"/>
        </w:rPr>
        <w:t>图2-2  赛题PID的级联控制与四电机混控结构</w:t>
      </w:r>
    </w:p>
    <w:p w14:paraId="473D440D">
      <w:pPr>
        <w:spacing w:before="0" w:after="0" w:line="360" w:lineRule="auto"/>
        <w:ind w:firstLine="480"/>
        <w:jc w:val="both"/>
      </w:pPr>
      <w:r>
        <w:rPr>
          <w:rFonts w:ascii="Times New Roman" w:hAnsi="Times New Roman" w:eastAsia="宋体" w:cs="Times New Roman"/>
          <w:color w:val="000000"/>
          <w:sz w:val="24"/>
        </w:rPr>
        <w:t>图2-2展示了赛题PID的三条主要通道。水平位置误差先经X、Y位置PD环生成期望滚转/俯仰量，再经0.1比例缩放和±15°限幅交由姿态PD环调节；高度PID直接形成总推力控制量；偏航参考固定为零，并采用比例反馈。三条通道经由固定符号和0.707系数构成的静态混控输出四路电机命令。该结构层次清楚且计算代价低，各通道的协调主要由固定增益、硬限幅和静态混控完成。</w:t>
      </w:r>
    </w:p>
    <w:p w14:paraId="5085A2E4">
      <w:pPr>
        <w:pStyle w:val="4"/>
        <w:keepNext/>
      </w:pPr>
      <w:r>
        <w:rPr>
          <w:rFonts w:ascii="Times New Roman" w:hAnsi="Times New Roman" w:eastAsia="宋体" w:cs="Times New Roman"/>
          <w:b/>
          <w:color w:val="000000"/>
          <w:sz w:val="21"/>
        </w:rPr>
        <w:t>表2-2  赛题PID主要通道参数与限幅</w:t>
      </w:r>
    </w:p>
    <w:tbl>
      <w:tblPr>
        <w:tblStyle w:val="11"/>
        <w:tblW w:w="0" w:type="auto"/>
        <w:jc w:val="center"/>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300"/>
        <w:gridCol w:w="683"/>
        <w:gridCol w:w="321"/>
        <w:gridCol w:w="588"/>
        <w:gridCol w:w="1880"/>
      </w:tblGrid>
      <w:tr w14:paraId="284FC3A5">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blHeader/>
          <w:jc w:val="center"/>
        </w:trPr>
        <w:tc>
          <w:tcPr>
            <w:tcW w:w="0" w:type="auto"/>
            <w:tcBorders>
              <w:top w:val="single" w:color="000000" w:sz="12" w:space="0"/>
              <w:bottom w:val="single" w:color="000000" w:sz="4" w:space="0"/>
              <w:tl2br w:val="nil"/>
            </w:tcBorders>
            <w:shd w:val="clear" w:color="auto" w:fill="FFFFFF"/>
            <w:tcMar>
              <w:top w:w="80" w:type="dxa"/>
              <w:left w:w="80" w:type="dxa"/>
              <w:bottom w:w="80" w:type="dxa"/>
              <w:right w:w="80" w:type="dxa"/>
            </w:tcMar>
            <w:vAlign w:val="center"/>
          </w:tcPr>
          <w:p w14:paraId="7999B305">
            <w:pPr>
              <w:spacing w:before="0" w:after="0" w:line="240" w:lineRule="auto"/>
              <w:ind w:firstLine="0"/>
              <w:jc w:val="center"/>
              <w:rPr>
                <w:b/>
                <w:bCs/>
              </w:rPr>
            </w:pPr>
            <w:r>
              <w:rPr>
                <w:rFonts w:ascii="Times New Roman" w:hAnsi="Times New Roman" w:eastAsia="宋体" w:cs="Times New Roman"/>
                <w:b/>
                <w:bCs/>
                <w:color w:val="000000"/>
                <w:sz w:val="19"/>
              </w:rPr>
              <w:t>控制通道</w:t>
            </w:r>
          </w:p>
        </w:tc>
        <w:tc>
          <w:tcPr>
            <w:tcW w:w="0" w:type="auto"/>
            <w:tcBorders>
              <w:top w:val="single" w:color="000000" w:sz="12" w:space="0"/>
              <w:bottom w:val="single" w:color="000000" w:sz="4" w:space="0"/>
            </w:tcBorders>
            <w:shd w:val="clear" w:color="auto" w:fill="FFFFFF"/>
            <w:tcMar>
              <w:top w:w="80" w:type="dxa"/>
              <w:left w:w="80" w:type="dxa"/>
              <w:bottom w:w="80" w:type="dxa"/>
              <w:right w:w="80" w:type="dxa"/>
            </w:tcMar>
            <w:vAlign w:val="center"/>
          </w:tcPr>
          <w:p w14:paraId="76E5D636">
            <w:pPr>
              <w:spacing w:before="0" w:after="0" w:line="240" w:lineRule="auto"/>
              <w:ind w:firstLine="0"/>
              <w:jc w:val="center"/>
              <w:rPr>
                <w:b/>
                <w:bCs/>
              </w:rPr>
            </w:pPr>
            <w:r>
              <w:rPr>
                <w:rFonts w:ascii="Times New Roman" w:hAnsi="Times New Roman" w:eastAsia="宋体" w:cs="Times New Roman"/>
                <w:b/>
                <w:bCs/>
                <w:i/>
                <w:color w:val="000000"/>
                <w:sz w:val="19"/>
              </w:rPr>
              <w:t>K</w:t>
            </w:r>
            <w:r>
              <w:rPr>
                <w:rFonts w:ascii="Times New Roman" w:hAnsi="Times New Roman" w:eastAsia="宋体" w:cs="Times New Roman"/>
                <w:b/>
                <w:bCs/>
                <w:i/>
                <w:color w:val="000000"/>
                <w:sz w:val="19"/>
                <w:vertAlign w:val="subscript"/>
              </w:rPr>
              <w:t>p</w:t>
            </w:r>
          </w:p>
        </w:tc>
        <w:tc>
          <w:tcPr>
            <w:tcW w:w="0" w:type="auto"/>
            <w:tcBorders>
              <w:top w:val="single" w:color="000000" w:sz="12" w:space="0"/>
              <w:bottom w:val="single" w:color="000000" w:sz="4" w:space="0"/>
            </w:tcBorders>
            <w:shd w:val="clear" w:color="auto" w:fill="FFFFFF"/>
            <w:tcMar>
              <w:top w:w="80" w:type="dxa"/>
              <w:left w:w="80" w:type="dxa"/>
              <w:bottom w:w="80" w:type="dxa"/>
              <w:right w:w="80" w:type="dxa"/>
            </w:tcMar>
            <w:vAlign w:val="center"/>
          </w:tcPr>
          <w:p w14:paraId="549AD4A9">
            <w:pPr>
              <w:spacing w:before="0" w:after="0" w:line="240" w:lineRule="auto"/>
              <w:ind w:firstLine="0"/>
              <w:jc w:val="center"/>
              <w:rPr>
                <w:b/>
                <w:bCs/>
              </w:rPr>
            </w:pPr>
            <w:r>
              <w:rPr>
                <w:rFonts w:ascii="Times New Roman" w:hAnsi="Times New Roman" w:eastAsia="宋体" w:cs="Times New Roman"/>
                <w:b/>
                <w:bCs/>
                <w:i/>
                <w:color w:val="000000"/>
                <w:sz w:val="19"/>
              </w:rPr>
              <w:t>K</w:t>
            </w:r>
            <w:r>
              <w:rPr>
                <w:rFonts w:ascii="Times New Roman" w:hAnsi="Times New Roman" w:eastAsia="宋体" w:cs="Times New Roman"/>
                <w:b/>
                <w:bCs/>
                <w:i/>
                <w:color w:val="000000"/>
                <w:sz w:val="19"/>
                <w:vertAlign w:val="subscript"/>
              </w:rPr>
              <w:t>i</w:t>
            </w:r>
          </w:p>
        </w:tc>
        <w:tc>
          <w:tcPr>
            <w:tcW w:w="0" w:type="auto"/>
            <w:tcBorders>
              <w:top w:val="single" w:color="000000" w:sz="12" w:space="0"/>
              <w:bottom w:val="single" w:color="000000" w:sz="4" w:space="0"/>
            </w:tcBorders>
            <w:shd w:val="clear" w:color="auto" w:fill="FFFFFF"/>
            <w:tcMar>
              <w:top w:w="80" w:type="dxa"/>
              <w:left w:w="80" w:type="dxa"/>
              <w:bottom w:w="80" w:type="dxa"/>
              <w:right w:w="80" w:type="dxa"/>
            </w:tcMar>
            <w:vAlign w:val="center"/>
          </w:tcPr>
          <w:p w14:paraId="76A9EDD3">
            <w:pPr>
              <w:spacing w:before="0" w:after="0" w:line="240" w:lineRule="auto"/>
              <w:ind w:firstLine="0"/>
              <w:jc w:val="center"/>
              <w:rPr>
                <w:b/>
                <w:bCs/>
              </w:rPr>
            </w:pPr>
            <w:r>
              <w:rPr>
                <w:rFonts w:ascii="Times New Roman" w:hAnsi="Times New Roman" w:eastAsia="宋体" w:cs="Times New Roman"/>
                <w:b/>
                <w:bCs/>
                <w:i/>
                <w:color w:val="000000"/>
                <w:sz w:val="19"/>
              </w:rPr>
              <w:t>K</w:t>
            </w:r>
            <w:r>
              <w:rPr>
                <w:rFonts w:ascii="Times New Roman" w:hAnsi="Times New Roman" w:eastAsia="宋体" w:cs="Times New Roman"/>
                <w:b/>
                <w:bCs/>
                <w:i/>
                <w:color w:val="000000"/>
                <w:sz w:val="19"/>
                <w:vertAlign w:val="subscript"/>
              </w:rPr>
              <w:t>d</w:t>
            </w:r>
          </w:p>
        </w:tc>
        <w:tc>
          <w:tcPr>
            <w:tcW w:w="0" w:type="auto"/>
            <w:tcBorders>
              <w:top w:val="single" w:color="000000" w:sz="12" w:space="0"/>
              <w:bottom w:val="single" w:color="000000" w:sz="4" w:space="0"/>
            </w:tcBorders>
            <w:shd w:val="clear" w:color="auto" w:fill="FFFFFF"/>
            <w:tcMar>
              <w:top w:w="80" w:type="dxa"/>
              <w:left w:w="80" w:type="dxa"/>
              <w:bottom w:w="80" w:type="dxa"/>
              <w:right w:w="80" w:type="dxa"/>
            </w:tcMar>
            <w:vAlign w:val="center"/>
          </w:tcPr>
          <w:p w14:paraId="3F74CDBE">
            <w:pPr>
              <w:spacing w:before="0" w:after="0" w:line="240" w:lineRule="auto"/>
              <w:ind w:firstLine="0"/>
              <w:jc w:val="center"/>
              <w:rPr>
                <w:b/>
                <w:bCs/>
              </w:rPr>
            </w:pPr>
            <w:r>
              <w:rPr>
                <w:rFonts w:ascii="Times New Roman" w:hAnsi="Times New Roman" w:eastAsia="宋体" w:cs="Times New Roman"/>
                <w:b/>
                <w:bCs/>
                <w:color w:val="000000"/>
                <w:sz w:val="19"/>
              </w:rPr>
              <w:t>后级处理</w:t>
            </w:r>
          </w:p>
        </w:tc>
      </w:tr>
      <w:tr w14:paraId="47204C64">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0" w:type="auto"/>
            <w:tcBorders>
              <w:top w:val="single" w:color="000000" w:sz="4" w:space="0"/>
            </w:tcBorders>
            <w:shd w:val="clear" w:color="auto" w:fill="FFFFFF"/>
            <w:tcMar>
              <w:top w:w="80" w:type="dxa"/>
              <w:left w:w="80" w:type="dxa"/>
              <w:bottom w:w="80" w:type="dxa"/>
              <w:right w:w="80" w:type="dxa"/>
            </w:tcMar>
            <w:vAlign w:val="center"/>
          </w:tcPr>
          <w:p w14:paraId="50941E50">
            <w:pPr>
              <w:spacing w:before="0" w:after="0" w:line="240" w:lineRule="auto"/>
              <w:ind w:firstLine="0"/>
              <w:jc w:val="center"/>
              <w:rPr>
                <w:b w:val="0"/>
              </w:rPr>
            </w:pPr>
            <w:r>
              <w:rPr>
                <w:rFonts w:ascii="Times New Roman" w:hAnsi="Times New Roman" w:eastAsia="宋体" w:cs="Times New Roman"/>
                <w:b w:val="0"/>
                <w:color w:val="000000"/>
                <w:sz w:val="19"/>
              </w:rPr>
              <w:t>x、y位置</w:t>
            </w:r>
          </w:p>
        </w:tc>
        <w:tc>
          <w:tcPr>
            <w:tcW w:w="0" w:type="auto"/>
            <w:tcBorders>
              <w:top w:val="single" w:color="000000" w:sz="4" w:space="0"/>
            </w:tcBorders>
            <w:shd w:val="clear" w:color="auto" w:fill="FFFFFF"/>
            <w:tcMar>
              <w:top w:w="80" w:type="dxa"/>
              <w:left w:w="80" w:type="dxa"/>
              <w:bottom w:w="80" w:type="dxa"/>
              <w:right w:w="80" w:type="dxa"/>
            </w:tcMar>
            <w:vAlign w:val="center"/>
          </w:tcPr>
          <w:p w14:paraId="3BBA4214">
            <w:pPr>
              <w:spacing w:before="0" w:after="0" w:line="240" w:lineRule="auto"/>
              <w:ind w:firstLine="0"/>
              <w:jc w:val="center"/>
              <w:rPr>
                <w:b w:val="0"/>
              </w:rPr>
            </w:pPr>
            <w:r>
              <w:rPr>
                <w:rFonts w:ascii="Times New Roman" w:hAnsi="Times New Roman" w:eastAsia="宋体" w:cs="Times New Roman"/>
                <w:b w:val="0"/>
                <w:color w:val="000000"/>
                <w:sz w:val="19"/>
              </w:rPr>
              <w:t>1.5</w:t>
            </w:r>
          </w:p>
        </w:tc>
        <w:tc>
          <w:tcPr>
            <w:tcW w:w="0" w:type="auto"/>
            <w:tcBorders>
              <w:top w:val="single" w:color="000000" w:sz="4" w:space="0"/>
            </w:tcBorders>
            <w:shd w:val="clear" w:color="auto" w:fill="FFFFFF"/>
            <w:tcMar>
              <w:top w:w="80" w:type="dxa"/>
              <w:left w:w="80" w:type="dxa"/>
              <w:bottom w:w="80" w:type="dxa"/>
              <w:right w:w="80" w:type="dxa"/>
            </w:tcMar>
            <w:vAlign w:val="center"/>
          </w:tcPr>
          <w:p w14:paraId="5C0FDFB8">
            <w:pPr>
              <w:spacing w:before="0" w:after="0" w:line="240" w:lineRule="auto"/>
              <w:ind w:firstLine="0"/>
              <w:jc w:val="center"/>
              <w:rPr>
                <w:b w:val="0"/>
              </w:rPr>
            </w:pPr>
            <w:r>
              <w:rPr>
                <w:rFonts w:ascii="Times New Roman" w:hAnsi="Times New Roman" w:eastAsia="宋体" w:cs="Times New Roman"/>
                <w:b w:val="0"/>
                <w:color w:val="000000"/>
                <w:sz w:val="19"/>
              </w:rPr>
              <w:t>0</w:t>
            </w:r>
          </w:p>
        </w:tc>
        <w:tc>
          <w:tcPr>
            <w:tcW w:w="0" w:type="auto"/>
            <w:tcBorders>
              <w:top w:val="single" w:color="000000" w:sz="4" w:space="0"/>
            </w:tcBorders>
            <w:shd w:val="clear" w:color="auto" w:fill="FFFFFF"/>
            <w:tcMar>
              <w:top w:w="80" w:type="dxa"/>
              <w:left w:w="80" w:type="dxa"/>
              <w:bottom w:w="80" w:type="dxa"/>
              <w:right w:w="80" w:type="dxa"/>
            </w:tcMar>
            <w:vAlign w:val="center"/>
          </w:tcPr>
          <w:p w14:paraId="101C0E82">
            <w:pPr>
              <w:spacing w:before="0" w:after="0" w:line="240" w:lineRule="auto"/>
              <w:ind w:firstLine="0"/>
              <w:jc w:val="center"/>
              <w:rPr>
                <w:b w:val="0"/>
              </w:rPr>
            </w:pPr>
            <w:r>
              <w:rPr>
                <w:rFonts w:ascii="Times New Roman" w:hAnsi="Times New Roman" w:eastAsia="宋体" w:cs="Times New Roman"/>
                <w:b w:val="0"/>
                <w:color w:val="000000"/>
                <w:sz w:val="19"/>
              </w:rPr>
              <w:t>1</w:t>
            </w:r>
          </w:p>
        </w:tc>
        <w:tc>
          <w:tcPr>
            <w:tcW w:w="0" w:type="auto"/>
            <w:tcBorders>
              <w:top w:val="single" w:color="000000" w:sz="4" w:space="0"/>
            </w:tcBorders>
            <w:shd w:val="clear" w:color="auto" w:fill="FFFFFF"/>
            <w:tcMar>
              <w:top w:w="80" w:type="dxa"/>
              <w:left w:w="80" w:type="dxa"/>
              <w:bottom w:w="80" w:type="dxa"/>
              <w:right w:w="80" w:type="dxa"/>
            </w:tcMar>
            <w:vAlign w:val="center"/>
          </w:tcPr>
          <w:p w14:paraId="4EC6F42D">
            <w:pPr>
              <w:spacing w:before="0" w:after="0" w:line="240" w:lineRule="auto"/>
              <w:ind w:firstLine="0"/>
              <w:jc w:val="center"/>
              <w:rPr>
                <w:b w:val="0"/>
              </w:rPr>
            </w:pPr>
            <w:r>
              <w:rPr>
                <w:rFonts w:ascii="Times New Roman" w:hAnsi="Times New Roman" w:eastAsia="宋体" w:cs="Times New Roman"/>
                <w:b w:val="0"/>
                <w:color w:val="000000"/>
                <w:sz w:val="19"/>
              </w:rPr>
              <w:t>乘0.1后限幅至±15°</w:t>
            </w:r>
          </w:p>
        </w:tc>
      </w:tr>
      <w:tr w14:paraId="44DE9577">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0" w:type="auto"/>
            <w:shd w:val="clear" w:color="auto" w:fill="FFFFFF"/>
            <w:tcMar>
              <w:top w:w="80" w:type="dxa"/>
              <w:left w:w="80" w:type="dxa"/>
              <w:bottom w:w="80" w:type="dxa"/>
              <w:right w:w="80" w:type="dxa"/>
            </w:tcMar>
            <w:vAlign w:val="center"/>
          </w:tcPr>
          <w:p w14:paraId="618C6EB7">
            <w:pPr>
              <w:spacing w:before="0" w:after="0" w:line="240" w:lineRule="auto"/>
              <w:ind w:firstLine="0"/>
              <w:jc w:val="center"/>
              <w:rPr>
                <w:b w:val="0"/>
              </w:rPr>
            </w:pPr>
            <w:r>
              <w:rPr>
                <w:rFonts w:ascii="Times New Roman" w:hAnsi="Times New Roman" w:eastAsia="宋体" w:cs="Times New Roman"/>
                <w:b w:val="0"/>
                <w:color w:val="000000"/>
                <w:sz w:val="19"/>
              </w:rPr>
              <w:t>z位置</w:t>
            </w:r>
          </w:p>
        </w:tc>
        <w:tc>
          <w:tcPr>
            <w:tcW w:w="0" w:type="auto"/>
            <w:shd w:val="clear" w:color="auto" w:fill="FFFFFF"/>
            <w:tcMar>
              <w:top w:w="80" w:type="dxa"/>
              <w:left w:w="80" w:type="dxa"/>
              <w:bottom w:w="80" w:type="dxa"/>
              <w:right w:w="80" w:type="dxa"/>
            </w:tcMar>
            <w:vAlign w:val="center"/>
          </w:tcPr>
          <w:p w14:paraId="644D61EC">
            <w:pPr>
              <w:spacing w:before="0" w:after="0" w:line="240" w:lineRule="auto"/>
              <w:ind w:firstLine="0"/>
              <w:jc w:val="center"/>
              <w:rPr>
                <w:b w:val="0"/>
              </w:rPr>
            </w:pPr>
            <w:r>
              <w:rPr>
                <w:rFonts w:ascii="Times New Roman" w:hAnsi="Times New Roman" w:eastAsia="宋体" w:cs="Times New Roman"/>
                <w:b w:val="0"/>
                <w:color w:val="000000"/>
                <w:sz w:val="19"/>
              </w:rPr>
              <w:t>8</w:t>
            </w:r>
          </w:p>
        </w:tc>
        <w:tc>
          <w:tcPr>
            <w:tcW w:w="0" w:type="auto"/>
            <w:shd w:val="clear" w:color="auto" w:fill="FFFFFF"/>
            <w:tcMar>
              <w:top w:w="80" w:type="dxa"/>
              <w:left w:w="80" w:type="dxa"/>
              <w:bottom w:w="80" w:type="dxa"/>
              <w:right w:w="80" w:type="dxa"/>
            </w:tcMar>
            <w:vAlign w:val="center"/>
          </w:tcPr>
          <w:p w14:paraId="2BA291E8">
            <w:pPr>
              <w:spacing w:before="0" w:after="0" w:line="240" w:lineRule="auto"/>
              <w:ind w:firstLine="0"/>
              <w:jc w:val="center"/>
              <w:rPr>
                <w:b w:val="0"/>
              </w:rPr>
            </w:pPr>
            <w:r>
              <w:rPr>
                <w:rFonts w:ascii="Times New Roman" w:hAnsi="Times New Roman" w:eastAsia="宋体" w:cs="Times New Roman"/>
                <w:b w:val="0"/>
                <w:color w:val="000000"/>
                <w:sz w:val="19"/>
              </w:rPr>
              <w:t>6</w:t>
            </w:r>
          </w:p>
        </w:tc>
        <w:tc>
          <w:tcPr>
            <w:tcW w:w="0" w:type="auto"/>
            <w:shd w:val="clear" w:color="auto" w:fill="FFFFFF"/>
            <w:tcMar>
              <w:top w:w="80" w:type="dxa"/>
              <w:left w:w="80" w:type="dxa"/>
              <w:bottom w:w="80" w:type="dxa"/>
              <w:right w:w="80" w:type="dxa"/>
            </w:tcMar>
            <w:vAlign w:val="center"/>
          </w:tcPr>
          <w:p w14:paraId="3C42C061">
            <w:pPr>
              <w:spacing w:before="0" w:after="0" w:line="240" w:lineRule="auto"/>
              <w:ind w:firstLine="0"/>
              <w:jc w:val="center"/>
              <w:rPr>
                <w:b w:val="0"/>
              </w:rPr>
            </w:pPr>
            <w:r>
              <w:rPr>
                <w:rFonts w:ascii="Times New Roman" w:hAnsi="Times New Roman" w:eastAsia="宋体" w:cs="Times New Roman"/>
                <w:b w:val="0"/>
                <w:color w:val="000000"/>
                <w:sz w:val="19"/>
              </w:rPr>
              <w:t>4</w:t>
            </w:r>
          </w:p>
        </w:tc>
        <w:tc>
          <w:tcPr>
            <w:tcW w:w="0" w:type="auto"/>
            <w:shd w:val="clear" w:color="auto" w:fill="FFFFFF"/>
            <w:tcMar>
              <w:top w:w="80" w:type="dxa"/>
              <w:left w:w="80" w:type="dxa"/>
              <w:bottom w:w="80" w:type="dxa"/>
              <w:right w:w="80" w:type="dxa"/>
            </w:tcMar>
            <w:vAlign w:val="center"/>
          </w:tcPr>
          <w:p w14:paraId="0E7EBA4A">
            <w:pPr>
              <w:spacing w:before="0" w:after="0" w:line="240" w:lineRule="auto"/>
              <w:ind w:firstLine="0"/>
              <w:jc w:val="center"/>
              <w:rPr>
                <w:b w:val="0"/>
              </w:rPr>
            </w:pPr>
            <w:r>
              <w:rPr>
                <w:rFonts w:ascii="Times New Roman" w:hAnsi="Times New Roman" w:eastAsia="宋体" w:cs="Times New Roman"/>
                <w:b w:val="0"/>
                <w:color w:val="000000"/>
                <w:sz w:val="19"/>
              </w:rPr>
              <w:t>形成总推力控制量</w:t>
            </w:r>
          </w:p>
        </w:tc>
      </w:tr>
      <w:tr w14:paraId="37EC2787">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0" w:type="auto"/>
            <w:shd w:val="clear" w:color="auto" w:fill="FFFFFF"/>
            <w:tcMar>
              <w:top w:w="80" w:type="dxa"/>
              <w:left w:w="80" w:type="dxa"/>
              <w:bottom w:w="80" w:type="dxa"/>
              <w:right w:w="80" w:type="dxa"/>
            </w:tcMar>
            <w:vAlign w:val="center"/>
          </w:tcPr>
          <w:p w14:paraId="5B7FA058">
            <w:pPr>
              <w:spacing w:before="0" w:after="0" w:line="240" w:lineRule="auto"/>
              <w:ind w:firstLine="0"/>
              <w:jc w:val="center"/>
              <w:rPr>
                <w:b w:val="0"/>
              </w:rPr>
            </w:pPr>
            <w:r>
              <w:rPr>
                <w:rFonts w:ascii="Times New Roman" w:hAnsi="Times New Roman" w:eastAsia="宋体" w:cs="Times New Roman"/>
                <w:b w:val="0"/>
                <w:color w:val="000000"/>
                <w:sz w:val="19"/>
              </w:rPr>
              <w:t>偏航角</w:t>
            </w:r>
          </w:p>
        </w:tc>
        <w:tc>
          <w:tcPr>
            <w:tcW w:w="0" w:type="auto"/>
            <w:shd w:val="clear" w:color="auto" w:fill="FFFFFF"/>
            <w:tcMar>
              <w:top w:w="80" w:type="dxa"/>
              <w:left w:w="80" w:type="dxa"/>
              <w:bottom w:w="80" w:type="dxa"/>
              <w:right w:w="80" w:type="dxa"/>
            </w:tcMar>
            <w:vAlign w:val="center"/>
          </w:tcPr>
          <w:p w14:paraId="5FACDB3E">
            <w:pPr>
              <w:spacing w:before="0" w:after="0" w:line="240" w:lineRule="auto"/>
              <w:ind w:firstLine="0"/>
              <w:jc w:val="center"/>
              <w:rPr>
                <w:b w:val="0"/>
              </w:rPr>
            </w:pPr>
            <w:r>
              <w:rPr>
                <w:rFonts w:ascii="Times New Roman" w:hAnsi="Times New Roman" w:eastAsia="宋体" w:cs="Times New Roman"/>
                <w:b w:val="0"/>
                <w:color w:val="000000"/>
                <w:sz w:val="19"/>
              </w:rPr>
              <w:t>5</w:t>
            </w:r>
          </w:p>
        </w:tc>
        <w:tc>
          <w:tcPr>
            <w:tcW w:w="0" w:type="auto"/>
            <w:shd w:val="clear" w:color="auto" w:fill="FFFFFF"/>
            <w:tcMar>
              <w:top w:w="80" w:type="dxa"/>
              <w:left w:w="80" w:type="dxa"/>
              <w:bottom w:w="80" w:type="dxa"/>
              <w:right w:w="80" w:type="dxa"/>
            </w:tcMar>
            <w:vAlign w:val="center"/>
          </w:tcPr>
          <w:p w14:paraId="367F78E6">
            <w:pPr>
              <w:spacing w:before="0" w:after="0" w:line="240" w:lineRule="auto"/>
              <w:ind w:firstLine="0"/>
              <w:jc w:val="center"/>
              <w:rPr>
                <w:b w:val="0"/>
              </w:rPr>
            </w:pPr>
            <w:r>
              <w:rPr>
                <w:rFonts w:ascii="Times New Roman" w:hAnsi="Times New Roman" w:eastAsia="宋体" w:cs="Times New Roman"/>
                <w:b w:val="0"/>
                <w:color w:val="000000"/>
                <w:sz w:val="19"/>
              </w:rPr>
              <w:t>0</w:t>
            </w:r>
          </w:p>
        </w:tc>
        <w:tc>
          <w:tcPr>
            <w:tcW w:w="0" w:type="auto"/>
            <w:shd w:val="clear" w:color="auto" w:fill="FFFFFF"/>
            <w:tcMar>
              <w:top w:w="80" w:type="dxa"/>
              <w:left w:w="80" w:type="dxa"/>
              <w:bottom w:w="80" w:type="dxa"/>
              <w:right w:w="80" w:type="dxa"/>
            </w:tcMar>
            <w:vAlign w:val="center"/>
          </w:tcPr>
          <w:p w14:paraId="279E08C0">
            <w:pPr>
              <w:spacing w:before="0" w:after="0" w:line="240" w:lineRule="auto"/>
              <w:ind w:firstLine="0"/>
              <w:jc w:val="center"/>
              <w:rPr>
                <w:b w:val="0"/>
              </w:rPr>
            </w:pPr>
            <w:r>
              <w:rPr>
                <w:rFonts w:ascii="Times New Roman" w:hAnsi="Times New Roman" w:eastAsia="宋体" w:cs="Times New Roman"/>
                <w:b w:val="0"/>
                <w:color w:val="000000"/>
                <w:sz w:val="19"/>
              </w:rPr>
              <w:t>0</w:t>
            </w:r>
          </w:p>
        </w:tc>
        <w:tc>
          <w:tcPr>
            <w:tcW w:w="0" w:type="auto"/>
            <w:shd w:val="clear" w:color="auto" w:fill="FFFFFF"/>
            <w:tcMar>
              <w:top w:w="80" w:type="dxa"/>
              <w:left w:w="80" w:type="dxa"/>
              <w:bottom w:w="80" w:type="dxa"/>
              <w:right w:w="80" w:type="dxa"/>
            </w:tcMar>
            <w:vAlign w:val="center"/>
          </w:tcPr>
          <w:p w14:paraId="07B7B7C3">
            <w:pPr>
              <w:spacing w:before="0" w:after="0" w:line="240" w:lineRule="auto"/>
              <w:ind w:firstLine="0"/>
              <w:jc w:val="center"/>
              <w:rPr>
                <w:b w:val="0"/>
              </w:rPr>
            </w:pPr>
            <w:r>
              <w:rPr>
                <w:rFonts w:ascii="Times New Roman" w:hAnsi="Times New Roman" w:eastAsia="宋体" w:cs="Times New Roman"/>
                <w:b w:val="0"/>
                <w:color w:val="000000"/>
                <w:sz w:val="19"/>
              </w:rPr>
              <w:t>零参考，输出限幅±7</w:t>
            </w:r>
          </w:p>
        </w:tc>
      </w:tr>
      <w:tr w14:paraId="11563DA3">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0" w:type="auto"/>
            <w:tcBorders>
              <w:bottom w:val="single" w:color="000000" w:sz="12" w:space="0"/>
            </w:tcBorders>
            <w:shd w:val="clear" w:color="auto" w:fill="FFFFFF"/>
            <w:tcMar>
              <w:top w:w="80" w:type="dxa"/>
              <w:left w:w="80" w:type="dxa"/>
              <w:bottom w:w="80" w:type="dxa"/>
              <w:right w:w="80" w:type="dxa"/>
            </w:tcMar>
            <w:vAlign w:val="center"/>
          </w:tcPr>
          <w:p w14:paraId="73F241FB">
            <w:pPr>
              <w:spacing w:before="0" w:after="0" w:line="240" w:lineRule="auto"/>
              <w:ind w:firstLine="0"/>
              <w:jc w:val="center"/>
              <w:rPr>
                <w:b w:val="0"/>
              </w:rPr>
            </w:pPr>
            <w:r>
              <w:rPr>
                <w:rFonts w:ascii="Times New Roman" w:hAnsi="Times New Roman" w:eastAsia="宋体" w:cs="Times New Roman"/>
                <w:b w:val="0"/>
                <w:color w:val="000000"/>
                <w:sz w:val="19"/>
              </w:rPr>
              <w:t>滚转、俯仰角</w:t>
            </w:r>
          </w:p>
        </w:tc>
        <w:tc>
          <w:tcPr>
            <w:tcW w:w="0" w:type="auto"/>
            <w:tcBorders>
              <w:bottom w:val="single" w:color="000000" w:sz="12" w:space="0"/>
            </w:tcBorders>
            <w:shd w:val="clear" w:color="auto" w:fill="FFFFFF"/>
            <w:tcMar>
              <w:top w:w="80" w:type="dxa"/>
              <w:left w:w="80" w:type="dxa"/>
              <w:bottom w:w="80" w:type="dxa"/>
              <w:right w:w="80" w:type="dxa"/>
            </w:tcMar>
            <w:vAlign w:val="center"/>
          </w:tcPr>
          <w:p w14:paraId="321A215B">
            <w:pPr>
              <w:spacing w:before="0" w:after="0" w:line="240" w:lineRule="auto"/>
              <w:ind w:firstLine="0"/>
              <w:jc w:val="center"/>
              <w:rPr>
                <w:b w:val="0"/>
              </w:rPr>
            </w:pPr>
            <w:r>
              <w:rPr>
                <w:rFonts w:ascii="Times New Roman" w:hAnsi="Times New Roman" w:eastAsia="宋体" w:cs="Times New Roman"/>
                <w:b w:val="0"/>
                <w:color w:val="000000"/>
                <w:sz w:val="19"/>
              </w:rPr>
              <w:t>14.142</w:t>
            </w:r>
          </w:p>
        </w:tc>
        <w:tc>
          <w:tcPr>
            <w:tcW w:w="0" w:type="auto"/>
            <w:tcBorders>
              <w:bottom w:val="single" w:color="000000" w:sz="12" w:space="0"/>
            </w:tcBorders>
            <w:shd w:val="clear" w:color="auto" w:fill="FFFFFF"/>
            <w:tcMar>
              <w:top w:w="80" w:type="dxa"/>
              <w:left w:w="80" w:type="dxa"/>
              <w:bottom w:w="80" w:type="dxa"/>
              <w:right w:w="80" w:type="dxa"/>
            </w:tcMar>
            <w:vAlign w:val="center"/>
          </w:tcPr>
          <w:p w14:paraId="673BAF15">
            <w:pPr>
              <w:spacing w:before="0" w:after="0" w:line="240" w:lineRule="auto"/>
              <w:ind w:firstLine="0"/>
              <w:jc w:val="center"/>
              <w:rPr>
                <w:b w:val="0"/>
              </w:rPr>
            </w:pPr>
            <w:r>
              <w:rPr>
                <w:rFonts w:ascii="Times New Roman" w:hAnsi="Times New Roman" w:eastAsia="宋体" w:cs="Times New Roman"/>
                <w:b w:val="0"/>
                <w:color w:val="000000"/>
                <w:sz w:val="19"/>
              </w:rPr>
              <w:t>0</w:t>
            </w:r>
          </w:p>
        </w:tc>
        <w:tc>
          <w:tcPr>
            <w:tcW w:w="0" w:type="auto"/>
            <w:tcBorders>
              <w:bottom w:val="single" w:color="000000" w:sz="12" w:space="0"/>
            </w:tcBorders>
            <w:shd w:val="clear" w:color="auto" w:fill="FFFFFF"/>
            <w:tcMar>
              <w:top w:w="80" w:type="dxa"/>
              <w:left w:w="80" w:type="dxa"/>
              <w:bottom w:w="80" w:type="dxa"/>
              <w:right w:w="80" w:type="dxa"/>
            </w:tcMar>
            <w:vAlign w:val="center"/>
          </w:tcPr>
          <w:p w14:paraId="5EA1BD8E">
            <w:pPr>
              <w:spacing w:before="0" w:after="0" w:line="240" w:lineRule="auto"/>
              <w:ind w:firstLine="0"/>
              <w:jc w:val="center"/>
              <w:rPr>
                <w:b w:val="0"/>
              </w:rPr>
            </w:pPr>
            <w:r>
              <w:rPr>
                <w:rFonts w:ascii="Times New Roman" w:hAnsi="Times New Roman" w:eastAsia="宋体" w:cs="Times New Roman"/>
                <w:b w:val="0"/>
                <w:color w:val="000000"/>
                <w:sz w:val="19"/>
              </w:rPr>
              <w:t>1.414</w:t>
            </w:r>
          </w:p>
        </w:tc>
        <w:tc>
          <w:tcPr>
            <w:tcW w:w="0" w:type="auto"/>
            <w:tcBorders>
              <w:bottom w:val="single" w:color="000000" w:sz="12" w:space="0"/>
            </w:tcBorders>
            <w:shd w:val="clear" w:color="auto" w:fill="FFFFFF"/>
            <w:tcMar>
              <w:top w:w="80" w:type="dxa"/>
              <w:left w:w="80" w:type="dxa"/>
              <w:bottom w:w="80" w:type="dxa"/>
              <w:right w:w="80" w:type="dxa"/>
            </w:tcMar>
            <w:vAlign w:val="center"/>
          </w:tcPr>
          <w:p w14:paraId="56787476">
            <w:pPr>
              <w:spacing w:before="0" w:after="0" w:line="240" w:lineRule="auto"/>
              <w:ind w:firstLine="0"/>
              <w:jc w:val="center"/>
              <w:rPr>
                <w:b w:val="0"/>
              </w:rPr>
            </w:pPr>
            <w:r>
              <w:rPr>
                <w:rFonts w:ascii="Times New Roman" w:hAnsi="Times New Roman" w:eastAsia="宋体" w:cs="Times New Roman"/>
                <w:b w:val="0"/>
                <w:color w:val="000000"/>
                <w:sz w:val="19"/>
              </w:rPr>
              <w:t>输出限幅±7</w:t>
            </w:r>
          </w:p>
        </w:tc>
      </w:tr>
    </w:tbl>
    <w:p w14:paraId="3392F501">
      <w:pPr>
        <w:spacing w:after="0"/>
        <w:ind w:firstLine="0"/>
      </w:pPr>
    </w:p>
    <w:p w14:paraId="442EAB4C">
      <w:pPr>
        <w:spacing w:before="0" w:after="0" w:line="360" w:lineRule="auto"/>
        <w:ind w:firstLine="480"/>
        <w:jc w:val="both"/>
      </w:pPr>
      <w:r>
        <w:rPr>
          <w:rFonts w:ascii="Times New Roman" w:hAnsi="Times New Roman" w:eastAsia="宋体" w:cs="Times New Roman"/>
          <w:color w:val="000000"/>
          <w:sz w:val="24"/>
        </w:rPr>
        <w:t>PID是赛题提供的原算法，也是后续优化的比较基准。本项目保留其参数和控制结构，将其接入统一接口，并设置三轴阶跃场景；各项指标由Syslab按相同方法计算。本章分析PID自身的响应特征，PID与RA-GCA-CGHTE及其他控制方法的比较见第6章，实验设计和数据范围见第5章。</w:t>
      </w:r>
    </w:p>
    <w:p w14:paraId="5CD8C971">
      <w:pPr>
        <w:pStyle w:val="3"/>
      </w:pPr>
      <w:bookmarkStart w:id="8" w:name="_Toc18924"/>
      <w:r>
        <w:rPr>
          <w:rFonts w:ascii="Times New Roman" w:hAnsi="Times New Roman" w:eastAsia="黑体" w:cs="Times New Roman"/>
          <w:b/>
          <w:color w:val="000000"/>
          <w:sz w:val="26"/>
        </w:rPr>
        <w:t>2.4  PID响应与改进需求</w:t>
      </w:r>
      <w:bookmarkEnd w:id="8"/>
    </w:p>
    <w:p w14:paraId="04627FAE">
      <w:pPr>
        <w:spacing w:before="0" w:after="0" w:line="360" w:lineRule="auto"/>
        <w:ind w:firstLine="480"/>
        <w:jc w:val="both"/>
      </w:pPr>
      <w:r>
        <w:rPr>
          <w:rFonts w:ascii="Times New Roman" w:hAnsi="Times New Roman" w:eastAsia="宋体" w:cs="Times New Roman"/>
          <w:color w:val="000000"/>
          <w:sz w:val="24"/>
        </w:rPr>
        <w:t>赛题要求分析既有PID在螺旋爬升、8字轨迹等典型场景中的表现，并使用超调量、调节时间、稳态误差和RMSE定量比较。为区分单轴响应与多轴耦合的影响，本章在同一赛题模型上设置三个独立的1 m阶跃：X、Y轴在10 s由0 m跃迁至1 m；Z轴先缓升至1 m，再在10 s跃迁至2 m。三组仿真均持续30 s，输出间隔为0.01 s。图2-3给出8-20 s的局部响应，表2-3列出由Syslab计算的PID指标。</w:t>
      </w:r>
    </w:p>
    <w:p w14:paraId="5E0C9053">
      <w:pPr>
        <w:keepNext/>
        <w:keepLines/>
        <w:spacing w:before="0" w:after="60"/>
        <w:ind w:firstLine="0"/>
        <w:jc w:val="center"/>
      </w:pPr>
      <w:r>
        <w:drawing>
          <wp:inline distT="0" distB="0" distL="114300" distR="114300">
            <wp:extent cx="5471795" cy="4385310"/>
            <wp:effectExtent l="0" t="0" r="14605" b="15240"/>
            <wp:docPr id="4" name="Picture 3" descr="赛题PID的X、Y、Z轴独立阶跃响应曲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赛题PID的X、Y、Z轴独立阶跃响应曲线"/>
                    <pic:cNvPicPr>
                      <a:picLocks noChangeAspect="1"/>
                    </pic:cNvPicPr>
                  </pic:nvPicPr>
                  <pic:blipFill>
                    <a:blip r:embed="rId15"/>
                    <a:stretch>
                      <a:fillRect/>
                    </a:stretch>
                  </pic:blipFill>
                  <pic:spPr>
                    <a:xfrm>
                      <a:off x="0" y="0"/>
                      <a:ext cx="5472000" cy="4385362"/>
                    </a:xfrm>
                    <a:prstGeom prst="rect">
                      <a:avLst/>
                    </a:prstGeom>
                  </pic:spPr>
                </pic:pic>
              </a:graphicData>
            </a:graphic>
          </wp:inline>
        </w:drawing>
      </w:r>
    </w:p>
    <w:p w14:paraId="66D2C0F7">
      <w:pPr>
        <w:pStyle w:val="4"/>
      </w:pPr>
      <w:r>
        <w:rPr>
          <w:rFonts w:ascii="Times New Roman" w:hAnsi="Times New Roman" w:eastAsia="宋体" w:cs="Times New Roman"/>
          <w:b/>
          <w:color w:val="000000"/>
          <w:sz w:val="21"/>
        </w:rPr>
        <w:t>图2-3  赛题PID三轴独立阶跃响应</w:t>
      </w:r>
    </w:p>
    <w:p w14:paraId="02A08789">
      <w:pPr>
        <w:pStyle w:val="4"/>
        <w:keepNext/>
      </w:pPr>
      <w:r>
        <w:rPr>
          <w:rFonts w:ascii="Times New Roman" w:hAnsi="Times New Roman" w:eastAsia="宋体" w:cs="Times New Roman"/>
          <w:b/>
          <w:color w:val="000000"/>
          <w:sz w:val="21"/>
        </w:rPr>
        <w:t>表2-3  赛题PID三轴独立阶跃指标</w:t>
      </w:r>
    </w:p>
    <w:tbl>
      <w:tblPr>
        <w:tblStyle w:val="11"/>
        <w:tblW w:w="0" w:type="auto"/>
        <w:jc w:val="center"/>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1758"/>
        <w:gridCol w:w="1758"/>
        <w:gridCol w:w="1758"/>
        <w:gridCol w:w="1758"/>
        <w:gridCol w:w="1758"/>
      </w:tblGrid>
      <w:tr w14:paraId="60CE2859">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blHeader/>
          <w:jc w:val="center"/>
        </w:trPr>
        <w:tc>
          <w:tcPr>
            <w:tcW w:w="1304" w:type="dxa"/>
            <w:tcBorders>
              <w:top w:val="single" w:color="000000" w:sz="12" w:space="0"/>
              <w:bottom w:val="single" w:color="000000" w:sz="4" w:space="0"/>
              <w:tl2br w:val="nil"/>
            </w:tcBorders>
            <w:shd w:val="clear" w:color="auto" w:fill="FFFFFF"/>
            <w:tcMar>
              <w:top w:w="80" w:type="dxa"/>
              <w:left w:w="80" w:type="dxa"/>
              <w:bottom w:w="80" w:type="dxa"/>
              <w:right w:w="80" w:type="dxa"/>
            </w:tcMar>
            <w:vAlign w:val="center"/>
          </w:tcPr>
          <w:p w14:paraId="24D8C277">
            <w:pPr>
              <w:spacing w:before="0" w:after="0" w:line="240" w:lineRule="auto"/>
              <w:ind w:firstLine="0"/>
              <w:jc w:val="center"/>
              <w:rPr>
                <w:b w:val="0"/>
              </w:rPr>
            </w:pPr>
            <w:r>
              <w:rPr>
                <w:rFonts w:ascii="Times New Roman" w:hAnsi="Times New Roman" w:eastAsia="宋体" w:cs="Times New Roman"/>
                <w:b w:val="0"/>
                <w:color w:val="000000"/>
                <w:sz w:val="19"/>
              </w:rPr>
              <w:t>轴向</w:t>
            </w:r>
          </w:p>
        </w:tc>
        <w:tc>
          <w:tcPr>
            <w:tcW w:w="1871" w:type="dxa"/>
            <w:tcBorders>
              <w:top w:val="single" w:color="000000" w:sz="12" w:space="0"/>
              <w:bottom w:val="single" w:color="000000" w:sz="4" w:space="0"/>
            </w:tcBorders>
            <w:shd w:val="clear" w:color="auto" w:fill="FFFFFF"/>
            <w:tcMar>
              <w:top w:w="80" w:type="dxa"/>
              <w:left w:w="80" w:type="dxa"/>
              <w:bottom w:w="80" w:type="dxa"/>
              <w:right w:w="80" w:type="dxa"/>
            </w:tcMar>
            <w:vAlign w:val="center"/>
          </w:tcPr>
          <w:p w14:paraId="709FA24E">
            <w:pPr>
              <w:spacing w:before="0" w:after="0" w:line="240" w:lineRule="auto"/>
              <w:ind w:firstLine="0"/>
              <w:jc w:val="center"/>
              <w:rPr>
                <w:b w:val="0"/>
              </w:rPr>
            </w:pPr>
            <w:r>
              <w:rPr>
                <w:rFonts w:ascii="Times New Roman" w:hAnsi="Times New Roman" w:eastAsia="宋体" w:cs="Times New Roman"/>
                <w:b w:val="0"/>
                <w:color w:val="000000"/>
                <w:sz w:val="19"/>
              </w:rPr>
              <w:t>上升时间/s</w:t>
            </w:r>
          </w:p>
        </w:tc>
        <w:tc>
          <w:tcPr>
            <w:tcW w:w="1871" w:type="dxa"/>
            <w:tcBorders>
              <w:top w:val="single" w:color="000000" w:sz="12" w:space="0"/>
              <w:bottom w:val="single" w:color="000000" w:sz="4" w:space="0"/>
            </w:tcBorders>
            <w:shd w:val="clear" w:color="auto" w:fill="FFFFFF"/>
            <w:tcMar>
              <w:top w:w="80" w:type="dxa"/>
              <w:left w:w="80" w:type="dxa"/>
              <w:bottom w:w="80" w:type="dxa"/>
              <w:right w:w="80" w:type="dxa"/>
            </w:tcMar>
            <w:vAlign w:val="center"/>
          </w:tcPr>
          <w:p w14:paraId="5AA8142F">
            <w:pPr>
              <w:spacing w:before="0" w:after="0" w:line="240" w:lineRule="auto"/>
              <w:ind w:firstLine="0"/>
              <w:jc w:val="center"/>
              <w:rPr>
                <w:b w:val="0"/>
              </w:rPr>
            </w:pPr>
            <w:r>
              <w:rPr>
                <w:rFonts w:ascii="Times New Roman" w:hAnsi="Times New Roman" w:eastAsia="宋体" w:cs="Times New Roman"/>
                <w:b w:val="0"/>
                <w:color w:val="000000"/>
                <w:sz w:val="19"/>
              </w:rPr>
              <w:t>超调量/%</w:t>
            </w:r>
          </w:p>
        </w:tc>
        <w:tc>
          <w:tcPr>
            <w:tcW w:w="1871" w:type="dxa"/>
            <w:tcBorders>
              <w:top w:val="single" w:color="000000" w:sz="12" w:space="0"/>
              <w:bottom w:val="single" w:color="000000" w:sz="4" w:space="0"/>
            </w:tcBorders>
            <w:shd w:val="clear" w:color="auto" w:fill="FFFFFF"/>
            <w:tcMar>
              <w:top w:w="80" w:type="dxa"/>
              <w:left w:w="80" w:type="dxa"/>
              <w:bottom w:w="80" w:type="dxa"/>
              <w:right w:w="80" w:type="dxa"/>
            </w:tcMar>
            <w:vAlign w:val="center"/>
          </w:tcPr>
          <w:p w14:paraId="3A7442F0">
            <w:pPr>
              <w:spacing w:before="0" w:after="0" w:line="240" w:lineRule="auto"/>
              <w:ind w:firstLine="0"/>
              <w:jc w:val="center"/>
              <w:rPr>
                <w:b w:val="0"/>
              </w:rPr>
            </w:pPr>
            <w:r>
              <w:rPr>
                <w:rFonts w:ascii="Times New Roman" w:hAnsi="Times New Roman" w:eastAsia="宋体" w:cs="Times New Roman"/>
                <w:b w:val="0"/>
                <w:color w:val="000000"/>
                <w:sz w:val="19"/>
              </w:rPr>
              <w:t>调节时间/s</w:t>
            </w:r>
          </w:p>
        </w:tc>
        <w:tc>
          <w:tcPr>
            <w:tcW w:w="1871" w:type="dxa"/>
            <w:tcBorders>
              <w:top w:val="single" w:color="000000" w:sz="12" w:space="0"/>
              <w:bottom w:val="single" w:color="000000" w:sz="4" w:space="0"/>
            </w:tcBorders>
            <w:shd w:val="clear" w:color="auto" w:fill="FFFFFF"/>
            <w:tcMar>
              <w:top w:w="80" w:type="dxa"/>
              <w:left w:w="80" w:type="dxa"/>
              <w:bottom w:w="80" w:type="dxa"/>
              <w:right w:w="80" w:type="dxa"/>
            </w:tcMar>
            <w:vAlign w:val="center"/>
          </w:tcPr>
          <w:p w14:paraId="119041F2">
            <w:pPr>
              <w:spacing w:before="0" w:after="0" w:line="240" w:lineRule="auto"/>
              <w:ind w:firstLine="0"/>
              <w:jc w:val="center"/>
              <w:rPr>
                <w:b w:val="0"/>
              </w:rPr>
            </w:pPr>
            <w:r>
              <w:rPr>
                <w:rFonts w:ascii="Times New Roman" w:hAnsi="Times New Roman" w:eastAsia="宋体" w:cs="Times New Roman"/>
                <w:b w:val="0"/>
                <w:color w:val="000000"/>
                <w:sz w:val="19"/>
              </w:rPr>
              <w:t>RMSE/m</w:t>
            </w:r>
          </w:p>
        </w:tc>
      </w:tr>
      <w:tr w14:paraId="2BC39E78">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304" w:type="dxa"/>
            <w:tcBorders>
              <w:top w:val="single" w:color="000000" w:sz="4" w:space="0"/>
            </w:tcBorders>
            <w:shd w:val="clear" w:color="auto" w:fill="FFFFFF"/>
            <w:tcMar>
              <w:top w:w="80" w:type="dxa"/>
              <w:left w:w="80" w:type="dxa"/>
              <w:bottom w:w="80" w:type="dxa"/>
              <w:right w:w="80" w:type="dxa"/>
            </w:tcMar>
            <w:vAlign w:val="center"/>
          </w:tcPr>
          <w:p w14:paraId="17A2463F">
            <w:pPr>
              <w:spacing w:before="0" w:after="0" w:line="240" w:lineRule="auto"/>
              <w:ind w:firstLine="0"/>
              <w:jc w:val="center"/>
              <w:rPr>
                <w:b w:val="0"/>
              </w:rPr>
            </w:pPr>
            <w:r>
              <w:rPr>
                <w:rFonts w:ascii="Times New Roman" w:hAnsi="Times New Roman" w:eastAsia="宋体" w:cs="Times New Roman"/>
                <w:b w:val="0"/>
                <w:color w:val="000000"/>
                <w:sz w:val="19"/>
              </w:rPr>
              <w:t>X</w:t>
            </w:r>
          </w:p>
        </w:tc>
        <w:tc>
          <w:tcPr>
            <w:tcW w:w="1871" w:type="dxa"/>
            <w:tcBorders>
              <w:top w:val="single" w:color="000000" w:sz="4" w:space="0"/>
            </w:tcBorders>
            <w:shd w:val="clear" w:color="auto" w:fill="FFFFFF"/>
            <w:tcMar>
              <w:top w:w="80" w:type="dxa"/>
              <w:left w:w="80" w:type="dxa"/>
              <w:bottom w:w="80" w:type="dxa"/>
              <w:right w:w="80" w:type="dxa"/>
            </w:tcMar>
            <w:vAlign w:val="center"/>
          </w:tcPr>
          <w:p w14:paraId="17020A5B">
            <w:pPr>
              <w:spacing w:before="0" w:after="0" w:line="240" w:lineRule="auto"/>
              <w:ind w:firstLine="0"/>
              <w:jc w:val="center"/>
              <w:rPr>
                <w:b w:val="0"/>
              </w:rPr>
            </w:pPr>
            <w:r>
              <w:rPr>
                <w:rFonts w:ascii="Times New Roman" w:hAnsi="Times New Roman" w:eastAsia="宋体" w:cs="Times New Roman"/>
                <w:b w:val="0"/>
                <w:color w:val="000000"/>
                <w:sz w:val="19"/>
              </w:rPr>
              <w:t>1.2223</w:t>
            </w:r>
          </w:p>
        </w:tc>
        <w:tc>
          <w:tcPr>
            <w:tcW w:w="1871" w:type="dxa"/>
            <w:tcBorders>
              <w:top w:val="single" w:color="000000" w:sz="4" w:space="0"/>
            </w:tcBorders>
            <w:shd w:val="clear" w:color="auto" w:fill="FFFFFF"/>
            <w:tcMar>
              <w:top w:w="80" w:type="dxa"/>
              <w:left w:w="80" w:type="dxa"/>
              <w:bottom w:w="80" w:type="dxa"/>
              <w:right w:w="80" w:type="dxa"/>
            </w:tcMar>
            <w:vAlign w:val="center"/>
          </w:tcPr>
          <w:p w14:paraId="5F47E4F5">
            <w:pPr>
              <w:spacing w:before="0" w:after="0" w:line="240" w:lineRule="auto"/>
              <w:ind w:firstLine="0"/>
              <w:jc w:val="center"/>
              <w:rPr>
                <w:b w:val="0"/>
              </w:rPr>
            </w:pPr>
            <w:r>
              <w:rPr>
                <w:rFonts w:ascii="Times New Roman" w:hAnsi="Times New Roman" w:eastAsia="宋体" w:cs="Times New Roman"/>
                <w:b w:val="0"/>
                <w:color w:val="000000"/>
                <w:sz w:val="19"/>
              </w:rPr>
              <w:t>24.2945</w:t>
            </w:r>
          </w:p>
        </w:tc>
        <w:tc>
          <w:tcPr>
            <w:tcW w:w="1871" w:type="dxa"/>
            <w:tcBorders>
              <w:top w:val="single" w:color="000000" w:sz="4" w:space="0"/>
            </w:tcBorders>
            <w:shd w:val="clear" w:color="auto" w:fill="FFFFFF"/>
            <w:tcMar>
              <w:top w:w="80" w:type="dxa"/>
              <w:left w:w="80" w:type="dxa"/>
              <w:bottom w:w="80" w:type="dxa"/>
              <w:right w:w="80" w:type="dxa"/>
            </w:tcMar>
            <w:vAlign w:val="center"/>
          </w:tcPr>
          <w:p w14:paraId="51B93DFF">
            <w:pPr>
              <w:spacing w:before="0" w:after="0" w:line="240" w:lineRule="auto"/>
              <w:ind w:firstLine="0"/>
              <w:jc w:val="center"/>
              <w:rPr>
                <w:b w:val="0"/>
              </w:rPr>
            </w:pPr>
            <w:r>
              <w:rPr>
                <w:rFonts w:ascii="Times New Roman" w:hAnsi="Times New Roman" w:eastAsia="宋体" w:cs="Times New Roman"/>
                <w:b w:val="0"/>
                <w:color w:val="000000"/>
                <w:sz w:val="19"/>
              </w:rPr>
              <w:t>6.9600</w:t>
            </w:r>
          </w:p>
        </w:tc>
        <w:tc>
          <w:tcPr>
            <w:tcW w:w="1871" w:type="dxa"/>
            <w:tcBorders>
              <w:top w:val="single" w:color="000000" w:sz="4" w:space="0"/>
            </w:tcBorders>
            <w:shd w:val="clear" w:color="auto" w:fill="FFFFFF"/>
            <w:tcMar>
              <w:top w:w="80" w:type="dxa"/>
              <w:left w:w="80" w:type="dxa"/>
              <w:bottom w:w="80" w:type="dxa"/>
              <w:right w:w="80" w:type="dxa"/>
            </w:tcMar>
            <w:vAlign w:val="center"/>
          </w:tcPr>
          <w:p w14:paraId="18DEA2D8">
            <w:pPr>
              <w:spacing w:before="0" w:after="0" w:line="240" w:lineRule="auto"/>
              <w:ind w:firstLine="0"/>
              <w:jc w:val="center"/>
              <w:rPr>
                <w:b w:val="0"/>
              </w:rPr>
            </w:pPr>
            <w:r>
              <w:rPr>
                <w:rFonts w:ascii="Times New Roman" w:hAnsi="Times New Roman" w:eastAsia="宋体" w:cs="Times New Roman"/>
                <w:b w:val="0"/>
                <w:color w:val="000000"/>
                <w:sz w:val="19"/>
              </w:rPr>
              <w:t>0.27660</w:t>
            </w:r>
          </w:p>
        </w:tc>
      </w:tr>
      <w:tr w14:paraId="582CD1FC">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304" w:type="dxa"/>
            <w:shd w:val="clear" w:color="auto" w:fill="FFFFFF"/>
            <w:tcMar>
              <w:top w:w="80" w:type="dxa"/>
              <w:left w:w="80" w:type="dxa"/>
              <w:bottom w:w="80" w:type="dxa"/>
              <w:right w:w="80" w:type="dxa"/>
            </w:tcMar>
            <w:vAlign w:val="center"/>
          </w:tcPr>
          <w:p w14:paraId="29AD9E80">
            <w:pPr>
              <w:spacing w:before="0" w:after="0" w:line="240" w:lineRule="auto"/>
              <w:ind w:firstLine="0"/>
              <w:jc w:val="center"/>
              <w:rPr>
                <w:b w:val="0"/>
              </w:rPr>
            </w:pPr>
            <w:r>
              <w:rPr>
                <w:rFonts w:ascii="Times New Roman" w:hAnsi="Times New Roman" w:eastAsia="宋体" w:cs="Times New Roman"/>
                <w:b w:val="0"/>
                <w:color w:val="000000"/>
                <w:sz w:val="19"/>
              </w:rPr>
              <w:t>Y</w:t>
            </w:r>
          </w:p>
        </w:tc>
        <w:tc>
          <w:tcPr>
            <w:tcW w:w="1871" w:type="dxa"/>
            <w:shd w:val="clear" w:color="auto" w:fill="FFFFFF"/>
            <w:tcMar>
              <w:top w:w="80" w:type="dxa"/>
              <w:left w:w="80" w:type="dxa"/>
              <w:bottom w:w="80" w:type="dxa"/>
              <w:right w:w="80" w:type="dxa"/>
            </w:tcMar>
            <w:vAlign w:val="center"/>
          </w:tcPr>
          <w:p w14:paraId="1829EF02">
            <w:pPr>
              <w:spacing w:before="0" w:after="0" w:line="240" w:lineRule="auto"/>
              <w:ind w:firstLine="0"/>
              <w:jc w:val="center"/>
              <w:rPr>
                <w:b w:val="0"/>
              </w:rPr>
            </w:pPr>
            <w:r>
              <w:rPr>
                <w:rFonts w:ascii="Times New Roman" w:hAnsi="Times New Roman" w:eastAsia="宋体" w:cs="Times New Roman"/>
                <w:b w:val="0"/>
                <w:color w:val="000000"/>
                <w:sz w:val="19"/>
              </w:rPr>
              <w:t>1.2223</w:t>
            </w:r>
          </w:p>
        </w:tc>
        <w:tc>
          <w:tcPr>
            <w:tcW w:w="1871" w:type="dxa"/>
            <w:shd w:val="clear" w:color="auto" w:fill="FFFFFF"/>
            <w:tcMar>
              <w:top w:w="80" w:type="dxa"/>
              <w:left w:w="80" w:type="dxa"/>
              <w:bottom w:w="80" w:type="dxa"/>
              <w:right w:w="80" w:type="dxa"/>
            </w:tcMar>
            <w:vAlign w:val="center"/>
          </w:tcPr>
          <w:p w14:paraId="65260562">
            <w:pPr>
              <w:spacing w:before="0" w:after="0" w:line="240" w:lineRule="auto"/>
              <w:ind w:firstLine="0"/>
              <w:jc w:val="center"/>
              <w:rPr>
                <w:b w:val="0"/>
              </w:rPr>
            </w:pPr>
            <w:r>
              <w:rPr>
                <w:rFonts w:ascii="Times New Roman" w:hAnsi="Times New Roman" w:eastAsia="宋体" w:cs="Times New Roman"/>
                <w:b w:val="0"/>
                <w:color w:val="000000"/>
                <w:sz w:val="19"/>
              </w:rPr>
              <w:t>24.2797</w:t>
            </w:r>
          </w:p>
        </w:tc>
        <w:tc>
          <w:tcPr>
            <w:tcW w:w="1871" w:type="dxa"/>
            <w:shd w:val="clear" w:color="auto" w:fill="FFFFFF"/>
            <w:tcMar>
              <w:top w:w="80" w:type="dxa"/>
              <w:left w:w="80" w:type="dxa"/>
              <w:bottom w:w="80" w:type="dxa"/>
              <w:right w:w="80" w:type="dxa"/>
            </w:tcMar>
            <w:vAlign w:val="center"/>
          </w:tcPr>
          <w:p w14:paraId="0D2C114B">
            <w:pPr>
              <w:spacing w:before="0" w:after="0" w:line="240" w:lineRule="auto"/>
              <w:ind w:firstLine="0"/>
              <w:jc w:val="center"/>
              <w:rPr>
                <w:b w:val="0"/>
              </w:rPr>
            </w:pPr>
            <w:r>
              <w:rPr>
                <w:rFonts w:ascii="Times New Roman" w:hAnsi="Times New Roman" w:eastAsia="宋体" w:cs="Times New Roman"/>
                <w:b w:val="0"/>
                <w:color w:val="000000"/>
                <w:sz w:val="19"/>
              </w:rPr>
              <w:t>6.9600</w:t>
            </w:r>
          </w:p>
        </w:tc>
        <w:tc>
          <w:tcPr>
            <w:tcW w:w="1871" w:type="dxa"/>
            <w:shd w:val="clear" w:color="auto" w:fill="FFFFFF"/>
            <w:tcMar>
              <w:top w:w="80" w:type="dxa"/>
              <w:left w:w="80" w:type="dxa"/>
              <w:bottom w:w="80" w:type="dxa"/>
              <w:right w:w="80" w:type="dxa"/>
            </w:tcMar>
            <w:vAlign w:val="center"/>
          </w:tcPr>
          <w:p w14:paraId="4FD87F3F">
            <w:pPr>
              <w:spacing w:before="0" w:after="0" w:line="240" w:lineRule="auto"/>
              <w:ind w:firstLine="0"/>
              <w:jc w:val="center"/>
              <w:rPr>
                <w:b w:val="0"/>
              </w:rPr>
            </w:pPr>
            <w:r>
              <w:rPr>
                <w:rFonts w:ascii="Times New Roman" w:hAnsi="Times New Roman" w:eastAsia="宋体" w:cs="Times New Roman"/>
                <w:b w:val="0"/>
                <w:color w:val="000000"/>
                <w:sz w:val="19"/>
              </w:rPr>
              <w:t>0.27659</w:t>
            </w:r>
          </w:p>
        </w:tc>
      </w:tr>
      <w:tr w14:paraId="42582B2E">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304" w:type="dxa"/>
            <w:tcBorders>
              <w:bottom w:val="single" w:color="000000" w:sz="12" w:space="0"/>
            </w:tcBorders>
            <w:shd w:val="clear" w:color="auto" w:fill="FFFFFF"/>
            <w:tcMar>
              <w:top w:w="80" w:type="dxa"/>
              <w:left w:w="80" w:type="dxa"/>
              <w:bottom w:w="80" w:type="dxa"/>
              <w:right w:w="80" w:type="dxa"/>
            </w:tcMar>
            <w:vAlign w:val="center"/>
          </w:tcPr>
          <w:p w14:paraId="6F8AA07F">
            <w:pPr>
              <w:spacing w:before="0" w:after="0" w:line="240" w:lineRule="auto"/>
              <w:ind w:firstLine="0"/>
              <w:jc w:val="center"/>
              <w:rPr>
                <w:b w:val="0"/>
              </w:rPr>
            </w:pPr>
            <w:r>
              <w:rPr>
                <w:rFonts w:ascii="Times New Roman" w:hAnsi="Times New Roman" w:eastAsia="宋体" w:cs="Times New Roman"/>
                <w:b w:val="0"/>
                <w:color w:val="000000"/>
                <w:sz w:val="19"/>
              </w:rPr>
              <w:t>Z</w:t>
            </w:r>
          </w:p>
        </w:tc>
        <w:tc>
          <w:tcPr>
            <w:tcW w:w="1871" w:type="dxa"/>
            <w:tcBorders>
              <w:bottom w:val="single" w:color="000000" w:sz="12" w:space="0"/>
            </w:tcBorders>
            <w:shd w:val="clear" w:color="auto" w:fill="FFFFFF"/>
            <w:tcMar>
              <w:top w:w="80" w:type="dxa"/>
              <w:left w:w="80" w:type="dxa"/>
              <w:bottom w:w="80" w:type="dxa"/>
              <w:right w:w="80" w:type="dxa"/>
            </w:tcMar>
            <w:vAlign w:val="center"/>
          </w:tcPr>
          <w:p w14:paraId="5A8FB177">
            <w:pPr>
              <w:spacing w:before="0" w:after="0" w:line="240" w:lineRule="auto"/>
              <w:ind w:firstLine="0"/>
              <w:jc w:val="center"/>
              <w:rPr>
                <w:b w:val="0"/>
              </w:rPr>
            </w:pPr>
            <w:r>
              <w:rPr>
                <w:rFonts w:ascii="Times New Roman" w:hAnsi="Times New Roman" w:eastAsia="宋体" w:cs="Times New Roman"/>
                <w:b w:val="0"/>
                <w:color w:val="000000"/>
                <w:sz w:val="19"/>
              </w:rPr>
              <w:t>0.5270</w:t>
            </w:r>
          </w:p>
        </w:tc>
        <w:tc>
          <w:tcPr>
            <w:tcW w:w="1871" w:type="dxa"/>
            <w:tcBorders>
              <w:bottom w:val="single" w:color="000000" w:sz="12" w:space="0"/>
            </w:tcBorders>
            <w:shd w:val="clear" w:color="auto" w:fill="FFFFFF"/>
            <w:tcMar>
              <w:top w:w="80" w:type="dxa"/>
              <w:left w:w="80" w:type="dxa"/>
              <w:bottom w:w="80" w:type="dxa"/>
              <w:right w:w="80" w:type="dxa"/>
            </w:tcMar>
            <w:vAlign w:val="center"/>
          </w:tcPr>
          <w:p w14:paraId="7B5A264B">
            <w:pPr>
              <w:spacing w:before="0" w:after="0" w:line="240" w:lineRule="auto"/>
              <w:ind w:firstLine="0"/>
              <w:jc w:val="center"/>
              <w:rPr>
                <w:b w:val="0"/>
              </w:rPr>
            </w:pPr>
            <w:r>
              <w:rPr>
                <w:rFonts w:ascii="Times New Roman" w:hAnsi="Times New Roman" w:eastAsia="宋体" w:cs="Times New Roman"/>
                <w:b w:val="0"/>
                <w:color w:val="000000"/>
                <w:sz w:val="19"/>
              </w:rPr>
              <w:t>23.8062</w:t>
            </w:r>
          </w:p>
        </w:tc>
        <w:tc>
          <w:tcPr>
            <w:tcW w:w="1871" w:type="dxa"/>
            <w:tcBorders>
              <w:bottom w:val="single" w:color="000000" w:sz="12" w:space="0"/>
            </w:tcBorders>
            <w:shd w:val="clear" w:color="auto" w:fill="FFFFFF"/>
            <w:tcMar>
              <w:top w:w="80" w:type="dxa"/>
              <w:left w:w="80" w:type="dxa"/>
              <w:bottom w:w="80" w:type="dxa"/>
              <w:right w:w="80" w:type="dxa"/>
            </w:tcMar>
            <w:vAlign w:val="center"/>
          </w:tcPr>
          <w:p w14:paraId="1B996983">
            <w:pPr>
              <w:spacing w:before="0" w:after="0" w:line="240" w:lineRule="auto"/>
              <w:ind w:firstLine="0"/>
              <w:jc w:val="center"/>
              <w:rPr>
                <w:b w:val="0"/>
              </w:rPr>
            </w:pPr>
            <w:r>
              <w:rPr>
                <w:rFonts w:ascii="Times New Roman" w:hAnsi="Times New Roman" w:eastAsia="宋体" w:cs="Times New Roman"/>
                <w:b w:val="0"/>
                <w:color w:val="000000"/>
                <w:sz w:val="19"/>
              </w:rPr>
              <w:t>3.3500</w:t>
            </w:r>
          </w:p>
        </w:tc>
        <w:tc>
          <w:tcPr>
            <w:tcW w:w="1871" w:type="dxa"/>
            <w:tcBorders>
              <w:bottom w:val="single" w:color="000000" w:sz="12" w:space="0"/>
            </w:tcBorders>
            <w:shd w:val="clear" w:color="auto" w:fill="FFFFFF"/>
            <w:tcMar>
              <w:top w:w="80" w:type="dxa"/>
              <w:left w:w="80" w:type="dxa"/>
              <w:bottom w:w="80" w:type="dxa"/>
              <w:right w:w="80" w:type="dxa"/>
            </w:tcMar>
            <w:vAlign w:val="center"/>
          </w:tcPr>
          <w:p w14:paraId="4BA344E9">
            <w:pPr>
              <w:spacing w:before="0" w:after="0" w:line="240" w:lineRule="auto"/>
              <w:ind w:firstLine="0"/>
              <w:jc w:val="center"/>
              <w:rPr>
                <w:b w:val="0"/>
              </w:rPr>
            </w:pPr>
            <w:r>
              <w:rPr>
                <w:rFonts w:ascii="Times New Roman" w:hAnsi="Times New Roman" w:eastAsia="宋体" w:cs="Times New Roman"/>
                <w:b w:val="0"/>
                <w:color w:val="000000"/>
                <w:sz w:val="19"/>
              </w:rPr>
              <w:t>0.22388</w:t>
            </w:r>
          </w:p>
        </w:tc>
      </w:tr>
    </w:tbl>
    <w:p w14:paraId="5EBC5DC8">
      <w:pPr>
        <w:spacing w:after="0"/>
        <w:ind w:firstLine="0"/>
      </w:pPr>
    </w:p>
    <w:p w14:paraId="0DED4759">
      <w:pPr>
        <w:spacing w:before="0" w:after="0" w:line="360" w:lineRule="auto"/>
        <w:ind w:firstLine="480"/>
        <w:jc w:val="both"/>
      </w:pPr>
      <w:r>
        <w:rPr>
          <w:rFonts w:ascii="Times New Roman" w:hAnsi="Times New Roman" w:eastAsia="宋体" w:cs="Times New Roman"/>
          <w:color w:val="000000"/>
          <w:sz w:val="24"/>
        </w:rPr>
        <w:t>注：表2-3由X、Y、Z三组PID阶跃仿真结果计算得到，Syslab按照附表B-2中的统一定义计算上升时间、超调量、调节时间和RMSE。表中RMSE用于描述PID的基准响应；PID与RA-GCA-CGHTE在相同测试条件下的比较结果见第6章。</w:t>
      </w:r>
    </w:p>
    <w:p w14:paraId="758F1368">
      <w:pPr>
        <w:spacing w:before="0" w:after="0" w:line="360" w:lineRule="auto"/>
        <w:ind w:firstLine="480"/>
        <w:jc w:val="both"/>
      </w:pPr>
      <w:r>
        <w:rPr>
          <w:rFonts w:ascii="Times New Roman" w:hAnsi="Times New Roman" w:eastAsia="宋体" w:cs="Times New Roman"/>
          <w:color w:val="000000"/>
          <w:sz w:val="24"/>
        </w:rPr>
        <w:t>三轴最终稳态误差均处于10⁻⁴ m量级或更低，说明积分环节和固定反馈在名义条件下具有较好的静态精度，主要改进空间在响应过程。X、Y、Z轴超调量分别为24.2945%、24.2797%和23.8062%，两个水平轴进入稳态带均需要6.96 s。水平位置指令需依次经过位置外环、姿态内环和电机动力学才能形成水平加速度，多级响应的滞后与固定增益共同造成明显欠阻尼。Z轴上升更快，但超调仍较大，说明高度响应速度与阻尼之间存在取舍。</w:t>
      </w:r>
    </w:p>
    <w:p w14:paraId="38366E58">
      <w:pPr>
        <w:spacing w:before="0" w:after="0" w:line="360" w:lineRule="auto"/>
        <w:ind w:firstLine="480"/>
        <w:jc w:val="both"/>
      </w:pPr>
      <w:r>
        <w:rPr>
          <w:rFonts w:ascii="Times New Roman" w:hAnsi="Times New Roman" w:eastAsia="宋体" w:cs="Times New Roman"/>
          <w:color w:val="000000"/>
          <w:sz w:val="24"/>
        </w:rPr>
        <w:t>螺旋爬升和8字轨迹要求控制器持续改变推力方向，并协调水平加速度、高度和姿态。固定增益PID通过分轴计算、角度限幅和静态混控协调三维运动，对电机可用范围的处理较为有限。当轨迹曲率、速度或模型参数变化时，同一组增益需要在响应速度、超调和电机指令平滑性之间取舍。根据上述PID结果，后续控制器应满足以下四项需求：</w:t>
      </w:r>
    </w:p>
    <w:p w14:paraId="6CC3E26E">
      <w:pPr>
        <w:spacing w:before="0" w:after="0" w:line="360" w:lineRule="auto"/>
        <w:ind w:left="480" w:firstLine="480"/>
        <w:jc w:val="both"/>
      </w:pPr>
      <w:r>
        <w:rPr>
          <w:rFonts w:ascii="Times New Roman" w:hAnsi="Times New Roman" w:eastAsia="宋体" w:cs="Times New Roman"/>
          <w:color w:val="000000"/>
          <w:sz w:val="24"/>
        </w:rPr>
        <w:t>（1）在保持名义稳态精度的同时降低超调并缩短调节时间；</w:t>
      </w:r>
    </w:p>
    <w:p w14:paraId="697D5369">
      <w:pPr>
        <w:spacing w:before="0" w:after="0" w:line="360" w:lineRule="auto"/>
        <w:ind w:left="480" w:firstLine="480"/>
        <w:jc w:val="both"/>
      </w:pPr>
      <w:r>
        <w:rPr>
          <w:rFonts w:ascii="Times New Roman" w:hAnsi="Times New Roman" w:eastAsia="宋体" w:cs="Times New Roman"/>
          <w:color w:val="000000"/>
          <w:sz w:val="24"/>
        </w:rPr>
        <w:t>（2）以统一的三维几何关系处理位置—姿态耦合和推力方向；</w:t>
      </w:r>
    </w:p>
    <w:p w14:paraId="6A02521E">
      <w:pPr>
        <w:spacing w:before="0" w:after="0" w:line="360" w:lineRule="auto"/>
        <w:ind w:left="480" w:firstLine="480"/>
        <w:jc w:val="both"/>
      </w:pPr>
      <w:r>
        <w:rPr>
          <w:rFonts w:ascii="Times New Roman" w:hAnsi="Times New Roman" w:eastAsia="宋体" w:cs="Times New Roman"/>
          <w:color w:val="000000"/>
          <w:sz w:val="24"/>
        </w:rPr>
        <w:t>（3）在控制分配中显式考虑电机上下限、饱和和控制平滑性；</w:t>
      </w:r>
    </w:p>
    <w:p w14:paraId="443C1309">
      <w:pPr>
        <w:spacing w:before="0" w:after="0" w:line="360" w:lineRule="auto"/>
        <w:ind w:left="480" w:firstLine="480"/>
        <w:jc w:val="both"/>
      </w:pPr>
      <w:r>
        <w:rPr>
          <w:rFonts w:ascii="Times New Roman" w:hAnsi="Times New Roman" w:eastAsia="宋体" w:cs="Times New Roman"/>
          <w:color w:val="000000"/>
          <w:sz w:val="24"/>
        </w:rPr>
        <w:t>（4）保持标准化接口，使单机、鲁棒性和编队场景能够在同一被控对象上复用。</w:t>
      </w:r>
    </w:p>
    <w:p w14:paraId="6CF5AA60">
      <w:pPr>
        <w:spacing w:before="0" w:after="0" w:line="360" w:lineRule="auto"/>
        <w:ind w:firstLine="480"/>
        <w:jc w:val="both"/>
      </w:pPr>
      <w:r>
        <w:rPr>
          <w:rFonts w:ascii="Times New Roman" w:hAnsi="Times New Roman" w:eastAsia="宋体" w:cs="Times New Roman"/>
          <w:color w:val="000000"/>
          <w:sz w:val="24"/>
        </w:rPr>
        <w:t>针对上述问题，本项目采用置信门控悬停推力估计增强的约化姿态几何控制与约束感知分配算法（Reduced-Attitude Geometric Control with Constraint-Aware Allocation Enhanced by Confidence-Gated Hover-Thrust Estimation，RA-GCA-CGHTE）。该算法根据期望运动方向计算机体推力方向，在电机分配时考虑转速上下限；当持续出现模型偏差且估计结果可信时，再逐步修正悬停推力估计。详细方法见第3章，实验设置见第5章，结果见第6章。</w:t>
      </w:r>
    </w:p>
    <w:p w14:paraId="4BE82E0A">
      <w:pPr>
        <w:spacing w:before="0" w:after="0" w:line="360" w:lineRule="auto"/>
        <w:ind w:firstLine="480"/>
        <w:jc w:val="both"/>
      </w:pPr>
      <w:r>
        <w:rPr>
          <w:rFonts w:ascii="Times New Roman" w:hAnsi="Times New Roman" w:eastAsia="宋体" w:cs="Times New Roman"/>
          <w:color w:val="000000"/>
          <w:sz w:val="24"/>
        </w:rPr>
        <w:t>后续单机实验比较赛题PID、RA-GCA/Base、RA-GCA-CGHTE、CAP-ADRC和CP-INDI。各算法只在测试条件和指标定义相同的数据上进行比较；缺少同条件数据的场景不作横向结论。</w:t>
      </w:r>
    </w:p>
    <w:p w14:paraId="6116CA1B">
      <w:pPr>
        <w:pStyle w:val="2"/>
        <w:pageBreakBefore w:val="0"/>
        <w:rPr>
          <w:rFonts w:ascii="Times New Roman" w:hAnsi="Times New Roman" w:eastAsia="黑体" w:cs="Times New Roman"/>
          <w:b/>
          <w:color w:val="000000"/>
          <w:sz w:val="32"/>
        </w:rPr>
      </w:pPr>
      <w:bookmarkStart w:id="9" w:name="_Toc23296"/>
    </w:p>
    <w:p w14:paraId="33388731">
      <w:pPr>
        <w:pStyle w:val="2"/>
        <w:pageBreakBefore w:val="0"/>
      </w:pPr>
      <w:r>
        <w:rPr>
          <w:rFonts w:ascii="Times New Roman" w:hAnsi="Times New Roman" w:eastAsia="黑体" w:cs="Times New Roman"/>
          <w:b/>
          <w:color w:val="000000"/>
          <w:sz w:val="32"/>
        </w:rPr>
        <w:t>第3章 五对象控制框架与RA-GCA-CGHTE方法实现</w:t>
      </w:r>
      <w:bookmarkEnd w:id="9"/>
    </w:p>
    <w:p w14:paraId="1AA73287">
      <w:pPr>
        <w:pageBreakBefore w:val="0"/>
        <w:spacing w:before="0" w:after="0" w:line="360" w:lineRule="auto"/>
        <w:ind w:firstLine="480"/>
        <w:jc w:val="both"/>
      </w:pPr>
      <w:r>
        <w:rPr>
          <w:rFonts w:ascii="Times New Roman" w:hAnsi="Times New Roman" w:eastAsia="宋体" w:cs="Times New Roman"/>
          <w:color w:val="000000"/>
          <w:sz w:val="24"/>
        </w:rPr>
        <w:t>本章围绕主算法的控制机理与工程实现展开。首先在统一参考、统一物理模型和统一输出接口下介绍五个比较</w:t>
      </w:r>
      <w:r>
        <w:rPr>
          <w:rFonts w:hint="eastAsia" w:cs="Times New Roman"/>
          <w:color w:val="000000"/>
          <w:sz w:val="24"/>
          <w:lang w:val="en-US" w:eastAsia="zh-CN"/>
        </w:rPr>
        <w:t>算法</w:t>
      </w:r>
      <w:r>
        <w:rPr>
          <w:rFonts w:ascii="Times New Roman" w:hAnsi="Times New Roman" w:eastAsia="宋体" w:cs="Times New Roman"/>
          <w:color w:val="000000"/>
          <w:sz w:val="24"/>
        </w:rPr>
        <w:t>对象，再依次说明约化姿态几何控制、置信门控悬停推力估计增强和约束感知分配。章节末尾给出稳定性依据、控制权限、外部来源和适用范围。</w:t>
      </w:r>
    </w:p>
    <w:p w14:paraId="1B4A22B6">
      <w:pPr>
        <w:pStyle w:val="3"/>
        <w:keepNext/>
        <w:pageBreakBefore w:val="0"/>
        <w:spacing w:before="240" w:after="120"/>
      </w:pPr>
      <w:bookmarkStart w:id="10" w:name="_Toc7451"/>
      <w:r>
        <w:rPr>
          <w:rFonts w:ascii="Times New Roman" w:hAnsi="Times New Roman" w:eastAsia="黑体" w:cs="Times New Roman"/>
          <w:b/>
          <w:color w:val="000000"/>
          <w:sz w:val="26"/>
        </w:rPr>
        <w:t>3.1 五对象统一控制架构</w:t>
      </w:r>
      <w:bookmarkEnd w:id="10"/>
    </w:p>
    <w:p w14:paraId="06226667">
      <w:pPr>
        <w:pageBreakBefore w:val="0"/>
        <w:spacing w:before="0" w:after="0" w:line="360" w:lineRule="auto"/>
        <w:ind w:firstLine="480"/>
        <w:jc w:val="both"/>
      </w:pPr>
      <w:r>
        <w:rPr>
          <w:rFonts w:ascii="Times New Roman" w:hAnsi="Times New Roman" w:eastAsia="宋体" w:cs="Times New Roman"/>
          <w:color w:val="000000"/>
          <w:sz w:val="24"/>
        </w:rPr>
        <w:t>正文比较PID、RA-GCA/Base、RA-GCA-CGHTE、CAP-ADRC和CP-INDI五个</w:t>
      </w:r>
      <w:r>
        <w:rPr>
          <w:rFonts w:hint="eastAsia" w:cs="Times New Roman"/>
          <w:color w:val="000000"/>
          <w:sz w:val="24"/>
          <w:lang w:val="en-US" w:eastAsia="zh-CN"/>
        </w:rPr>
        <w:t>算法</w:t>
      </w:r>
      <w:r>
        <w:rPr>
          <w:rFonts w:ascii="Times New Roman" w:hAnsi="Times New Roman" w:eastAsia="宋体" w:cs="Times New Roman"/>
          <w:color w:val="000000"/>
          <w:sz w:val="24"/>
        </w:rPr>
        <w:t>，覆盖级联反馈、几何控制、主动抗扰和增量动态逆四类控制方法。RA-GCA-CGHTE构成本文</w:t>
      </w:r>
      <w:r>
        <w:rPr>
          <w:rFonts w:hint="eastAsia" w:cs="Times New Roman"/>
          <w:color w:val="000000"/>
          <w:sz w:val="24"/>
          <w:lang w:val="en-US" w:eastAsia="zh-CN"/>
        </w:rPr>
        <w:t>的</w:t>
      </w:r>
      <w:r>
        <w:rPr>
          <w:rFonts w:ascii="Times New Roman" w:hAnsi="Times New Roman" w:eastAsia="宋体" w:cs="Times New Roman"/>
          <w:color w:val="000000"/>
          <w:sz w:val="24"/>
        </w:rPr>
        <w:t>主算法框架，RA-GCA/Base用于识别推力估计增强和约束分配带来的结构差异。</w:t>
      </w:r>
    </w:p>
    <w:p w14:paraId="70BF3F6D">
      <w:pPr>
        <w:pageBreakBefore w:val="0"/>
        <w:spacing w:before="0" w:after="0" w:line="360" w:lineRule="auto"/>
        <w:ind w:firstLine="480"/>
        <w:jc w:val="both"/>
      </w:pPr>
      <w:r>
        <w:rPr>
          <w:rFonts w:ascii="Times New Roman" w:hAnsi="Times New Roman" w:eastAsia="宋体" w:cs="Times New Roman"/>
          <w:color w:val="000000"/>
          <w:sz w:val="24"/>
        </w:rPr>
        <w:t>统一架构将控制器视为可替换模块。参考信号、物理模型、初始条件、采样周期和评价窗口保持一致，控制器均输出四电机幅值指令。诊断端口允许各方法输出自身状态，但诊断量不参与被控对象动力学。统一实验条件使后续比较聚焦控制律差异，同时保留每种方法的工程特征。</w:t>
      </w:r>
    </w:p>
    <w:p w14:paraId="73F139C5">
      <w:pPr>
        <w:keepNext/>
        <w:pageBreakBefore w:val="0"/>
        <w:spacing w:before="0" w:after="60"/>
        <w:ind w:firstLine="0"/>
        <w:jc w:val="center"/>
      </w:pPr>
      <w:r>
        <w:drawing>
          <wp:inline distT="0" distB="0" distL="0" distR="0">
            <wp:extent cx="5579745" cy="2963545"/>
            <wp:effectExtent l="0" t="0" r="1905" b="8255"/>
            <wp:docPr id="5" name="Picture 8" descr="五个比较对象共享11维参考、18维状态、2维分配边界、四旋翼物理模型和评价方法，并分别输出四维电机指令与独立诊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8" descr="五个比较对象共享11维参考、18维状态、2维分配边界、四旋翼物理模型和评价方法，并分别输出四维电机指令与独立诊断。"/>
                    <pic:cNvPicPr>
                      <a:picLocks noChangeAspect="1"/>
                    </pic:cNvPicPr>
                  </pic:nvPicPr>
                  <pic:blipFill>
                    <a:blip r:embed="rId16"/>
                    <a:stretch>
                      <a:fillRect/>
                    </a:stretch>
                  </pic:blipFill>
                  <pic:spPr>
                    <a:xfrm>
                      <a:off x="0" y="0"/>
                      <a:ext cx="5580000" cy="2963754"/>
                    </a:xfrm>
                    <a:prstGeom prst="rect">
                      <a:avLst/>
                    </a:prstGeom>
                  </pic:spPr>
                </pic:pic>
              </a:graphicData>
            </a:graphic>
          </wp:inline>
        </w:drawing>
      </w:r>
    </w:p>
    <w:p w14:paraId="08424078">
      <w:pPr>
        <w:pStyle w:val="4"/>
        <w:pageBreakBefore w:val="0"/>
        <w:spacing w:before="40" w:after="40"/>
      </w:pPr>
      <w:r>
        <w:rPr>
          <w:rFonts w:ascii="Times New Roman" w:hAnsi="Times New Roman" w:eastAsia="宋体" w:cs="Times New Roman"/>
          <w:b/>
          <w:color w:val="000000"/>
          <w:sz w:val="21"/>
        </w:rPr>
        <w:t>图3-1 五对象统一控制与评价架构</w:t>
      </w:r>
    </w:p>
    <w:p w14:paraId="70AFDF7B">
      <w:pPr>
        <w:pStyle w:val="21"/>
        <w:pageBreakBefore w:val="0"/>
        <w:spacing w:after="0"/>
      </w:pPr>
      <w:r>
        <w:rPr>
          <w:rFonts w:ascii="Times New Roman" w:hAnsi="Times New Roman" w:eastAsia="宋体" w:cs="Times New Roman"/>
          <w:b w:val="0"/>
          <w:color w:val="000000"/>
          <w:sz w:val="18"/>
        </w:rPr>
        <w:t>注：RA-GCA/Base与RA-GCA-CGHTE同属几何控制方法；各控制器均接入同一四旋翼物理模型。</w:t>
      </w:r>
    </w:p>
    <w:p w14:paraId="261D721D">
      <w:pPr>
        <w:pStyle w:val="4"/>
        <w:keepNext/>
        <w:pageBreakBefore w:val="0"/>
      </w:pPr>
      <w:r>
        <w:rPr>
          <w:rFonts w:ascii="Times New Roman" w:hAnsi="Times New Roman" w:eastAsia="宋体" w:cs="Times New Roman"/>
          <w:b/>
          <w:color w:val="000000"/>
          <w:sz w:val="21"/>
        </w:rPr>
        <w:t>表3-1 五个比较对象的</w:t>
      </w:r>
      <w:r>
        <w:rPr>
          <w:rFonts w:hint="eastAsia" w:cs="Times New Roman"/>
          <w:b/>
          <w:color w:val="000000"/>
          <w:sz w:val="21"/>
          <w:lang w:val="en-US" w:eastAsia="zh-CN"/>
        </w:rPr>
        <w:t>作用</w:t>
      </w:r>
      <w:r>
        <w:rPr>
          <w:rFonts w:ascii="Times New Roman" w:hAnsi="Times New Roman" w:eastAsia="宋体" w:cs="Times New Roman"/>
          <w:b/>
          <w:color w:val="000000"/>
          <w:sz w:val="21"/>
        </w:rPr>
        <w:t>与实现特征</w:t>
      </w:r>
    </w:p>
    <w:tbl>
      <w:tblPr>
        <w:tblStyle w:val="10"/>
        <w:tblW w:w="0" w:type="auto"/>
        <w:jc w:val="center"/>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535"/>
        <w:gridCol w:w="3365"/>
        <w:gridCol w:w="2200"/>
        <w:gridCol w:w="870"/>
      </w:tblGrid>
      <w:tr w14:paraId="37FF8F9D">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blHeader/>
          <w:jc w:val="center"/>
        </w:trPr>
        <w:tc>
          <w:tcPr>
            <w:tcW w:w="0" w:type="auto"/>
            <w:tcBorders>
              <w:top w:val="single" w:color="000000" w:sz="12" w:space="0"/>
              <w:bottom w:val="single" w:color="000000" w:sz="4" w:space="0"/>
              <w:tl2br w:val="nil"/>
            </w:tcBorders>
            <w:shd w:val="clear" w:color="auto" w:fill="FFFFFF"/>
            <w:tcMar>
              <w:top w:w="45" w:type="dxa"/>
              <w:left w:w="55" w:type="dxa"/>
              <w:bottom w:w="45" w:type="dxa"/>
              <w:right w:w="55" w:type="dxa"/>
            </w:tcMar>
            <w:vAlign w:val="center"/>
          </w:tcPr>
          <w:p w14:paraId="52AF82E6">
            <w:pPr>
              <w:spacing w:before="0" w:after="0" w:line="240" w:lineRule="auto"/>
              <w:ind w:firstLine="0"/>
              <w:jc w:val="center"/>
              <w:rPr>
                <w:rFonts w:hint="eastAsia" w:ascii="Times New Roman" w:hAnsi="Times New Roman" w:eastAsia="宋体" w:cs="Times New Roman"/>
                <w:b/>
                <w:bCs/>
                <w:color w:val="000000"/>
                <w:sz w:val="19"/>
                <w:lang w:val="en-US" w:eastAsia="zh-CN"/>
              </w:rPr>
            </w:pPr>
            <w:r>
              <w:rPr>
                <w:rFonts w:hint="eastAsia" w:ascii="Times New Roman" w:hAnsi="Times New Roman" w:eastAsia="宋体" w:cs="Times New Roman"/>
                <w:b/>
                <w:bCs/>
                <w:color w:val="000000"/>
                <w:sz w:val="19"/>
                <w:lang w:val="en-US" w:eastAsia="zh-CN"/>
              </w:rPr>
              <w:t>算法</w:t>
            </w:r>
          </w:p>
        </w:tc>
        <w:tc>
          <w:tcPr>
            <w:tcW w:w="0" w:type="auto"/>
            <w:tcBorders>
              <w:top w:val="single" w:color="000000" w:sz="12" w:space="0"/>
              <w:bottom w:val="single" w:color="000000" w:sz="4" w:space="0"/>
            </w:tcBorders>
            <w:shd w:val="clear" w:color="auto" w:fill="FFFFFF"/>
            <w:tcMar>
              <w:top w:w="45" w:type="dxa"/>
              <w:left w:w="55" w:type="dxa"/>
              <w:bottom w:w="45" w:type="dxa"/>
              <w:right w:w="55" w:type="dxa"/>
            </w:tcMar>
            <w:vAlign w:val="center"/>
          </w:tcPr>
          <w:p w14:paraId="323D8C85">
            <w:pPr>
              <w:spacing w:before="0" w:after="0" w:line="240" w:lineRule="auto"/>
              <w:ind w:firstLine="0"/>
              <w:jc w:val="center"/>
              <w:rPr>
                <w:rFonts w:ascii="Times New Roman" w:hAnsi="Times New Roman" w:eastAsia="宋体" w:cs="Times New Roman"/>
                <w:b/>
                <w:bCs/>
                <w:color w:val="000000"/>
                <w:sz w:val="19"/>
              </w:rPr>
            </w:pPr>
            <w:r>
              <w:rPr>
                <w:rFonts w:ascii="Times New Roman" w:hAnsi="Times New Roman" w:eastAsia="宋体" w:cs="Times New Roman"/>
                <w:b/>
                <w:bCs/>
                <w:color w:val="000000"/>
                <w:sz w:val="19"/>
              </w:rPr>
              <w:t>核心机制</w:t>
            </w:r>
          </w:p>
        </w:tc>
        <w:tc>
          <w:tcPr>
            <w:tcW w:w="0" w:type="auto"/>
            <w:tcBorders>
              <w:top w:val="single" w:color="000000" w:sz="12" w:space="0"/>
              <w:bottom w:val="single" w:color="000000" w:sz="4" w:space="0"/>
            </w:tcBorders>
            <w:shd w:val="clear" w:color="auto" w:fill="FFFFFF"/>
            <w:tcMar>
              <w:top w:w="45" w:type="dxa"/>
              <w:left w:w="55" w:type="dxa"/>
              <w:bottom w:w="45" w:type="dxa"/>
              <w:right w:w="55" w:type="dxa"/>
            </w:tcMar>
            <w:vAlign w:val="center"/>
          </w:tcPr>
          <w:p w14:paraId="7E44916B">
            <w:pPr>
              <w:spacing w:before="0" w:after="0" w:line="240" w:lineRule="auto"/>
              <w:ind w:firstLine="0"/>
              <w:jc w:val="center"/>
              <w:rPr>
                <w:rFonts w:ascii="Times New Roman" w:hAnsi="Times New Roman" w:eastAsia="宋体" w:cs="Times New Roman"/>
                <w:b/>
                <w:bCs/>
                <w:color w:val="000000"/>
                <w:sz w:val="19"/>
              </w:rPr>
            </w:pPr>
            <w:r>
              <w:rPr>
                <w:rFonts w:ascii="Times New Roman" w:hAnsi="Times New Roman" w:eastAsia="宋体" w:cs="Times New Roman"/>
                <w:b/>
                <w:bCs/>
                <w:color w:val="000000"/>
                <w:sz w:val="19"/>
              </w:rPr>
              <w:t>内部状态</w:t>
            </w:r>
          </w:p>
        </w:tc>
        <w:tc>
          <w:tcPr>
            <w:tcW w:w="0" w:type="auto"/>
            <w:tcBorders>
              <w:top w:val="single" w:color="000000" w:sz="12" w:space="0"/>
              <w:bottom w:val="single" w:color="000000" w:sz="4" w:space="0"/>
            </w:tcBorders>
            <w:shd w:val="clear" w:color="auto" w:fill="FFFFFF"/>
            <w:tcMar>
              <w:top w:w="45" w:type="dxa"/>
              <w:left w:w="55" w:type="dxa"/>
              <w:bottom w:w="45" w:type="dxa"/>
              <w:right w:w="55" w:type="dxa"/>
            </w:tcMar>
            <w:vAlign w:val="center"/>
          </w:tcPr>
          <w:p w14:paraId="278BC489">
            <w:pPr>
              <w:spacing w:before="0" w:after="0" w:line="240" w:lineRule="auto"/>
              <w:ind w:firstLine="0"/>
              <w:jc w:val="center"/>
              <w:rPr>
                <w:rFonts w:hint="eastAsia" w:ascii="Times New Roman" w:hAnsi="Times New Roman" w:eastAsia="宋体" w:cs="Times New Roman"/>
                <w:b/>
                <w:bCs/>
                <w:color w:val="000000"/>
                <w:sz w:val="19"/>
                <w:lang w:val="en-US" w:eastAsia="zh-CN"/>
              </w:rPr>
            </w:pPr>
            <w:r>
              <w:rPr>
                <w:rFonts w:hint="eastAsia" w:ascii="Times New Roman" w:hAnsi="Times New Roman" w:eastAsia="宋体" w:cs="Times New Roman"/>
                <w:b/>
                <w:bCs/>
                <w:color w:val="000000"/>
                <w:sz w:val="19"/>
                <w:lang w:val="en-US" w:eastAsia="zh-CN"/>
              </w:rPr>
              <w:t>作用</w:t>
            </w:r>
          </w:p>
        </w:tc>
      </w:tr>
      <w:tr w14:paraId="12EB1DEA">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0" w:type="auto"/>
            <w:tcBorders>
              <w:top w:val="single" w:color="000000" w:sz="4" w:space="0"/>
              <w:left w:val="nil"/>
              <w:bottom w:val="nil"/>
              <w:right w:val="nil"/>
            </w:tcBorders>
            <w:shd w:val="clear" w:color="auto" w:fill="FFFFFF"/>
            <w:tcMar>
              <w:top w:w="45" w:type="dxa"/>
              <w:left w:w="55" w:type="dxa"/>
              <w:bottom w:w="45" w:type="dxa"/>
              <w:right w:w="55" w:type="dxa"/>
            </w:tcMar>
            <w:vAlign w:val="center"/>
          </w:tcPr>
          <w:p w14:paraId="62355DB0">
            <w:pPr>
              <w:spacing w:before="0" w:after="0" w:line="240" w:lineRule="auto"/>
              <w:ind w:firstLine="0"/>
              <w:jc w:val="center"/>
              <w:rPr>
                <w:b w:val="0"/>
              </w:rPr>
            </w:pPr>
            <w:r>
              <w:rPr>
                <w:rFonts w:ascii="Times New Roman" w:hAnsi="Times New Roman" w:eastAsia="宋体" w:cs="Times New Roman"/>
                <w:b w:val="0"/>
                <w:color w:val="000000"/>
                <w:sz w:val="19"/>
              </w:rPr>
              <w:t>PID</w:t>
            </w:r>
          </w:p>
        </w:tc>
        <w:tc>
          <w:tcPr>
            <w:tcW w:w="0" w:type="auto"/>
            <w:tcBorders>
              <w:top w:val="single" w:color="000000" w:sz="4" w:space="0"/>
              <w:left w:val="nil"/>
              <w:bottom w:val="nil"/>
              <w:right w:val="nil"/>
            </w:tcBorders>
            <w:shd w:val="clear" w:color="auto" w:fill="FFFFFF"/>
            <w:tcMar>
              <w:top w:w="45" w:type="dxa"/>
              <w:left w:w="55" w:type="dxa"/>
              <w:bottom w:w="45" w:type="dxa"/>
              <w:right w:w="55" w:type="dxa"/>
            </w:tcMar>
            <w:vAlign w:val="center"/>
          </w:tcPr>
          <w:p w14:paraId="3458191B">
            <w:pPr>
              <w:spacing w:before="0" w:after="0" w:line="240" w:lineRule="auto"/>
              <w:ind w:firstLine="0"/>
              <w:jc w:val="center"/>
              <w:rPr>
                <w:b w:val="0"/>
              </w:rPr>
            </w:pPr>
            <w:r>
              <w:rPr>
                <w:rFonts w:ascii="Times New Roman" w:hAnsi="Times New Roman" w:eastAsia="宋体" w:cs="Times New Roman"/>
                <w:b w:val="0"/>
                <w:color w:val="000000"/>
                <w:sz w:val="19"/>
              </w:rPr>
              <w:t>位置/姿态级联反馈</w:t>
            </w:r>
          </w:p>
        </w:tc>
        <w:tc>
          <w:tcPr>
            <w:tcW w:w="0" w:type="auto"/>
            <w:tcBorders>
              <w:top w:val="single" w:color="000000" w:sz="4" w:space="0"/>
              <w:left w:val="nil"/>
              <w:bottom w:val="nil"/>
              <w:right w:val="nil"/>
            </w:tcBorders>
            <w:shd w:val="clear" w:color="auto" w:fill="FFFFFF"/>
            <w:tcMar>
              <w:top w:w="45" w:type="dxa"/>
              <w:left w:w="55" w:type="dxa"/>
              <w:bottom w:w="45" w:type="dxa"/>
              <w:right w:w="55" w:type="dxa"/>
            </w:tcMar>
            <w:vAlign w:val="center"/>
          </w:tcPr>
          <w:p w14:paraId="32C7F76D">
            <w:pPr>
              <w:spacing w:before="0" w:after="0" w:line="240" w:lineRule="auto"/>
              <w:ind w:firstLine="0"/>
              <w:jc w:val="center"/>
              <w:rPr>
                <w:b w:val="0"/>
              </w:rPr>
            </w:pPr>
            <w:r>
              <w:rPr>
                <w:rFonts w:ascii="Times New Roman" w:hAnsi="Times New Roman" w:eastAsia="宋体" w:cs="Times New Roman"/>
                <w:b w:val="0"/>
                <w:color w:val="000000"/>
                <w:sz w:val="19"/>
              </w:rPr>
              <w:t>积分、微分</w:t>
            </w:r>
          </w:p>
        </w:tc>
        <w:tc>
          <w:tcPr>
            <w:tcW w:w="0" w:type="auto"/>
            <w:tcBorders>
              <w:top w:val="single" w:color="000000" w:sz="4" w:space="0"/>
              <w:left w:val="nil"/>
              <w:bottom w:val="nil"/>
              <w:right w:val="nil"/>
            </w:tcBorders>
            <w:shd w:val="clear" w:color="auto" w:fill="FFFFFF"/>
            <w:tcMar>
              <w:top w:w="45" w:type="dxa"/>
              <w:left w:w="55" w:type="dxa"/>
              <w:bottom w:w="45" w:type="dxa"/>
              <w:right w:w="55" w:type="dxa"/>
            </w:tcMar>
            <w:vAlign w:val="center"/>
          </w:tcPr>
          <w:p w14:paraId="3C6BE98A">
            <w:pPr>
              <w:spacing w:before="0" w:after="0" w:line="240" w:lineRule="auto"/>
              <w:ind w:firstLine="0"/>
              <w:jc w:val="center"/>
              <w:rPr>
                <w:b w:val="0"/>
              </w:rPr>
            </w:pPr>
            <w:r>
              <w:rPr>
                <w:rFonts w:ascii="Times New Roman" w:hAnsi="Times New Roman" w:eastAsia="宋体" w:cs="Times New Roman"/>
                <w:b w:val="0"/>
                <w:color w:val="000000"/>
                <w:sz w:val="19"/>
              </w:rPr>
              <w:t>官方基线</w:t>
            </w:r>
          </w:p>
        </w:tc>
      </w:tr>
      <w:tr w14:paraId="080EEB55">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tcMar>
              <w:top w:w="45" w:type="dxa"/>
              <w:left w:w="55" w:type="dxa"/>
              <w:bottom w:w="45" w:type="dxa"/>
              <w:right w:w="55" w:type="dxa"/>
            </w:tcMar>
            <w:vAlign w:val="center"/>
          </w:tcPr>
          <w:p w14:paraId="60E7581F">
            <w:pPr>
              <w:spacing w:before="0" w:after="0" w:line="240" w:lineRule="auto"/>
              <w:ind w:firstLine="0"/>
              <w:jc w:val="center"/>
              <w:rPr>
                <w:b w:val="0"/>
              </w:rPr>
            </w:pPr>
            <w:r>
              <w:rPr>
                <w:rFonts w:ascii="Times New Roman" w:hAnsi="Times New Roman" w:eastAsia="宋体" w:cs="Times New Roman"/>
                <w:b w:val="0"/>
                <w:color w:val="000000"/>
                <w:sz w:val="19"/>
              </w:rPr>
              <w:t>RA-GCA/Base</w:t>
            </w:r>
          </w:p>
        </w:tc>
        <w:tc>
          <w:tcPr>
            <w:tcW w:w="0" w:type="auto"/>
            <w:tcBorders>
              <w:top w:val="nil"/>
              <w:left w:val="nil"/>
              <w:bottom w:val="nil"/>
              <w:right w:val="nil"/>
            </w:tcBorders>
            <w:shd w:val="clear" w:color="auto" w:fill="FFFFFF"/>
            <w:tcMar>
              <w:top w:w="45" w:type="dxa"/>
              <w:left w:w="55" w:type="dxa"/>
              <w:bottom w:w="45" w:type="dxa"/>
              <w:right w:w="55" w:type="dxa"/>
            </w:tcMar>
            <w:vAlign w:val="center"/>
          </w:tcPr>
          <w:p w14:paraId="262C8D5B">
            <w:pPr>
              <w:spacing w:before="0" w:after="0" w:line="240" w:lineRule="auto"/>
              <w:ind w:firstLine="0"/>
              <w:jc w:val="center"/>
              <w:rPr>
                <w:b w:val="0"/>
              </w:rPr>
            </w:pPr>
            <w:r>
              <w:rPr>
                <w:rFonts w:ascii="Times New Roman" w:hAnsi="Times New Roman" w:eastAsia="宋体" w:cs="Times New Roman"/>
                <w:b w:val="0"/>
                <w:color w:val="000000"/>
                <w:sz w:val="19"/>
              </w:rPr>
              <w:t>约化姿态几何反馈</w:t>
            </w:r>
          </w:p>
        </w:tc>
        <w:tc>
          <w:tcPr>
            <w:tcW w:w="0" w:type="auto"/>
            <w:tcBorders>
              <w:top w:val="nil"/>
              <w:left w:val="nil"/>
              <w:bottom w:val="nil"/>
              <w:right w:val="nil"/>
            </w:tcBorders>
            <w:shd w:val="clear" w:color="auto" w:fill="FFFFFF"/>
            <w:tcMar>
              <w:top w:w="45" w:type="dxa"/>
              <w:left w:w="55" w:type="dxa"/>
              <w:bottom w:w="45" w:type="dxa"/>
              <w:right w:w="55" w:type="dxa"/>
            </w:tcMar>
            <w:vAlign w:val="center"/>
          </w:tcPr>
          <w:p w14:paraId="1637ABB6">
            <w:pPr>
              <w:spacing w:before="0" w:after="0" w:line="240" w:lineRule="auto"/>
              <w:ind w:firstLine="0"/>
              <w:jc w:val="center"/>
              <w:rPr>
                <w:b w:val="0"/>
              </w:rPr>
            </w:pPr>
            <w:r>
              <w:rPr>
                <w:rFonts w:ascii="Times New Roman" w:hAnsi="Times New Roman" w:eastAsia="宋体" w:cs="Times New Roman"/>
                <w:b w:val="0"/>
                <w:color w:val="000000"/>
                <w:sz w:val="19"/>
              </w:rPr>
              <w:t>无附加状态</w:t>
            </w:r>
          </w:p>
        </w:tc>
        <w:tc>
          <w:tcPr>
            <w:tcW w:w="0" w:type="auto"/>
            <w:tcBorders>
              <w:top w:val="nil"/>
              <w:left w:val="nil"/>
              <w:bottom w:val="nil"/>
              <w:right w:val="nil"/>
            </w:tcBorders>
            <w:shd w:val="clear" w:color="auto" w:fill="FFFFFF"/>
            <w:tcMar>
              <w:top w:w="45" w:type="dxa"/>
              <w:left w:w="55" w:type="dxa"/>
              <w:bottom w:w="45" w:type="dxa"/>
              <w:right w:w="55" w:type="dxa"/>
            </w:tcMar>
            <w:vAlign w:val="center"/>
          </w:tcPr>
          <w:p w14:paraId="70C31BD0">
            <w:pPr>
              <w:spacing w:before="0" w:after="0" w:line="240" w:lineRule="auto"/>
              <w:ind w:firstLine="0"/>
              <w:jc w:val="center"/>
              <w:rPr>
                <w:b w:val="0"/>
              </w:rPr>
            </w:pPr>
            <w:r>
              <w:rPr>
                <w:rFonts w:ascii="Times New Roman" w:hAnsi="Times New Roman" w:eastAsia="宋体" w:cs="Times New Roman"/>
                <w:b w:val="0"/>
                <w:color w:val="000000"/>
                <w:sz w:val="19"/>
              </w:rPr>
              <w:t>方法对照</w:t>
            </w:r>
          </w:p>
        </w:tc>
      </w:tr>
      <w:tr w14:paraId="4CF10D19">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tcMar>
              <w:top w:w="45" w:type="dxa"/>
              <w:left w:w="55" w:type="dxa"/>
              <w:bottom w:w="45" w:type="dxa"/>
              <w:right w:w="55" w:type="dxa"/>
            </w:tcMar>
            <w:vAlign w:val="center"/>
          </w:tcPr>
          <w:p w14:paraId="3F66DD97">
            <w:pPr>
              <w:spacing w:before="0" w:after="0" w:line="240" w:lineRule="auto"/>
              <w:ind w:firstLine="0"/>
              <w:jc w:val="center"/>
              <w:rPr>
                <w:b w:val="0"/>
              </w:rPr>
            </w:pPr>
            <w:r>
              <w:rPr>
                <w:rFonts w:ascii="Times New Roman" w:hAnsi="Times New Roman" w:eastAsia="宋体" w:cs="Times New Roman"/>
                <w:b w:val="0"/>
                <w:color w:val="000000"/>
                <w:sz w:val="19"/>
              </w:rPr>
              <w:t>RA-GCA-CGHTE</w:t>
            </w:r>
          </w:p>
        </w:tc>
        <w:tc>
          <w:tcPr>
            <w:tcW w:w="0" w:type="auto"/>
            <w:tcBorders>
              <w:top w:val="nil"/>
              <w:left w:val="nil"/>
              <w:bottom w:val="nil"/>
              <w:right w:val="nil"/>
            </w:tcBorders>
            <w:shd w:val="clear" w:color="auto" w:fill="FFFFFF"/>
            <w:tcMar>
              <w:top w:w="45" w:type="dxa"/>
              <w:left w:w="55" w:type="dxa"/>
              <w:bottom w:w="45" w:type="dxa"/>
              <w:right w:w="55" w:type="dxa"/>
            </w:tcMar>
            <w:vAlign w:val="center"/>
          </w:tcPr>
          <w:p w14:paraId="684FCF28">
            <w:pPr>
              <w:spacing w:before="0" w:after="0" w:line="240" w:lineRule="auto"/>
              <w:ind w:firstLine="0"/>
              <w:jc w:val="center"/>
              <w:rPr>
                <w:b w:val="0"/>
              </w:rPr>
            </w:pPr>
            <w:r>
              <w:rPr>
                <w:rFonts w:ascii="Times New Roman" w:hAnsi="Times New Roman" w:eastAsia="宋体" w:cs="Times New Roman"/>
                <w:b w:val="0"/>
                <w:color w:val="000000"/>
                <w:sz w:val="19"/>
              </w:rPr>
              <w:t>几何反馈 + 推力尺度增强 + 约束分配</w:t>
            </w:r>
          </w:p>
        </w:tc>
        <w:tc>
          <w:tcPr>
            <w:tcW w:w="0" w:type="auto"/>
            <w:tcBorders>
              <w:top w:val="nil"/>
              <w:left w:val="nil"/>
              <w:bottom w:val="nil"/>
              <w:right w:val="nil"/>
            </w:tcBorders>
            <w:shd w:val="clear" w:color="auto" w:fill="FFFFFF"/>
            <w:tcMar>
              <w:top w:w="45" w:type="dxa"/>
              <w:left w:w="55" w:type="dxa"/>
              <w:bottom w:w="45" w:type="dxa"/>
              <w:right w:w="55" w:type="dxa"/>
            </w:tcMar>
            <w:vAlign w:val="center"/>
          </w:tcPr>
          <w:p w14:paraId="58CB218C">
            <w:pPr>
              <w:spacing w:before="0" w:after="0" w:line="240" w:lineRule="auto"/>
              <w:ind w:firstLine="0"/>
              <w:jc w:val="center"/>
              <w:rPr>
                <w:b w:val="0"/>
              </w:rPr>
            </w:pPr>
            <w:r>
              <w:rPr>
                <w:rFonts w:ascii="Times New Roman" w:hAnsi="Times New Roman" w:eastAsia="宋体" w:cs="Times New Roman"/>
                <w:b w:val="0"/>
                <w:color w:val="000000"/>
                <w:sz w:val="19"/>
              </w:rPr>
              <w:t>推力尺度估计与启用状态</w:t>
            </w:r>
          </w:p>
        </w:tc>
        <w:tc>
          <w:tcPr>
            <w:tcW w:w="0" w:type="auto"/>
            <w:tcBorders>
              <w:top w:val="nil"/>
              <w:left w:val="nil"/>
              <w:bottom w:val="nil"/>
              <w:right w:val="nil"/>
            </w:tcBorders>
            <w:shd w:val="clear" w:color="auto" w:fill="FFFFFF"/>
            <w:tcMar>
              <w:top w:w="45" w:type="dxa"/>
              <w:left w:w="55" w:type="dxa"/>
              <w:bottom w:w="45" w:type="dxa"/>
              <w:right w:w="55" w:type="dxa"/>
            </w:tcMar>
            <w:vAlign w:val="center"/>
          </w:tcPr>
          <w:p w14:paraId="03D2E6E8">
            <w:pPr>
              <w:spacing w:before="0" w:after="0" w:line="240" w:lineRule="auto"/>
              <w:ind w:firstLine="0"/>
              <w:jc w:val="center"/>
              <w:rPr>
                <w:b w:val="0"/>
              </w:rPr>
            </w:pPr>
            <w:r>
              <w:rPr>
                <w:rFonts w:ascii="Times New Roman" w:hAnsi="Times New Roman" w:eastAsia="宋体" w:cs="Times New Roman"/>
                <w:b w:val="0"/>
                <w:color w:val="000000"/>
                <w:sz w:val="19"/>
              </w:rPr>
              <w:t>主算法</w:t>
            </w:r>
          </w:p>
        </w:tc>
      </w:tr>
      <w:tr w14:paraId="7BC01E2D">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tcMar>
              <w:top w:w="45" w:type="dxa"/>
              <w:left w:w="55" w:type="dxa"/>
              <w:bottom w:w="45" w:type="dxa"/>
              <w:right w:w="55" w:type="dxa"/>
            </w:tcMar>
            <w:vAlign w:val="center"/>
          </w:tcPr>
          <w:p w14:paraId="56906879">
            <w:pPr>
              <w:spacing w:before="0" w:after="0" w:line="240" w:lineRule="auto"/>
              <w:ind w:firstLine="0"/>
              <w:jc w:val="center"/>
              <w:rPr>
                <w:b w:val="0"/>
              </w:rPr>
            </w:pPr>
            <w:r>
              <w:rPr>
                <w:rFonts w:ascii="Times New Roman" w:hAnsi="Times New Roman" w:eastAsia="宋体" w:cs="Times New Roman"/>
                <w:b w:val="0"/>
                <w:color w:val="000000"/>
                <w:sz w:val="19"/>
              </w:rPr>
              <w:t>CAP-ADRC</w:t>
            </w:r>
          </w:p>
        </w:tc>
        <w:tc>
          <w:tcPr>
            <w:tcW w:w="0" w:type="auto"/>
            <w:tcBorders>
              <w:top w:val="nil"/>
              <w:left w:val="nil"/>
              <w:bottom w:val="nil"/>
              <w:right w:val="nil"/>
            </w:tcBorders>
            <w:shd w:val="clear" w:color="auto" w:fill="FFFFFF"/>
            <w:tcMar>
              <w:top w:w="45" w:type="dxa"/>
              <w:left w:w="55" w:type="dxa"/>
              <w:bottom w:w="45" w:type="dxa"/>
              <w:right w:w="55" w:type="dxa"/>
            </w:tcMar>
            <w:vAlign w:val="center"/>
          </w:tcPr>
          <w:p w14:paraId="7D04D57A">
            <w:pPr>
              <w:spacing w:before="0" w:after="0" w:line="240" w:lineRule="auto"/>
              <w:ind w:firstLine="0"/>
              <w:jc w:val="center"/>
              <w:rPr>
                <w:b w:val="0"/>
              </w:rPr>
            </w:pPr>
            <w:r>
              <w:rPr>
                <w:rFonts w:ascii="Times New Roman" w:hAnsi="Times New Roman" w:eastAsia="宋体" w:cs="Times New Roman"/>
                <w:b w:val="0"/>
                <w:color w:val="000000"/>
                <w:sz w:val="19"/>
              </w:rPr>
              <w:t>泄漏积分 + ESO + 权限裁剪</w:t>
            </w:r>
          </w:p>
        </w:tc>
        <w:tc>
          <w:tcPr>
            <w:tcW w:w="0" w:type="auto"/>
            <w:tcBorders>
              <w:top w:val="nil"/>
              <w:left w:val="nil"/>
              <w:bottom w:val="nil"/>
              <w:right w:val="nil"/>
            </w:tcBorders>
            <w:shd w:val="clear" w:color="auto" w:fill="FFFFFF"/>
            <w:tcMar>
              <w:top w:w="45" w:type="dxa"/>
              <w:left w:w="55" w:type="dxa"/>
              <w:bottom w:w="45" w:type="dxa"/>
              <w:right w:w="55" w:type="dxa"/>
            </w:tcMar>
            <w:vAlign w:val="center"/>
          </w:tcPr>
          <w:p w14:paraId="3D7E9C43">
            <w:pPr>
              <w:spacing w:before="0" w:after="0" w:line="240" w:lineRule="auto"/>
              <w:ind w:firstLine="0"/>
              <w:jc w:val="center"/>
              <w:rPr>
                <w:b w:val="0"/>
              </w:rPr>
            </w:pPr>
            <w:r>
              <w:rPr>
                <w:rFonts w:ascii="Times New Roman" w:hAnsi="Times New Roman" w:eastAsia="宋体" w:cs="Times New Roman"/>
                <w:b w:val="0"/>
                <w:color w:val="000000"/>
                <w:sz w:val="19"/>
              </w:rPr>
              <w:t>积分 + 两组三阶ESO</w:t>
            </w:r>
          </w:p>
        </w:tc>
        <w:tc>
          <w:tcPr>
            <w:tcW w:w="0" w:type="auto"/>
            <w:tcBorders>
              <w:top w:val="nil"/>
              <w:left w:val="nil"/>
              <w:bottom w:val="nil"/>
              <w:right w:val="nil"/>
            </w:tcBorders>
            <w:shd w:val="clear" w:color="auto" w:fill="FFFFFF"/>
            <w:tcMar>
              <w:top w:w="45" w:type="dxa"/>
              <w:left w:w="55" w:type="dxa"/>
              <w:bottom w:w="45" w:type="dxa"/>
              <w:right w:w="55" w:type="dxa"/>
            </w:tcMar>
            <w:vAlign w:val="center"/>
          </w:tcPr>
          <w:p w14:paraId="3D3D8264">
            <w:pPr>
              <w:spacing w:before="0" w:after="0" w:line="240" w:lineRule="auto"/>
              <w:ind w:firstLine="0"/>
              <w:jc w:val="center"/>
              <w:rPr>
                <w:b w:val="0"/>
              </w:rPr>
            </w:pPr>
            <w:r>
              <w:rPr>
                <w:rFonts w:ascii="Times New Roman" w:hAnsi="Times New Roman" w:eastAsia="宋体" w:cs="Times New Roman"/>
                <w:b w:val="0"/>
                <w:color w:val="000000"/>
                <w:sz w:val="19"/>
              </w:rPr>
              <w:t>抗扰对照</w:t>
            </w:r>
          </w:p>
        </w:tc>
      </w:tr>
      <w:tr w14:paraId="4843B085">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0" w:type="auto"/>
            <w:tcBorders>
              <w:top w:val="nil"/>
              <w:left w:val="nil"/>
              <w:bottom w:val="single" w:color="000000" w:sz="12" w:space="0"/>
              <w:right w:val="nil"/>
            </w:tcBorders>
            <w:shd w:val="clear" w:color="auto" w:fill="FFFFFF"/>
            <w:tcMar>
              <w:top w:w="45" w:type="dxa"/>
              <w:left w:w="55" w:type="dxa"/>
              <w:bottom w:w="45" w:type="dxa"/>
              <w:right w:w="55" w:type="dxa"/>
            </w:tcMar>
            <w:vAlign w:val="center"/>
          </w:tcPr>
          <w:p w14:paraId="14529B1D">
            <w:pPr>
              <w:spacing w:before="0" w:after="0" w:line="240" w:lineRule="auto"/>
              <w:ind w:firstLine="0"/>
              <w:jc w:val="center"/>
              <w:rPr>
                <w:b w:val="0"/>
              </w:rPr>
            </w:pPr>
            <w:r>
              <w:rPr>
                <w:rFonts w:ascii="Times New Roman" w:hAnsi="Times New Roman" w:eastAsia="宋体" w:cs="Times New Roman"/>
                <w:b w:val="0"/>
                <w:color w:val="000000"/>
                <w:sz w:val="19"/>
              </w:rPr>
              <w:t>CP-INDI</w:t>
            </w:r>
          </w:p>
        </w:tc>
        <w:tc>
          <w:tcPr>
            <w:tcW w:w="0" w:type="auto"/>
            <w:tcBorders>
              <w:top w:val="nil"/>
              <w:left w:val="nil"/>
              <w:bottom w:val="single" w:color="000000" w:sz="12" w:space="0"/>
              <w:right w:val="nil"/>
            </w:tcBorders>
            <w:shd w:val="clear" w:color="auto" w:fill="FFFFFF"/>
            <w:tcMar>
              <w:top w:w="45" w:type="dxa"/>
              <w:left w:w="55" w:type="dxa"/>
              <w:bottom w:w="45" w:type="dxa"/>
              <w:right w:w="55" w:type="dxa"/>
            </w:tcMar>
            <w:vAlign w:val="center"/>
          </w:tcPr>
          <w:p w14:paraId="40155744">
            <w:pPr>
              <w:spacing w:before="0" w:after="0" w:line="240" w:lineRule="auto"/>
              <w:ind w:firstLine="0"/>
              <w:jc w:val="center"/>
              <w:rPr>
                <w:b w:val="0"/>
              </w:rPr>
            </w:pPr>
            <w:r>
              <w:rPr>
                <w:rFonts w:ascii="Times New Roman" w:hAnsi="Times New Roman" w:eastAsia="宋体" w:cs="Times New Roman"/>
                <w:b w:val="0"/>
                <w:color w:val="000000"/>
                <w:sz w:val="19"/>
              </w:rPr>
              <w:t>滤波 + 差分 + 增量分配</w:t>
            </w:r>
          </w:p>
        </w:tc>
        <w:tc>
          <w:tcPr>
            <w:tcW w:w="0" w:type="auto"/>
            <w:tcBorders>
              <w:top w:val="nil"/>
              <w:left w:val="nil"/>
              <w:bottom w:val="single" w:color="000000" w:sz="12" w:space="0"/>
              <w:right w:val="nil"/>
            </w:tcBorders>
            <w:shd w:val="clear" w:color="auto" w:fill="FFFFFF"/>
            <w:tcMar>
              <w:top w:w="45" w:type="dxa"/>
              <w:left w:w="55" w:type="dxa"/>
              <w:bottom w:w="45" w:type="dxa"/>
              <w:right w:w="55" w:type="dxa"/>
            </w:tcMar>
            <w:vAlign w:val="center"/>
          </w:tcPr>
          <w:p w14:paraId="0DC19A3B">
            <w:pPr>
              <w:spacing w:before="0" w:after="0" w:line="240" w:lineRule="auto"/>
              <w:ind w:firstLine="0"/>
              <w:jc w:val="center"/>
              <w:rPr>
                <w:b w:val="0"/>
              </w:rPr>
            </w:pPr>
            <w:r>
              <w:rPr>
                <w:rFonts w:ascii="Times New Roman" w:hAnsi="Times New Roman" w:eastAsia="宋体" w:cs="Times New Roman"/>
                <w:b w:val="0"/>
                <w:color w:val="000000"/>
                <w:sz w:val="19"/>
              </w:rPr>
              <w:t>滤波 + 历史指令</w:t>
            </w:r>
          </w:p>
        </w:tc>
        <w:tc>
          <w:tcPr>
            <w:tcW w:w="0" w:type="auto"/>
            <w:tcBorders>
              <w:top w:val="nil"/>
              <w:left w:val="nil"/>
              <w:bottom w:val="single" w:color="000000" w:sz="12" w:space="0"/>
              <w:right w:val="nil"/>
            </w:tcBorders>
            <w:shd w:val="clear" w:color="auto" w:fill="FFFFFF"/>
            <w:tcMar>
              <w:top w:w="45" w:type="dxa"/>
              <w:left w:w="55" w:type="dxa"/>
              <w:bottom w:w="45" w:type="dxa"/>
              <w:right w:w="55" w:type="dxa"/>
            </w:tcMar>
            <w:vAlign w:val="center"/>
          </w:tcPr>
          <w:p w14:paraId="57468AB2">
            <w:pPr>
              <w:spacing w:before="0" w:after="0" w:line="240" w:lineRule="auto"/>
              <w:ind w:firstLine="0"/>
              <w:jc w:val="center"/>
              <w:rPr>
                <w:b w:val="0"/>
              </w:rPr>
            </w:pPr>
            <w:r>
              <w:rPr>
                <w:rFonts w:ascii="Times New Roman" w:hAnsi="Times New Roman" w:eastAsia="宋体" w:cs="Times New Roman"/>
                <w:b w:val="0"/>
                <w:color w:val="000000"/>
                <w:sz w:val="19"/>
              </w:rPr>
              <w:t>增量对照</w:t>
            </w:r>
          </w:p>
        </w:tc>
      </w:tr>
    </w:tbl>
    <w:p w14:paraId="67D7C0B2">
      <w:pPr>
        <w:pageBreakBefore w:val="0"/>
      </w:pPr>
    </w:p>
    <w:p w14:paraId="5B085975">
      <w:pPr>
        <w:pageBreakBefore w:val="0"/>
        <w:spacing w:before="0" w:after="0" w:line="360" w:lineRule="auto"/>
        <w:ind w:firstLine="480"/>
        <w:jc w:val="both"/>
      </w:pPr>
      <w:r>
        <w:rPr>
          <w:rFonts w:ascii="Times New Roman" w:hAnsi="Times New Roman" w:eastAsia="宋体" w:cs="Times New Roman"/>
          <w:color w:val="000000"/>
          <w:sz w:val="24"/>
        </w:rPr>
        <w:t>CAP-ADRC先生成反馈力矩，再把扰动补偿限制在剩余控制权限内；CP-INDI由低通角速度、差分角加速度和上一周期指令计算控制增量。RA-GCA-CGHTE采用代数反馈、CGHTE推力尺度增强与约束分配。三种结构的状态来源和权限处理不同，后续实验在统一接口下比较其控制结果。五种控制器的主要信号路径见附录表C-1。</w:t>
      </w:r>
    </w:p>
    <w:p w14:paraId="6A5CD3D0">
      <w:pPr>
        <w:pStyle w:val="3"/>
        <w:keepNext/>
        <w:pageBreakBefore w:val="0"/>
        <w:spacing w:before="240" w:after="120"/>
      </w:pPr>
      <w:bookmarkStart w:id="11" w:name="_Toc31598"/>
      <w:r>
        <w:rPr>
          <w:rFonts w:ascii="Times New Roman" w:hAnsi="Times New Roman" w:eastAsia="黑体" w:cs="Times New Roman"/>
          <w:b/>
          <w:color w:val="000000"/>
          <w:sz w:val="26"/>
        </w:rPr>
        <w:t>3.2 公共接口、Sysblock实现与Sysplorer集成</w:t>
      </w:r>
      <w:bookmarkEnd w:id="11"/>
    </w:p>
    <w:p w14:paraId="0636CB80">
      <w:pPr>
        <w:pageBreakBefore w:val="0"/>
        <w:spacing w:before="0" w:after="0" w:line="360" w:lineRule="auto"/>
        <w:ind w:firstLine="480"/>
        <w:jc w:val="both"/>
      </w:pPr>
      <w:r>
        <w:rPr>
          <w:rFonts w:ascii="Times New Roman" w:hAnsi="Times New Roman" w:eastAsia="宋体" w:cs="Times New Roman"/>
          <w:b w:val="0"/>
          <w:color w:val="000000"/>
          <w:sz w:val="24"/>
        </w:rPr>
        <w:t>RA-GCA-CGHTE采用11维参考、18维状态、2维分配器上下限输入、4维电机输出和16维诊断输出，并在Sysblock中实现。RA-GCA负责平移控制、约化姿态几何控制和约束感知分配；CGHTE根据垂向加速度、上一周期实际分配推力、创新和协方差估计悬停推力尺度，在估计结果持续可信时平滑调整尺度。参考向量依次包含期望位置、速度、加速度及预留量；状态向量包含位置、速度、姿态矩阵和机体系角速度。控制周期为0.01 s。Sysplorer建立四旋翼机体、电机和传感器模型，Syslab读取仿真结果并计算评价指标。CGHTE工作流程见附录图C-1，Sysblock实现见附录图C-2和图C-3，端口及诊断信息见附录表C-2。</w:t>
      </w:r>
    </w:p>
    <w:p w14:paraId="7F29A76B">
      <w:pPr>
        <w:pStyle w:val="4"/>
        <w:keepNext/>
        <w:pageBreakBefore w:val="0"/>
        <w:spacing w:before="40" w:after="40"/>
        <w:ind w:firstLine="0"/>
        <w:jc w:val="center"/>
      </w:pPr>
      <w:r>
        <w:rPr>
          <w:rFonts w:ascii="Times New Roman" w:hAnsi="Times New Roman" w:eastAsia="宋体" w:cs="Times New Roman"/>
          <w:b/>
          <w:color w:val="000000"/>
          <w:sz w:val="21"/>
        </w:rPr>
        <w:t>表3-2 RA-GCA-CGHTE接口、主要参数与控制范围</w:t>
      </w:r>
    </w:p>
    <w:tbl>
      <w:tblPr>
        <w:tblStyle w:val="10"/>
        <w:tblW w:w="0" w:type="auto"/>
        <w:jc w:val="center"/>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645"/>
        <w:gridCol w:w="5091"/>
        <w:gridCol w:w="2445"/>
      </w:tblGrid>
      <w:tr w14:paraId="77608A7A">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blHeader/>
          <w:jc w:val="center"/>
        </w:trPr>
        <w:tc>
          <w:tcPr>
            <w:tcW w:w="0" w:type="auto"/>
            <w:tcBorders>
              <w:top w:val="single" w:color="000000" w:sz="12" w:space="0"/>
              <w:bottom w:val="single" w:color="000000" w:sz="4" w:space="0"/>
              <w:tl2br w:val="nil"/>
            </w:tcBorders>
            <w:shd w:val="clear" w:color="auto" w:fill="FFFFFF"/>
            <w:tcMar>
              <w:top w:w="45" w:type="dxa"/>
              <w:left w:w="55" w:type="dxa"/>
              <w:bottom w:w="45" w:type="dxa"/>
              <w:right w:w="55" w:type="dxa"/>
            </w:tcMar>
            <w:vAlign w:val="center"/>
          </w:tcPr>
          <w:p w14:paraId="7C089D5E">
            <w:pPr>
              <w:spacing w:before="0" w:after="0" w:line="240" w:lineRule="auto"/>
              <w:ind w:firstLine="0"/>
              <w:jc w:val="center"/>
              <w:rPr>
                <w:b/>
                <w:bCs/>
              </w:rPr>
            </w:pPr>
            <w:r>
              <w:rPr>
                <w:rFonts w:ascii="Times New Roman" w:hAnsi="Times New Roman" w:eastAsia="宋体" w:cs="Times New Roman"/>
                <w:b/>
                <w:bCs/>
                <w:color w:val="000000"/>
                <w:sz w:val="19"/>
              </w:rPr>
              <w:t>项目</w:t>
            </w:r>
          </w:p>
        </w:tc>
        <w:tc>
          <w:tcPr>
            <w:tcW w:w="0" w:type="auto"/>
            <w:tcBorders>
              <w:top w:val="single" w:color="000000" w:sz="12" w:space="0"/>
              <w:bottom w:val="single" w:color="000000" w:sz="4" w:space="0"/>
            </w:tcBorders>
            <w:shd w:val="clear" w:color="auto" w:fill="FFFFFF"/>
            <w:tcMar>
              <w:top w:w="45" w:type="dxa"/>
              <w:left w:w="55" w:type="dxa"/>
              <w:bottom w:w="45" w:type="dxa"/>
              <w:right w:w="55" w:type="dxa"/>
            </w:tcMar>
            <w:vAlign w:val="center"/>
          </w:tcPr>
          <w:p w14:paraId="718A15C2">
            <w:pPr>
              <w:spacing w:before="0" w:after="0" w:line="240" w:lineRule="auto"/>
              <w:ind w:firstLine="0"/>
              <w:jc w:val="center"/>
              <w:rPr>
                <w:b/>
                <w:bCs/>
              </w:rPr>
            </w:pPr>
            <w:r>
              <w:rPr>
                <w:rFonts w:ascii="Times New Roman" w:hAnsi="Times New Roman" w:eastAsia="宋体" w:cs="Times New Roman"/>
                <w:b/>
                <w:bCs/>
                <w:color w:val="000000"/>
                <w:sz w:val="19"/>
              </w:rPr>
              <w:t>设定值</w:t>
            </w:r>
          </w:p>
        </w:tc>
        <w:tc>
          <w:tcPr>
            <w:tcW w:w="0" w:type="auto"/>
            <w:tcBorders>
              <w:top w:val="single" w:color="000000" w:sz="12" w:space="0"/>
              <w:bottom w:val="single" w:color="000000" w:sz="4" w:space="0"/>
            </w:tcBorders>
            <w:shd w:val="clear" w:color="auto" w:fill="FFFFFF"/>
            <w:tcMar>
              <w:top w:w="45" w:type="dxa"/>
              <w:left w:w="55" w:type="dxa"/>
              <w:bottom w:w="45" w:type="dxa"/>
              <w:right w:w="55" w:type="dxa"/>
            </w:tcMar>
            <w:vAlign w:val="center"/>
          </w:tcPr>
          <w:p w14:paraId="5971A1FF">
            <w:pPr>
              <w:spacing w:before="0" w:after="0" w:line="240" w:lineRule="auto"/>
              <w:ind w:firstLine="0"/>
              <w:jc w:val="center"/>
              <w:rPr>
                <w:b/>
                <w:bCs/>
              </w:rPr>
            </w:pPr>
            <w:r>
              <w:rPr>
                <w:rFonts w:ascii="Times New Roman" w:hAnsi="Times New Roman" w:eastAsia="宋体" w:cs="Times New Roman"/>
                <w:b/>
                <w:bCs/>
                <w:color w:val="000000"/>
                <w:sz w:val="19"/>
              </w:rPr>
              <w:t>说明</w:t>
            </w:r>
          </w:p>
        </w:tc>
      </w:tr>
      <w:tr w14:paraId="1EBF1253">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0" w:type="auto"/>
            <w:tcBorders>
              <w:top w:val="single" w:color="000000" w:sz="4" w:space="0"/>
              <w:left w:val="nil"/>
              <w:bottom w:val="nil"/>
              <w:right w:val="nil"/>
            </w:tcBorders>
            <w:shd w:val="clear" w:color="auto" w:fill="FFFFFF"/>
            <w:tcMar>
              <w:top w:w="45" w:type="dxa"/>
              <w:left w:w="55" w:type="dxa"/>
              <w:bottom w:w="45" w:type="dxa"/>
              <w:right w:w="55" w:type="dxa"/>
            </w:tcMar>
            <w:vAlign w:val="center"/>
          </w:tcPr>
          <w:p w14:paraId="4DAD582A">
            <w:pPr>
              <w:spacing w:before="0" w:after="0" w:line="240" w:lineRule="auto"/>
              <w:ind w:firstLine="0"/>
              <w:jc w:val="center"/>
              <w:rPr>
                <w:b w:val="0"/>
              </w:rPr>
            </w:pPr>
            <w:r>
              <w:rPr>
                <w:rFonts w:ascii="Times New Roman" w:hAnsi="Times New Roman" w:eastAsia="宋体" w:cs="Times New Roman"/>
                <w:b w:val="0"/>
                <w:color w:val="000000"/>
                <w:sz w:val="19"/>
              </w:rPr>
              <w:t>接口</w:t>
            </w:r>
          </w:p>
        </w:tc>
        <w:tc>
          <w:tcPr>
            <w:tcW w:w="0" w:type="auto"/>
            <w:tcBorders>
              <w:top w:val="single" w:color="000000" w:sz="4" w:space="0"/>
              <w:left w:val="nil"/>
              <w:bottom w:val="nil"/>
              <w:right w:val="nil"/>
            </w:tcBorders>
            <w:shd w:val="clear" w:color="auto" w:fill="FFFFFF"/>
            <w:tcMar>
              <w:top w:w="45" w:type="dxa"/>
              <w:left w:w="55" w:type="dxa"/>
              <w:bottom w:w="45" w:type="dxa"/>
              <w:right w:w="55" w:type="dxa"/>
            </w:tcMar>
            <w:vAlign w:val="center"/>
          </w:tcPr>
          <w:p w14:paraId="0E1C2831">
            <w:pPr>
              <w:spacing w:before="0" w:after="0" w:line="240" w:lineRule="auto"/>
              <w:ind w:firstLine="0"/>
              <w:jc w:val="center"/>
              <w:rPr>
                <w:b w:val="0"/>
              </w:rPr>
            </w:pPr>
            <w:r>
              <w:rPr>
                <w:rFonts w:ascii="Times New Roman" w:hAnsi="Times New Roman" w:eastAsia="宋体" w:cs="Times New Roman"/>
                <w:b w:val="0"/>
                <w:color w:val="000000"/>
                <w:sz w:val="19"/>
              </w:rPr>
              <w:t>11维参考 + 18维状态 + 2维分配上下限 → 4维电机 + 16维诊断</w:t>
            </w:r>
          </w:p>
        </w:tc>
        <w:tc>
          <w:tcPr>
            <w:tcW w:w="0" w:type="auto"/>
            <w:tcBorders>
              <w:top w:val="single" w:color="000000" w:sz="4" w:space="0"/>
              <w:left w:val="nil"/>
              <w:bottom w:val="nil"/>
              <w:right w:val="nil"/>
            </w:tcBorders>
            <w:shd w:val="clear" w:color="auto" w:fill="FFFFFF"/>
            <w:tcMar>
              <w:top w:w="45" w:type="dxa"/>
              <w:left w:w="55" w:type="dxa"/>
              <w:bottom w:w="45" w:type="dxa"/>
              <w:right w:w="55" w:type="dxa"/>
            </w:tcMar>
            <w:vAlign w:val="center"/>
          </w:tcPr>
          <w:p w14:paraId="693E869D">
            <w:pPr>
              <w:spacing w:before="0" w:after="0" w:line="240" w:lineRule="auto"/>
              <w:ind w:firstLine="0"/>
              <w:jc w:val="center"/>
              <w:rPr>
                <w:b w:val="0"/>
              </w:rPr>
            </w:pPr>
            <w:r>
              <w:rPr>
                <w:rFonts w:ascii="Times New Roman" w:hAnsi="Times New Roman" w:eastAsia="宋体" w:cs="Times New Roman"/>
                <w:b w:val="0"/>
                <w:color w:val="000000"/>
                <w:sz w:val="19"/>
              </w:rPr>
              <w:t>输入输出维度</w:t>
            </w:r>
          </w:p>
        </w:tc>
      </w:tr>
      <w:tr w14:paraId="1632468D">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tcMar>
              <w:top w:w="45" w:type="dxa"/>
              <w:left w:w="55" w:type="dxa"/>
              <w:bottom w:w="45" w:type="dxa"/>
              <w:right w:w="55" w:type="dxa"/>
            </w:tcMar>
            <w:vAlign w:val="center"/>
          </w:tcPr>
          <w:p w14:paraId="232EB31A">
            <w:pPr>
              <w:spacing w:before="0" w:after="0" w:line="240" w:lineRule="auto"/>
              <w:ind w:firstLine="0"/>
              <w:jc w:val="center"/>
              <w:rPr>
                <w:b w:val="0"/>
              </w:rPr>
            </w:pPr>
            <w:r>
              <w:rPr>
                <w:rFonts w:ascii="Times New Roman" w:hAnsi="Times New Roman" w:eastAsia="宋体" w:cs="Times New Roman"/>
                <w:b w:val="0"/>
                <w:color w:val="000000"/>
                <w:sz w:val="19"/>
              </w:rPr>
              <w:t>采样</w:t>
            </w:r>
          </w:p>
        </w:tc>
        <w:tc>
          <w:tcPr>
            <w:tcW w:w="0" w:type="auto"/>
            <w:tcBorders>
              <w:top w:val="nil"/>
              <w:left w:val="nil"/>
              <w:bottom w:val="nil"/>
              <w:right w:val="nil"/>
            </w:tcBorders>
            <w:shd w:val="clear" w:color="auto" w:fill="FFFFFF"/>
            <w:tcMar>
              <w:top w:w="45" w:type="dxa"/>
              <w:left w:w="55" w:type="dxa"/>
              <w:bottom w:w="45" w:type="dxa"/>
              <w:right w:w="55" w:type="dxa"/>
            </w:tcMar>
            <w:vAlign w:val="center"/>
          </w:tcPr>
          <w:p w14:paraId="5199A1B8">
            <w:pPr>
              <w:spacing w:before="0" w:after="0" w:line="240" w:lineRule="auto"/>
              <w:ind w:firstLine="0"/>
              <w:jc w:val="center"/>
              <w:rPr>
                <w:b w:val="0"/>
              </w:rPr>
            </w:pPr>
            <w:r>
              <w:rPr>
                <w:rFonts w:ascii="Times New Roman" w:hAnsi="Times New Roman" w:eastAsia="宋体" w:cs="Times New Roman"/>
                <w:b w:val="0"/>
                <w:color w:val="000000"/>
                <w:sz w:val="19"/>
              </w:rPr>
              <w:t>Ts = 0.01 s</w:t>
            </w:r>
          </w:p>
        </w:tc>
        <w:tc>
          <w:tcPr>
            <w:tcW w:w="0" w:type="auto"/>
            <w:tcBorders>
              <w:top w:val="nil"/>
              <w:left w:val="nil"/>
              <w:bottom w:val="nil"/>
              <w:right w:val="nil"/>
            </w:tcBorders>
            <w:shd w:val="clear" w:color="auto" w:fill="FFFFFF"/>
            <w:tcMar>
              <w:top w:w="45" w:type="dxa"/>
              <w:left w:w="55" w:type="dxa"/>
              <w:bottom w:w="45" w:type="dxa"/>
              <w:right w:w="55" w:type="dxa"/>
            </w:tcMar>
            <w:vAlign w:val="center"/>
          </w:tcPr>
          <w:p w14:paraId="0DDDEF4E">
            <w:pPr>
              <w:spacing w:before="0" w:after="0" w:line="240" w:lineRule="auto"/>
              <w:ind w:firstLine="0"/>
              <w:jc w:val="center"/>
              <w:rPr>
                <w:b w:val="0"/>
              </w:rPr>
            </w:pPr>
            <w:r>
              <w:rPr>
                <w:rFonts w:ascii="Times New Roman" w:hAnsi="Times New Roman" w:eastAsia="宋体" w:cs="Times New Roman"/>
                <w:b w:val="0"/>
                <w:color w:val="000000"/>
                <w:sz w:val="19"/>
              </w:rPr>
              <w:t>控制与诊断同步</w:t>
            </w:r>
          </w:p>
        </w:tc>
      </w:tr>
      <w:tr w14:paraId="25516A00">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tcMar>
              <w:top w:w="45" w:type="dxa"/>
              <w:left w:w="55" w:type="dxa"/>
              <w:bottom w:w="45" w:type="dxa"/>
              <w:right w:w="55" w:type="dxa"/>
            </w:tcMar>
            <w:vAlign w:val="center"/>
          </w:tcPr>
          <w:p w14:paraId="21C94014">
            <w:pPr>
              <w:spacing w:before="0" w:after="0" w:line="240" w:lineRule="auto"/>
              <w:ind w:firstLine="0"/>
              <w:jc w:val="center"/>
              <w:rPr>
                <w:b w:val="0"/>
              </w:rPr>
            </w:pPr>
            <w:r>
              <w:rPr>
                <w:rFonts w:ascii="Times New Roman" w:hAnsi="Times New Roman" w:eastAsia="宋体" w:cs="Times New Roman"/>
                <w:b w:val="0"/>
                <w:color w:val="000000"/>
                <w:sz w:val="19"/>
              </w:rPr>
              <w:t>物理量</w:t>
            </w:r>
          </w:p>
        </w:tc>
        <w:tc>
          <w:tcPr>
            <w:tcW w:w="0" w:type="auto"/>
            <w:tcBorders>
              <w:top w:val="nil"/>
              <w:left w:val="nil"/>
              <w:bottom w:val="nil"/>
              <w:right w:val="nil"/>
            </w:tcBorders>
            <w:shd w:val="clear" w:color="auto" w:fill="FFFFFF"/>
            <w:tcMar>
              <w:top w:w="45" w:type="dxa"/>
              <w:left w:w="55" w:type="dxa"/>
              <w:bottom w:w="45" w:type="dxa"/>
              <w:right w:w="55" w:type="dxa"/>
            </w:tcMar>
            <w:vAlign w:val="center"/>
          </w:tcPr>
          <w:p w14:paraId="40AC033A">
            <w:pPr>
              <w:spacing w:before="0" w:after="0" w:line="240" w:lineRule="auto"/>
              <w:ind w:firstLine="0"/>
              <w:jc w:val="center"/>
              <w:rPr>
                <w:b w:val="0"/>
              </w:rPr>
            </w:pPr>
            <w:r>
              <w:rPr>
                <w:rFonts w:ascii="Times New Roman" w:hAnsi="Times New Roman" w:eastAsia="宋体" w:cs="Times New Roman"/>
                <w:b w:val="0"/>
                <w:color w:val="000000"/>
                <w:sz w:val="19"/>
              </w:rPr>
              <w:t>m = 0.163156684 kg；g = 9.81 m/s²</w:t>
            </w:r>
          </w:p>
        </w:tc>
        <w:tc>
          <w:tcPr>
            <w:tcW w:w="0" w:type="auto"/>
            <w:tcBorders>
              <w:top w:val="nil"/>
              <w:left w:val="nil"/>
              <w:bottom w:val="nil"/>
              <w:right w:val="nil"/>
            </w:tcBorders>
            <w:shd w:val="clear" w:color="auto" w:fill="FFFFFF"/>
            <w:tcMar>
              <w:top w:w="45" w:type="dxa"/>
              <w:left w:w="55" w:type="dxa"/>
              <w:bottom w:w="45" w:type="dxa"/>
              <w:right w:w="55" w:type="dxa"/>
            </w:tcMar>
            <w:vAlign w:val="center"/>
          </w:tcPr>
          <w:p w14:paraId="2204983F">
            <w:pPr>
              <w:spacing w:before="0" w:after="0" w:line="240" w:lineRule="auto"/>
              <w:ind w:firstLine="0"/>
              <w:jc w:val="center"/>
              <w:rPr>
                <w:b w:val="0"/>
              </w:rPr>
            </w:pPr>
            <w:r>
              <w:rPr>
                <w:rFonts w:ascii="Times New Roman" w:hAnsi="Times New Roman" w:eastAsia="宋体" w:cs="Times New Roman"/>
                <w:b w:val="0"/>
                <w:color w:val="000000"/>
                <w:sz w:val="19"/>
              </w:rPr>
              <w:t>物理模型参数</w:t>
            </w:r>
          </w:p>
        </w:tc>
      </w:tr>
      <w:tr w14:paraId="7C633EC7">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tcMar>
              <w:top w:w="45" w:type="dxa"/>
              <w:left w:w="55" w:type="dxa"/>
              <w:bottom w:w="45" w:type="dxa"/>
              <w:right w:w="55" w:type="dxa"/>
            </w:tcMar>
            <w:vAlign w:val="center"/>
          </w:tcPr>
          <w:p w14:paraId="3F5C55EC">
            <w:pPr>
              <w:spacing w:before="0" w:after="0" w:line="240" w:lineRule="auto"/>
              <w:ind w:firstLine="0"/>
              <w:jc w:val="center"/>
              <w:rPr>
                <w:b w:val="0"/>
              </w:rPr>
            </w:pPr>
            <w:r>
              <w:rPr>
                <w:rFonts w:ascii="Times New Roman" w:hAnsi="Times New Roman" w:eastAsia="宋体" w:cs="Times New Roman"/>
                <w:b w:val="0"/>
                <w:color w:val="000000"/>
                <w:sz w:val="19"/>
              </w:rPr>
              <w:t>平移增益</w:t>
            </w:r>
          </w:p>
        </w:tc>
        <w:tc>
          <w:tcPr>
            <w:tcW w:w="0" w:type="auto"/>
            <w:tcBorders>
              <w:top w:val="nil"/>
              <w:left w:val="nil"/>
              <w:bottom w:val="nil"/>
              <w:right w:val="nil"/>
            </w:tcBorders>
            <w:shd w:val="clear" w:color="auto" w:fill="FFFFFF"/>
            <w:tcMar>
              <w:top w:w="45" w:type="dxa"/>
              <w:left w:w="55" w:type="dxa"/>
              <w:bottom w:w="45" w:type="dxa"/>
              <w:right w:w="55" w:type="dxa"/>
            </w:tcMar>
            <w:vAlign w:val="center"/>
          </w:tcPr>
          <w:p w14:paraId="545902FE">
            <w:pPr>
              <w:spacing w:before="0" w:after="0" w:line="240" w:lineRule="auto"/>
              <w:ind w:firstLine="0"/>
              <w:jc w:val="center"/>
              <w:rPr>
                <w:b w:val="0"/>
              </w:rPr>
            </w:pPr>
            <w:r>
              <w:rPr>
                <w:rFonts w:ascii="Times New Roman" w:hAnsi="Times New Roman" w:eastAsia="宋体" w:cs="Times New Roman"/>
                <w:b w:val="0"/>
                <w:color w:val="000000"/>
                <w:sz w:val="19"/>
              </w:rPr>
              <w:t>Kp = diag(3.1, 3.1, 3.0)；Kv = diag(3.0, 3.0, 2.7)</w:t>
            </w:r>
          </w:p>
        </w:tc>
        <w:tc>
          <w:tcPr>
            <w:tcW w:w="0" w:type="auto"/>
            <w:tcBorders>
              <w:top w:val="nil"/>
              <w:left w:val="nil"/>
              <w:bottom w:val="nil"/>
              <w:right w:val="nil"/>
            </w:tcBorders>
            <w:shd w:val="clear" w:color="auto" w:fill="FFFFFF"/>
            <w:tcMar>
              <w:top w:w="45" w:type="dxa"/>
              <w:left w:w="55" w:type="dxa"/>
              <w:bottom w:w="45" w:type="dxa"/>
              <w:right w:w="55" w:type="dxa"/>
            </w:tcMar>
            <w:vAlign w:val="center"/>
          </w:tcPr>
          <w:p w14:paraId="75D4B651">
            <w:pPr>
              <w:spacing w:before="0" w:after="0" w:line="240" w:lineRule="auto"/>
              <w:ind w:firstLine="0"/>
              <w:jc w:val="center"/>
              <w:rPr>
                <w:b w:val="0"/>
              </w:rPr>
            </w:pPr>
            <w:r>
              <w:rPr>
                <w:rFonts w:ascii="Times New Roman" w:hAnsi="Times New Roman" w:eastAsia="宋体" w:cs="Times New Roman"/>
                <w:b w:val="0"/>
                <w:color w:val="000000"/>
                <w:sz w:val="19"/>
              </w:rPr>
              <w:t>水平/垂向分设</w:t>
            </w:r>
          </w:p>
        </w:tc>
      </w:tr>
      <w:tr w14:paraId="2F176C36">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tcMar>
              <w:top w:w="45" w:type="dxa"/>
              <w:left w:w="55" w:type="dxa"/>
              <w:bottom w:w="45" w:type="dxa"/>
              <w:right w:w="55" w:type="dxa"/>
            </w:tcMar>
            <w:vAlign w:val="center"/>
          </w:tcPr>
          <w:p w14:paraId="066C5427">
            <w:pPr>
              <w:spacing w:before="0" w:after="0" w:line="240" w:lineRule="auto"/>
              <w:ind w:firstLine="0"/>
              <w:jc w:val="center"/>
              <w:rPr>
                <w:b w:val="0"/>
              </w:rPr>
            </w:pPr>
            <w:r>
              <w:rPr>
                <w:rFonts w:ascii="Times New Roman" w:hAnsi="Times New Roman" w:eastAsia="宋体" w:cs="Times New Roman"/>
                <w:b w:val="0"/>
                <w:color w:val="000000"/>
                <w:sz w:val="19"/>
              </w:rPr>
              <w:t>姿态增益</w:t>
            </w:r>
          </w:p>
        </w:tc>
        <w:tc>
          <w:tcPr>
            <w:tcW w:w="0" w:type="auto"/>
            <w:tcBorders>
              <w:top w:val="nil"/>
              <w:left w:val="nil"/>
              <w:bottom w:val="nil"/>
              <w:right w:val="nil"/>
            </w:tcBorders>
            <w:shd w:val="clear" w:color="auto" w:fill="FFFFFF"/>
            <w:tcMar>
              <w:top w:w="45" w:type="dxa"/>
              <w:left w:w="55" w:type="dxa"/>
              <w:bottom w:w="45" w:type="dxa"/>
              <w:right w:w="55" w:type="dxa"/>
            </w:tcMar>
            <w:vAlign w:val="center"/>
          </w:tcPr>
          <w:p w14:paraId="04E51963">
            <w:pPr>
              <w:spacing w:before="0" w:after="0" w:line="240" w:lineRule="auto"/>
              <w:ind w:firstLine="0"/>
              <w:jc w:val="center"/>
              <w:rPr>
                <w:b w:val="0"/>
              </w:rPr>
            </w:pPr>
            <w:r>
              <w:rPr>
                <w:rFonts w:ascii="Times New Roman" w:hAnsi="Times New Roman" w:eastAsia="宋体" w:cs="Times New Roman"/>
                <w:b w:val="0"/>
                <w:color w:val="000000"/>
                <w:sz w:val="19"/>
              </w:rPr>
              <w:t>KR = 0.013；Kω = 0.003</w:t>
            </w:r>
          </w:p>
        </w:tc>
        <w:tc>
          <w:tcPr>
            <w:tcW w:w="0" w:type="auto"/>
            <w:tcBorders>
              <w:top w:val="nil"/>
              <w:left w:val="nil"/>
              <w:bottom w:val="nil"/>
              <w:right w:val="nil"/>
            </w:tcBorders>
            <w:shd w:val="clear" w:color="auto" w:fill="FFFFFF"/>
            <w:tcMar>
              <w:top w:w="45" w:type="dxa"/>
              <w:left w:w="55" w:type="dxa"/>
              <w:bottom w:w="45" w:type="dxa"/>
              <w:right w:w="55" w:type="dxa"/>
            </w:tcMar>
            <w:vAlign w:val="center"/>
          </w:tcPr>
          <w:p w14:paraId="640BADCD">
            <w:pPr>
              <w:spacing w:before="0" w:after="0" w:line="240" w:lineRule="auto"/>
              <w:ind w:firstLine="0"/>
              <w:jc w:val="center"/>
              <w:rPr>
                <w:b w:val="0"/>
              </w:rPr>
            </w:pPr>
            <w:r>
              <w:rPr>
                <w:rFonts w:ascii="Times New Roman" w:hAnsi="Times New Roman" w:eastAsia="宋体" w:cs="Times New Roman"/>
                <w:b w:val="0"/>
                <w:color w:val="000000"/>
                <w:sz w:val="19"/>
              </w:rPr>
              <w:t>滚转/俯仰</w:t>
            </w:r>
          </w:p>
        </w:tc>
      </w:tr>
      <w:tr w14:paraId="602A3370">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0" w:type="auto"/>
            <w:tcBorders>
              <w:top w:val="nil"/>
              <w:left w:val="nil"/>
              <w:bottom w:val="single" w:color="000000" w:sz="12" w:space="0"/>
              <w:right w:val="nil"/>
            </w:tcBorders>
            <w:shd w:val="clear" w:color="auto" w:fill="FFFFFF"/>
            <w:tcMar>
              <w:top w:w="45" w:type="dxa"/>
              <w:left w:w="55" w:type="dxa"/>
              <w:bottom w:w="45" w:type="dxa"/>
              <w:right w:w="55" w:type="dxa"/>
            </w:tcMar>
            <w:vAlign w:val="center"/>
          </w:tcPr>
          <w:p w14:paraId="309F2C2F">
            <w:pPr>
              <w:spacing w:before="0" w:after="0" w:line="240" w:lineRule="auto"/>
              <w:ind w:firstLine="0"/>
              <w:jc w:val="center"/>
              <w:rPr>
                <w:b w:val="0"/>
              </w:rPr>
            </w:pPr>
            <w:r>
              <w:rPr>
                <w:rFonts w:ascii="Times New Roman" w:hAnsi="Times New Roman" w:eastAsia="宋体" w:cs="Times New Roman"/>
                <w:b w:val="0"/>
                <w:color w:val="000000"/>
                <w:sz w:val="19"/>
              </w:rPr>
              <w:t>分配限制与偏航设置</w:t>
            </w:r>
          </w:p>
        </w:tc>
        <w:tc>
          <w:tcPr>
            <w:tcW w:w="0" w:type="auto"/>
            <w:tcBorders>
              <w:top w:val="nil"/>
              <w:left w:val="nil"/>
              <w:bottom w:val="single" w:color="000000" w:sz="12" w:space="0"/>
              <w:right w:val="nil"/>
            </w:tcBorders>
            <w:shd w:val="clear" w:color="auto" w:fill="FFFFFF"/>
            <w:tcMar>
              <w:top w:w="45" w:type="dxa"/>
              <w:left w:w="55" w:type="dxa"/>
              <w:bottom w:w="45" w:type="dxa"/>
              <w:right w:w="55" w:type="dxa"/>
            </w:tcMar>
            <w:vAlign w:val="center"/>
          </w:tcPr>
          <w:p w14:paraId="656ED55F">
            <w:pPr>
              <w:spacing w:before="0" w:after="0" w:line="240" w:lineRule="auto"/>
              <w:ind w:firstLine="0"/>
              <w:jc w:val="center"/>
              <w:rPr>
                <w:b w:val="0"/>
              </w:rPr>
            </w:pPr>
            <w:r>
              <w:rPr>
                <w:rFonts w:ascii="Times New Roman" w:hAnsi="Times New Roman" w:eastAsia="宋体" w:cs="Times New Roman"/>
                <w:b w:val="0"/>
                <w:color w:val="000000"/>
                <w:sz w:val="19"/>
              </w:rPr>
              <w:t>qmin、qmax由2维输入给定；本次仿真采用0 ≤ qi ≤ 3600；τz = 0</w:t>
            </w:r>
          </w:p>
        </w:tc>
        <w:tc>
          <w:tcPr>
            <w:tcW w:w="0" w:type="auto"/>
            <w:tcBorders>
              <w:top w:val="nil"/>
              <w:left w:val="nil"/>
              <w:bottom w:val="single" w:color="000000" w:sz="12" w:space="0"/>
              <w:right w:val="nil"/>
            </w:tcBorders>
            <w:shd w:val="clear" w:color="auto" w:fill="FFFFFF"/>
            <w:tcMar>
              <w:top w:w="45" w:type="dxa"/>
              <w:left w:w="55" w:type="dxa"/>
              <w:bottom w:w="45" w:type="dxa"/>
              <w:right w:w="55" w:type="dxa"/>
            </w:tcMar>
            <w:vAlign w:val="center"/>
          </w:tcPr>
          <w:p w14:paraId="67FC9698">
            <w:pPr>
              <w:spacing w:before="0" w:after="0" w:line="240" w:lineRule="auto"/>
              <w:ind w:firstLine="0"/>
              <w:jc w:val="center"/>
              <w:rPr>
                <w:b w:val="0"/>
              </w:rPr>
            </w:pPr>
            <w:r>
              <w:rPr>
                <w:rFonts w:ascii="Times New Roman" w:hAnsi="Times New Roman" w:eastAsia="宋体" w:cs="Times New Roman"/>
                <w:b w:val="0"/>
                <w:color w:val="000000"/>
                <w:sz w:val="19"/>
              </w:rPr>
              <w:t>电机幅值≤60；偏航不单独控制</w:t>
            </w:r>
          </w:p>
        </w:tc>
      </w:tr>
    </w:tbl>
    <w:p w14:paraId="4E0430F2">
      <w:pPr>
        <w:pageBreakBefore w:val="0"/>
      </w:pPr>
    </w:p>
    <w:p w14:paraId="11D684EA">
      <w:pPr>
        <w:pageBreakBefore w:val="0"/>
        <w:spacing w:before="0" w:after="0" w:line="360" w:lineRule="auto"/>
        <w:ind w:firstLine="480"/>
        <w:jc w:val="both"/>
      </w:pPr>
      <w:r>
        <w:rPr>
          <w:rFonts w:ascii="Times New Roman" w:hAnsi="Times New Roman" w:eastAsia="宋体" w:cs="Times New Roman"/>
          <w:color w:val="000000"/>
          <w:sz w:val="24"/>
        </w:rPr>
        <w:t>图3-2给出RA-GCA-CGHTE与Sysplorer四旋翼物理模型的顶层连接关系。11维参考、18维状态和2维分配器上下限进入控制器，四路电机指令驱动执行器与机体，控制器诊断和场景诊断分别输出。图中保留软件组件名称，以便识别主要信号流向。</w:t>
      </w:r>
    </w:p>
    <w:p w14:paraId="6DB5C60B">
      <w:pPr>
        <w:keepNext/>
        <w:pageBreakBefore w:val="0"/>
        <w:spacing w:before="0" w:after="60"/>
        <w:ind w:firstLine="0"/>
        <w:jc w:val="center"/>
      </w:pPr>
      <w:r>
        <w:drawing>
          <wp:inline distT="0" distB="0" distL="0" distR="0">
            <wp:extent cx="5651500" cy="3695065"/>
            <wp:effectExtent l="0" t="0" r="6350" b="635"/>
            <wp:docPr id="6" name="Picture 9" descr="Sysplorer真实顶层闭环图，包含参考、状态、分配器边界、RA-GCA-CGHTE、四路电机、四旋翼本体、传感器和诊断端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9" descr="Sysplorer真实顶层闭环图，包含参考、状态、分配器边界、RA-GCA-CGHTE、四路电机、四旋翼本体、传感器和诊断端口。"/>
                    <pic:cNvPicPr>
                      <a:picLocks noChangeAspect="1"/>
                    </pic:cNvPicPr>
                  </pic:nvPicPr>
                  <pic:blipFill>
                    <a:blip r:embed="rId17"/>
                    <a:stretch>
                      <a:fillRect/>
                    </a:stretch>
                  </pic:blipFill>
                  <pic:spPr>
                    <a:xfrm>
                      <a:off x="0" y="0"/>
                      <a:ext cx="5652000" cy="3695538"/>
                    </a:xfrm>
                    <a:prstGeom prst="rect">
                      <a:avLst/>
                    </a:prstGeom>
                  </pic:spPr>
                </pic:pic>
              </a:graphicData>
            </a:graphic>
          </wp:inline>
        </w:drawing>
      </w:r>
    </w:p>
    <w:p w14:paraId="717B874F">
      <w:pPr>
        <w:pStyle w:val="4"/>
        <w:keepNext/>
        <w:pageBreakBefore w:val="0"/>
        <w:spacing w:before="40" w:after="40"/>
        <w:ind w:firstLine="0"/>
        <w:jc w:val="center"/>
      </w:pPr>
      <w:r>
        <w:rPr>
          <w:rFonts w:ascii="Times New Roman" w:hAnsi="Times New Roman" w:eastAsia="宋体" w:cs="Times New Roman"/>
          <w:b/>
          <w:color w:val="000000"/>
          <w:sz w:val="21"/>
        </w:rPr>
        <w:t>图3-2 RA-GCA-CGHTE与Sysplorer四旋翼物理模型的顶层连接关系</w:t>
      </w:r>
    </w:p>
    <w:p w14:paraId="2B02D085">
      <w:pPr>
        <w:pStyle w:val="21"/>
        <w:pageBreakBefore w:val="0"/>
        <w:spacing w:after="0"/>
      </w:pPr>
      <w:r>
        <w:rPr>
          <w:rFonts w:ascii="Times New Roman" w:hAnsi="Times New Roman" w:eastAsia="宋体" w:cs="Times New Roman"/>
          <w:b w:val="0"/>
          <w:color w:val="000000"/>
          <w:sz w:val="18"/>
        </w:rPr>
        <w:t>来源：MWORKS Sysplorer单机仿真模型直接导出。</w:t>
      </w:r>
    </w:p>
    <w:p w14:paraId="26064AAC">
      <w:pPr>
        <w:pStyle w:val="3"/>
        <w:keepNext/>
        <w:pageBreakBefore w:val="0"/>
        <w:spacing w:before="240" w:after="120"/>
      </w:pPr>
      <w:bookmarkStart w:id="12" w:name="_Toc9339"/>
      <w:r>
        <w:rPr>
          <w:rFonts w:ascii="Times New Roman" w:hAnsi="Times New Roman" w:eastAsia="黑体" w:cs="Times New Roman"/>
          <w:b/>
          <w:color w:val="000000"/>
          <w:sz w:val="26"/>
        </w:rPr>
        <w:t>3.3 平移控制与期望推力方向</w:t>
      </w:r>
      <w:bookmarkEnd w:id="12"/>
    </w:p>
    <w:p w14:paraId="5A6B5F7B">
      <w:pPr>
        <w:pageBreakBefore w:val="0"/>
        <w:spacing w:before="0" w:after="0" w:line="360" w:lineRule="auto"/>
        <w:ind w:firstLine="480"/>
        <w:jc w:val="both"/>
      </w:pPr>
      <w:r>
        <w:rPr>
          <w:rFonts w:ascii="Times New Roman" w:hAnsi="Times New Roman" w:eastAsia="宋体" w:cs="Times New Roman"/>
          <w:color w:val="000000"/>
          <w:sz w:val="24"/>
        </w:rPr>
        <w:t>设p、v分别为惯性系位置和速度，pd、vd、ad为期望位置、速度和加速度。位置误差与速度误差定义为</w:t>
      </w:r>
    </w:p>
    <w:p w14:paraId="643AD7F5">
      <w:pPr>
        <w:pageBreakBefore w:val="0"/>
        <w:tabs>
          <w:tab w:val="center" w:pos="4250"/>
          <w:tab w:val="right" w:pos="8500"/>
        </w:tabs>
        <w:spacing w:before="0" w:after="60"/>
        <w:ind w:firstLine="0"/>
        <w:jc w:val="left"/>
      </w:pPr>
      <w:r>
        <w:tab/>
      </w:r>
      <m:oMath>
        <m:sSub>
          <m:sSubPr>
            <m:ctrlPr>
              <w:rPr>
                <w:rFonts w:ascii="Cambria Math" w:hAnsi="Cambria Math"/>
              </w:rPr>
            </m:ctrlPr>
          </m:sSubPr>
          <m:e>
            <m:r>
              <m:rPr>
                <m:sty m:val="p"/>
              </m:rPr>
              <w:rPr>
                <w:rFonts w:ascii="Cambria Math" w:hAnsi="Cambria Math"/>
              </w:rPr>
              <m:t>e</m:t>
            </m:r>
            <m:ctrlPr>
              <w:rPr>
                <w:rFonts w:ascii="Cambria Math" w:hAnsi="Cambria Math"/>
              </w:rPr>
            </m:ctrlPr>
          </m:e>
          <m:sub>
            <m:r>
              <m:rPr>
                <m:sty m:val="p"/>
              </m:rPr>
              <w:rPr>
                <w:rFonts w:ascii="Cambria Math" w:hAnsi="Cambria Math"/>
              </w:rPr>
              <m:t>p</m:t>
            </m:r>
            <m:ctrlPr>
              <w:rPr>
                <w:rFonts w:ascii="Cambria Math" w:hAnsi="Cambria Math"/>
              </w:rPr>
            </m:ctrlPr>
          </m:sub>
        </m:sSub>
        <m:r>
          <m:rPr>
            <m:sty m:val="p"/>
          </m:rPr>
          <w:rPr>
            <w:rFonts w:ascii="Cambria Math" w:hAnsi="Cambria Math"/>
          </w:rPr>
          <m:t xml:space="preserve">= p − </m:t>
        </m:r>
        <m:sSub>
          <m:sSubPr>
            <m:ctrlPr>
              <w:rPr>
                <w:rFonts w:ascii="Cambria Math" w:hAnsi="Cambria Math"/>
              </w:rPr>
            </m:ctrlPr>
          </m:sSubPr>
          <m:e>
            <m:r>
              <m:rPr>
                <m:sty m:val="p"/>
              </m:rPr>
              <w:rPr>
                <w:rFonts w:ascii="Cambria Math" w:hAnsi="Cambria Math"/>
              </w:rPr>
              <m:t>p</m:t>
            </m:r>
            <m:ctrlPr>
              <w:rPr>
                <w:rFonts w:ascii="Cambria Math" w:hAnsi="Cambria Math"/>
              </w:rPr>
            </m:ctrlPr>
          </m:e>
          <m:sub>
            <m:r>
              <m:rPr>
                <m:sty m:val="p"/>
              </m:rPr>
              <w:rPr>
                <w:rFonts w:ascii="Cambria Math" w:hAnsi="Cambria Math"/>
              </w:rPr>
              <m:t>d</m:t>
            </m:r>
            <m:ctrlPr>
              <w:rPr>
                <w:rFonts w:ascii="Cambria Math" w:hAnsi="Cambria Math"/>
              </w:rPr>
            </m:ctrlP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e</m:t>
            </m:r>
            <m:ctrlPr>
              <w:rPr>
                <w:rFonts w:ascii="Cambria Math" w:hAnsi="Cambria Math"/>
              </w:rPr>
            </m:ctrlPr>
          </m:e>
          <m:sub>
            <m:r>
              <m:rPr>
                <m:sty m:val="p"/>
              </m:rPr>
              <w:rPr>
                <w:rFonts w:ascii="Cambria Math" w:hAnsi="Cambria Math"/>
              </w:rPr>
              <m:t>v</m:t>
            </m:r>
            <m:ctrlPr>
              <w:rPr>
                <w:rFonts w:ascii="Cambria Math" w:hAnsi="Cambria Math"/>
              </w:rPr>
            </m:ctrlPr>
          </m:sub>
        </m:sSub>
        <m:r>
          <m:rPr>
            <m:sty m:val="p"/>
          </m:rPr>
          <w:rPr>
            <w:rFonts w:ascii="Cambria Math" w:hAnsi="Cambria Math"/>
          </w:rPr>
          <m:t xml:space="preserve">= v − </m:t>
        </m:r>
        <m:sSub>
          <m:sSubPr>
            <m:ctrlPr>
              <w:rPr>
                <w:rFonts w:ascii="Cambria Math" w:hAnsi="Cambria Math"/>
              </w:rPr>
            </m:ctrlPr>
          </m:sSubPr>
          <m:e>
            <m:r>
              <m:rPr>
                <m:sty m:val="p"/>
              </m:rPr>
              <w:rPr>
                <w:rFonts w:ascii="Cambria Math" w:hAnsi="Cambria Math"/>
              </w:rPr>
              <m:t>v</m:t>
            </m:r>
            <m:ctrlPr>
              <w:rPr>
                <w:rFonts w:ascii="Cambria Math" w:hAnsi="Cambria Math"/>
              </w:rPr>
            </m:ctrlPr>
          </m:e>
          <m:sub>
            <m:r>
              <m:rPr>
                <m:sty m:val="p"/>
              </m:rPr>
              <w:rPr>
                <w:rFonts w:ascii="Cambria Math" w:hAnsi="Cambria Math"/>
              </w:rPr>
              <m:t>d</m:t>
            </m:r>
            <m:ctrlPr>
              <w:rPr>
                <w:rFonts w:ascii="Cambria Math" w:hAnsi="Cambria Math"/>
              </w:rPr>
            </m:ctrlPr>
          </m:sub>
        </m:sSub>
      </m:oMath>
      <w:r>
        <w:rPr>
          <w:rFonts w:ascii="Times New Roman" w:hAnsi="Times New Roman" w:eastAsia="宋体" w:cs="Times New Roman"/>
          <w:color w:val="000000"/>
          <w:sz w:val="24"/>
        </w:rPr>
        <w:tab/>
      </w:r>
      <w:r>
        <w:rPr>
          <w:rFonts w:ascii="Times New Roman" w:hAnsi="Times New Roman" w:eastAsia="宋体" w:cs="Times New Roman"/>
          <w:color w:val="000000"/>
          <w:sz w:val="24"/>
        </w:rPr>
        <w:t>(3-1)</w:t>
      </w:r>
    </w:p>
    <w:p w14:paraId="407BCFE2">
      <w:pPr>
        <w:pageBreakBefore w:val="0"/>
        <w:spacing w:before="0" w:after="0" w:line="360" w:lineRule="auto"/>
        <w:ind w:firstLine="480"/>
        <w:jc w:val="both"/>
      </w:pPr>
      <w:r>
        <w:rPr>
          <w:rFonts w:ascii="Times New Roman" w:hAnsi="Times New Roman" w:eastAsia="宋体" w:cs="Times New Roman"/>
          <w:color w:val="000000"/>
          <w:sz w:val="24"/>
        </w:rPr>
        <w:t>RA-GCA-CGHTE中的RA-GCA主干将反馈项、参考前馈与重力补偿合成为期望合力Fd：</w:t>
      </w:r>
    </w:p>
    <w:p w14:paraId="68E2F0EF">
      <w:pPr>
        <w:pageBreakBefore w:val="0"/>
        <w:tabs>
          <w:tab w:val="center" w:pos="4250"/>
          <w:tab w:val="right" w:pos="8500"/>
        </w:tabs>
        <w:spacing w:before="0" w:after="60"/>
        <w:ind w:firstLine="0"/>
        <w:jc w:val="left"/>
      </w:pPr>
      <w:r>
        <w:tab/>
      </w:r>
      <m:oMath>
        <m:sSub>
          <m:sSubPr>
            <m:ctrlPr>
              <w:rPr>
                <w:rFonts w:ascii="Cambria Math" w:hAnsi="Cambria Math"/>
              </w:rPr>
            </m:ctrlPr>
          </m:sSubPr>
          <m:e>
            <m:r>
              <m:rPr>
                <m:sty m:val="p"/>
              </m:rPr>
              <w:rPr>
                <w:rFonts w:ascii="Cambria Math" w:hAnsi="Cambria Math"/>
              </w:rPr>
              <m:t>F</m:t>
            </m:r>
            <m:ctrlPr>
              <w:rPr>
                <w:rFonts w:ascii="Cambria Math" w:hAnsi="Cambria Math"/>
              </w:rPr>
            </m:ctrlPr>
          </m:e>
          <m:sub>
            <m:r>
              <m:rPr>
                <m:sty m:val="p"/>
              </m:rPr>
              <w:rPr>
                <w:rFonts w:ascii="Cambria Math" w:hAnsi="Cambria Math"/>
              </w:rPr>
              <m:t>d</m:t>
            </m:r>
            <m:ctrlPr>
              <w:rPr>
                <w:rFonts w:ascii="Cambria Math" w:hAnsi="Cambria Math"/>
              </w:rPr>
            </m:ctrlPr>
          </m:sub>
        </m:sSub>
        <m:r>
          <m:rPr>
            <m:sty m:val="p"/>
          </m:rPr>
          <w:rPr>
            <w:rFonts w:ascii="Cambria Math" w:hAnsi="Cambria Math"/>
          </w:rPr>
          <m:t>= m</m:t>
        </m:r>
        <m:d>
          <m:dPr>
            <m:begChr m:val="["/>
            <m:endChr m:val="]"/>
            <m:ctrlPr>
              <w:rPr>
                <w:rFonts w:ascii="Cambria Math" w:hAnsi="Cambria Math"/>
              </w:rPr>
            </m:ctrlPr>
          </m:dPr>
          <m:e>
            <m:r>
              <m:rPr>
                <m:sty m:val="p"/>
              </m:rPr>
              <w:rPr>
                <w:rFonts w:ascii="Cambria Math" w:hAnsi="Cambria Math"/>
              </w:rPr>
              <m:t>−</m:t>
            </m:r>
            <m:sSub>
              <m:sSubPr>
                <m:ctrlPr>
                  <w:rPr>
                    <w:rFonts w:ascii="Cambria Math" w:hAnsi="Cambria Math"/>
                  </w:rPr>
                </m:ctrlPr>
              </m:sSubPr>
              <m:e>
                <m:r>
                  <m:rPr>
                    <m:sty m:val="p"/>
                  </m:rPr>
                  <w:rPr>
                    <w:rFonts w:ascii="Cambria Math" w:hAnsi="Cambria Math"/>
                  </w:rPr>
                  <m:t>K</m:t>
                </m:r>
                <m:ctrlPr>
                  <w:rPr>
                    <w:rFonts w:ascii="Cambria Math" w:hAnsi="Cambria Math"/>
                  </w:rPr>
                </m:ctrlPr>
              </m:e>
              <m:sub>
                <m:r>
                  <m:rPr>
                    <m:sty m:val="p"/>
                  </m:rPr>
                  <w:rPr>
                    <w:rFonts w:ascii="Cambria Math" w:hAnsi="Cambria Math"/>
                  </w:rPr>
                  <m:t>p</m:t>
                </m:r>
                <m:ctrlPr>
                  <w:rPr>
                    <w:rFonts w:ascii="Cambria Math" w:hAnsi="Cambria Math"/>
                  </w:rPr>
                </m:ctrlPr>
              </m:sub>
            </m:sSub>
            <m:sSub>
              <m:sSubPr>
                <m:ctrlPr>
                  <w:rPr>
                    <w:rFonts w:ascii="Cambria Math" w:hAnsi="Cambria Math"/>
                  </w:rPr>
                </m:ctrlPr>
              </m:sSubPr>
              <m:e>
                <m:r>
                  <m:rPr>
                    <m:sty m:val="p"/>
                  </m:rPr>
                  <w:rPr>
                    <w:rFonts w:ascii="Cambria Math" w:hAnsi="Cambria Math"/>
                  </w:rPr>
                  <m:t>e</m:t>
                </m:r>
                <m:ctrlPr>
                  <w:rPr>
                    <w:rFonts w:ascii="Cambria Math" w:hAnsi="Cambria Math"/>
                  </w:rPr>
                </m:ctrlPr>
              </m:e>
              <m:sub>
                <m:r>
                  <m:rPr>
                    <m:sty m:val="p"/>
                  </m:rPr>
                  <w:rPr>
                    <w:rFonts w:ascii="Cambria Math" w:hAnsi="Cambria Math"/>
                  </w:rPr>
                  <m:t>p</m:t>
                </m:r>
                <m:ctrlPr>
                  <w:rPr>
                    <w:rFonts w:ascii="Cambria Math" w:hAnsi="Cambria Math"/>
                  </w:rPr>
                </m:ctrlP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K</m:t>
                </m:r>
                <m:ctrlPr>
                  <w:rPr>
                    <w:rFonts w:ascii="Cambria Math" w:hAnsi="Cambria Math"/>
                  </w:rPr>
                </m:ctrlPr>
              </m:e>
              <m:sub>
                <m:r>
                  <m:rPr>
                    <m:sty m:val="p"/>
                  </m:rPr>
                  <w:rPr>
                    <w:rFonts w:ascii="Cambria Math" w:hAnsi="Cambria Math"/>
                  </w:rPr>
                  <m:t>v</m:t>
                </m:r>
                <m:ctrlPr>
                  <w:rPr>
                    <w:rFonts w:ascii="Cambria Math" w:hAnsi="Cambria Math"/>
                  </w:rPr>
                </m:ctrlPr>
              </m:sub>
            </m:sSub>
            <m:sSub>
              <m:sSubPr>
                <m:ctrlPr>
                  <w:rPr>
                    <w:rFonts w:ascii="Cambria Math" w:hAnsi="Cambria Math"/>
                  </w:rPr>
                </m:ctrlPr>
              </m:sSubPr>
              <m:e>
                <m:r>
                  <m:rPr>
                    <m:sty m:val="p"/>
                  </m:rPr>
                  <w:rPr>
                    <w:rFonts w:ascii="Cambria Math" w:hAnsi="Cambria Math"/>
                  </w:rPr>
                  <m:t>e</m:t>
                </m:r>
                <m:ctrlPr>
                  <w:rPr>
                    <w:rFonts w:ascii="Cambria Math" w:hAnsi="Cambria Math"/>
                  </w:rPr>
                </m:ctrlPr>
              </m:e>
              <m:sub>
                <m:r>
                  <m:rPr>
                    <m:sty m:val="p"/>
                  </m:rPr>
                  <w:rPr>
                    <w:rFonts w:ascii="Cambria Math" w:hAnsi="Cambria Math"/>
                  </w:rPr>
                  <m:t>v</m:t>
                </m:r>
                <m:ctrlPr>
                  <w:rPr>
                    <w:rFonts w:ascii="Cambria Math" w:hAnsi="Cambria Math"/>
                  </w:rPr>
                </m:ctrlP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a</m:t>
                </m:r>
                <m:ctrlPr>
                  <w:rPr>
                    <w:rFonts w:ascii="Cambria Math" w:hAnsi="Cambria Math"/>
                  </w:rPr>
                </m:ctrlPr>
              </m:e>
              <m:sub>
                <m:r>
                  <m:rPr>
                    <m:sty m:val="p"/>
                  </m:rPr>
                  <w:rPr>
                    <w:rFonts w:ascii="Cambria Math" w:hAnsi="Cambria Math"/>
                  </w:rPr>
                  <m:t>d</m:t>
                </m:r>
                <m:ctrlPr>
                  <w:rPr>
                    <w:rFonts w:ascii="Cambria Math" w:hAnsi="Cambria Math"/>
                  </w:rPr>
                </m:ctrlPr>
              </m:sub>
            </m:sSub>
            <m:r>
              <m:rPr>
                <m:sty m:val="p"/>
              </m:rPr>
              <w:rPr>
                <w:rFonts w:ascii="Cambria Math" w:hAnsi="Cambria Math"/>
              </w:rPr>
              <m:t xml:space="preserve">+ g </m:t>
            </m:r>
            <m:sSub>
              <m:sSubPr>
                <m:ctrlPr>
                  <w:rPr>
                    <w:rFonts w:ascii="Cambria Math" w:hAnsi="Cambria Math"/>
                  </w:rPr>
                </m:ctrlPr>
              </m:sSubPr>
              <m:e>
                <m:r>
                  <m:rPr>
                    <m:sty m:val="p"/>
                  </m:rPr>
                  <w:rPr>
                    <w:rFonts w:ascii="Cambria Math" w:hAnsi="Cambria Math"/>
                  </w:rPr>
                  <m:t>e</m:t>
                </m:r>
                <m:ctrlPr>
                  <w:rPr>
                    <w:rFonts w:ascii="Cambria Math" w:hAnsi="Cambria Math"/>
                  </w:rPr>
                </m:ctrlPr>
              </m:e>
              <m:sub>
                <m:r>
                  <m:rPr>
                    <m:sty m:val="p"/>
                  </m:rPr>
                  <w:rPr>
                    <w:rFonts w:ascii="Cambria Math" w:hAnsi="Cambria Math"/>
                  </w:rPr>
                  <m:t>3</m:t>
                </m:r>
                <m:ctrlPr>
                  <w:rPr>
                    <w:rFonts w:ascii="Cambria Math" w:hAnsi="Cambria Math"/>
                  </w:rPr>
                </m:ctrlPr>
              </m:sub>
            </m:sSub>
            <m:ctrlPr>
              <w:rPr>
                <w:rFonts w:ascii="Cambria Math" w:hAnsi="Cambria Math"/>
              </w:rPr>
            </m:ctrlPr>
          </m:e>
        </m:d>
      </m:oMath>
      <w:r>
        <w:rPr>
          <w:rFonts w:ascii="Times New Roman" w:hAnsi="Times New Roman" w:eastAsia="宋体" w:cs="Times New Roman"/>
          <w:color w:val="000000"/>
          <w:sz w:val="24"/>
        </w:rPr>
        <w:tab/>
      </w:r>
      <w:r>
        <w:rPr>
          <w:rFonts w:ascii="Times New Roman" w:hAnsi="Times New Roman" w:eastAsia="宋体" w:cs="Times New Roman"/>
          <w:color w:val="000000"/>
          <w:sz w:val="24"/>
        </w:rPr>
        <w:t>(3-2)</w:t>
      </w:r>
    </w:p>
    <w:p w14:paraId="6541E6E0">
      <w:pPr>
        <w:pageBreakBefore w:val="0"/>
        <w:spacing w:before="0" w:after="0" w:line="360" w:lineRule="auto"/>
        <w:ind w:firstLine="480"/>
        <w:jc w:val="both"/>
      </w:pPr>
      <w:r>
        <w:rPr>
          <w:rFonts w:ascii="Times New Roman" w:hAnsi="Times New Roman" w:eastAsia="宋体" w:cs="Times New Roman"/>
          <w:color w:val="000000"/>
          <w:sz w:val="24"/>
        </w:rPr>
        <w:t>其中e3 = [0, 0, 1]ᵀ，Kp和Kv为对角正定增益。式（3-2）对应控制器实现中的三个力分量，垂向通道采用独立增益以适应推力与重力耦合。期望推力轴由期望合力归一化得到：</w:t>
      </w:r>
    </w:p>
    <w:p w14:paraId="2C43085A">
      <w:pPr>
        <w:pageBreakBefore w:val="0"/>
        <w:tabs>
          <w:tab w:val="center" w:pos="4250"/>
          <w:tab w:val="right" w:pos="8500"/>
        </w:tabs>
        <w:spacing w:before="0" w:after="60"/>
        <w:ind w:firstLine="0"/>
        <w:jc w:val="left"/>
      </w:pPr>
      <w:r>
        <w:tab/>
      </w:r>
      <m:oMath>
        <m:sSub>
          <m:sSubPr>
            <m:ctrlPr>
              <w:rPr>
                <w:rFonts w:ascii="Cambria Math" w:hAnsi="Cambria Math"/>
              </w:rPr>
            </m:ctrlPr>
          </m:sSubPr>
          <m:e>
            <m:r>
              <m:rPr>
                <m:sty m:val="p"/>
              </m:rPr>
              <w:rPr>
                <w:rFonts w:ascii="Cambria Math" w:hAnsi="Cambria Math"/>
              </w:rPr>
              <m:t>b</m:t>
            </m:r>
            <m:ctrlPr>
              <w:rPr>
                <w:rFonts w:ascii="Cambria Math" w:hAnsi="Cambria Math"/>
              </w:rPr>
            </m:ctrlPr>
          </m:e>
          <m:sub>
            <m:d>
              <m:dPr>
                <m:begChr m:val="{"/>
                <m:endChr m:val="}"/>
                <m:ctrlPr>
                  <w:rPr>
                    <w:rFonts w:ascii="Cambria Math" w:hAnsi="Cambria Math"/>
                  </w:rPr>
                </m:ctrlPr>
              </m:dPr>
              <m:e>
                <m:r>
                  <m:rPr>
                    <m:sty m:val="p"/>
                  </m:rPr>
                  <w:rPr>
                    <w:rFonts w:ascii="Cambria Math" w:hAnsi="Cambria Math"/>
                  </w:rPr>
                  <m:t>3d</m:t>
                </m:r>
                <m:ctrlPr>
                  <w:rPr>
                    <w:rFonts w:ascii="Cambria Math" w:hAnsi="Cambria Math"/>
                  </w:rPr>
                </m:ctrlPr>
              </m:e>
            </m:d>
            <m:ctrlPr>
              <w:rPr>
                <w:rFonts w:ascii="Cambria Math" w:hAnsi="Cambria Math"/>
              </w:rPr>
            </m:ctrlP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F</m:t>
                </m:r>
                <m:ctrlPr>
                  <w:rPr>
                    <w:rFonts w:ascii="Cambria Math" w:hAnsi="Cambria Math"/>
                  </w:rPr>
                </m:ctrlPr>
              </m:e>
              <m:sub>
                <m:r>
                  <m:rPr>
                    <m:sty m:val="p"/>
                  </m:rPr>
                  <w:rPr>
                    <w:rFonts w:ascii="Cambria Math" w:hAnsi="Cambria Math"/>
                  </w:rPr>
                  <m:t>d</m:t>
                </m:r>
                <m:ctrlPr>
                  <w:rPr>
                    <w:rFonts w:ascii="Cambria Math" w:hAnsi="Cambria Math"/>
                  </w:rPr>
                </m:ctrlPr>
              </m:sub>
            </m:sSub>
            <m:ctrlPr>
              <w:rPr>
                <w:rFonts w:ascii="Cambria Math" w:hAnsi="Cambria Math"/>
              </w:rPr>
            </m:ctrlPr>
          </m:num>
          <m:den>
            <m:d>
              <m:dPr>
                <m:begChr m:val="|"/>
                <m:endChr m:val="|"/>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F</m:t>
                        </m:r>
                        <m:ctrlPr>
                          <w:rPr>
                            <w:rFonts w:ascii="Cambria Math" w:hAnsi="Cambria Math"/>
                          </w:rPr>
                        </m:ctrlPr>
                      </m:e>
                      <m:sub>
                        <m:r>
                          <m:rPr>
                            <m:sty m:val="p"/>
                          </m:rPr>
                          <w:rPr>
                            <w:rFonts w:ascii="Cambria Math" w:hAnsi="Cambria Math"/>
                          </w:rPr>
                          <m:t>d</m:t>
                        </m:r>
                        <m:ctrlPr>
                          <w:rPr>
                            <w:rFonts w:ascii="Cambria Math" w:hAnsi="Cambria Math"/>
                          </w:rPr>
                        </m:ctrlPr>
                      </m:sub>
                    </m:sSub>
                    <m:ctrlPr>
                      <w:rPr>
                        <w:rFonts w:ascii="Cambria Math" w:hAnsi="Cambria Math"/>
                      </w:rPr>
                    </m:ctrlPr>
                  </m:e>
                </m:d>
                <m:ctrlPr>
                  <w:rPr>
                    <w:rFonts w:ascii="Cambria Math" w:hAnsi="Cambria Math"/>
                  </w:rPr>
                </m:ctrlPr>
              </m:e>
            </m:d>
            <m:r>
              <m:rPr>
                <m:sty m:val="p"/>
              </m:rPr>
              <w:rPr>
                <w:rFonts w:ascii="Cambria Math" w:hAnsi="Cambria Math"/>
              </w:rPr>
              <m:t>+ ε</m:t>
            </m:r>
            <m:ctrlPr>
              <w:rPr>
                <w:rFonts w:ascii="Cambria Math" w:hAnsi="Cambria Math"/>
              </w:rPr>
            </m:ctrlPr>
          </m:den>
        </m:f>
        <m:r>
          <m:rPr>
            <m:sty m:val="p"/>
          </m:rPr>
          <w:rPr>
            <w:rFonts w:ascii="Cambria Math" w:hAnsi="Cambria Math"/>
          </w:rPr>
          <m:t>,    ε &gt; 0</m:t>
        </m:r>
      </m:oMath>
      <w:r>
        <w:rPr>
          <w:rFonts w:ascii="Times New Roman" w:hAnsi="Times New Roman" w:eastAsia="宋体" w:cs="Times New Roman"/>
          <w:color w:val="000000"/>
          <w:sz w:val="24"/>
        </w:rPr>
        <w:tab/>
      </w:r>
      <w:r>
        <w:rPr>
          <w:rFonts w:ascii="Times New Roman" w:hAnsi="Times New Roman" w:eastAsia="宋体" w:cs="Times New Roman"/>
          <w:color w:val="000000"/>
          <w:sz w:val="24"/>
        </w:rPr>
        <w:t>(3-3)</w:t>
      </w:r>
    </w:p>
    <w:p w14:paraId="22A42A88">
      <w:pPr>
        <w:pageBreakBefore w:val="0"/>
        <w:spacing w:before="0" w:after="0" w:line="360" w:lineRule="auto"/>
        <w:ind w:firstLine="480"/>
        <w:jc w:val="both"/>
      </w:pPr>
      <w:r>
        <w:rPr>
          <w:rFonts w:ascii="Times New Roman" w:hAnsi="Times New Roman" w:eastAsia="宋体" w:cs="Times New Roman"/>
          <w:color w:val="000000"/>
          <w:sz w:val="24"/>
        </w:rPr>
        <w:t>实际总推力采用期望合力在当前机体推力轴b3上的投影，即T = ||Fd|| b3dᵀb3。该处理把平移需求转化为推力幅值与推力轴方向，同时降低姿态瞬态期间直接使用力范数造成的指令突变。几何控制思路与SE(3)跟踪框架一致（Lee et al., 2010）。</w:t>
      </w:r>
    </w:p>
    <w:p w14:paraId="0F0061FA">
      <w:pPr>
        <w:pStyle w:val="3"/>
        <w:keepNext/>
        <w:pageBreakBefore w:val="0"/>
        <w:spacing w:before="240" w:after="120"/>
      </w:pPr>
      <w:bookmarkStart w:id="13" w:name="_Toc1911"/>
      <w:r>
        <w:rPr>
          <w:rFonts w:ascii="Times New Roman" w:hAnsi="Times New Roman" w:eastAsia="黑体" w:cs="Times New Roman"/>
          <w:b/>
          <w:color w:val="000000"/>
          <w:sz w:val="26"/>
        </w:rPr>
        <w:t>3.4 约化姿态几何控制</w:t>
      </w:r>
      <w:bookmarkEnd w:id="13"/>
    </w:p>
    <w:p w14:paraId="1CBB5AA3">
      <w:pPr>
        <w:pageBreakBefore w:val="0"/>
        <w:spacing w:before="0" w:after="0" w:line="360" w:lineRule="auto"/>
        <w:ind w:firstLine="480"/>
        <w:jc w:val="both"/>
      </w:pPr>
      <w:r>
        <w:rPr>
          <w:rFonts w:ascii="Times New Roman" w:hAnsi="Times New Roman" w:eastAsia="宋体" w:cs="Times New Roman"/>
          <w:color w:val="000000"/>
          <w:sz w:val="24"/>
        </w:rPr>
        <w:t>位置跟踪主要依赖机体推力轴与b3d对齐。本文实现从姿态矩阵和b3d计算两个约化姿态误差分量，并记为eR,red = [eRx, eRy]ᵀ。滚转与俯仰力矩采用比例-角速度反馈：</w:t>
      </w:r>
    </w:p>
    <w:p w14:paraId="5A90D623">
      <w:pPr>
        <w:pageBreakBefore w:val="0"/>
        <w:tabs>
          <w:tab w:val="center" w:pos="4250"/>
          <w:tab w:val="right" w:pos="8500"/>
        </w:tabs>
        <w:spacing w:before="0" w:after="60"/>
        <w:ind w:firstLine="0"/>
        <w:jc w:val="left"/>
      </w:pPr>
      <w:r>
        <w:tab/>
      </w:r>
      <m:oMath>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τ</m:t>
                </m:r>
                <m:ctrlPr>
                  <w:rPr>
                    <w:rFonts w:ascii="Cambria Math" w:hAnsi="Cambria Math"/>
                  </w:rPr>
                </m:ctrlPr>
              </m:e>
              <m:sub>
                <m:r>
                  <m:rPr>
                    <m:sty m:val="p"/>
                  </m:rPr>
                  <w:rPr>
                    <w:rFonts w:ascii="Cambria Math" w:hAnsi="Cambria Math"/>
                  </w:rPr>
                  <m:t>x</m:t>
                </m:r>
                <m:ctrlPr>
                  <w:rPr>
                    <w:rFonts w:ascii="Cambria Math" w:hAnsi="Cambria Math"/>
                  </w:rPr>
                </m:ctrlP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τ</m:t>
                </m:r>
                <m:ctrlPr>
                  <w:rPr>
                    <w:rFonts w:ascii="Cambria Math" w:hAnsi="Cambria Math"/>
                  </w:rPr>
                </m:ctrlPr>
              </m:e>
              <m:sub>
                <m:r>
                  <m:rPr>
                    <m:sty m:val="p"/>
                  </m:rPr>
                  <w:rPr>
                    <w:rFonts w:ascii="Cambria Math" w:hAnsi="Cambria Math"/>
                  </w:rPr>
                  <m:t>y</m:t>
                </m:r>
                <m:ctrlPr>
                  <w:rPr>
                    <w:rFonts w:ascii="Cambria Math" w:hAnsi="Cambria Math"/>
                  </w:rPr>
                </m:ctrlPr>
              </m:sub>
            </m:sSub>
            <m:ctrlPr>
              <w:rPr>
                <w:rFonts w:ascii="Cambria Math" w:hAnsi="Cambria Math"/>
              </w:rPr>
            </m:ctrlPr>
          </m:e>
        </m:d>
        <m:r>
          <m:rPr>
            <m:sty m:val="p"/>
          </m:rPr>
          <w:rPr>
            <w:rFonts w:ascii="Cambria Math" w:hAnsi="Cambria Math"/>
          </w:rPr>
          <m:t>ᵀ = −</m:t>
        </m:r>
        <m:sSub>
          <m:sSubPr>
            <m:ctrlPr>
              <w:rPr>
                <w:rFonts w:ascii="Cambria Math" w:hAnsi="Cambria Math"/>
              </w:rPr>
            </m:ctrlPr>
          </m:sSubPr>
          <m:e>
            <m:r>
              <m:rPr>
                <m:sty m:val="p"/>
              </m:rPr>
              <w:rPr>
                <w:rFonts w:ascii="Cambria Math" w:hAnsi="Cambria Math"/>
              </w:rPr>
              <m:t>K</m:t>
            </m:r>
            <m:ctrlPr>
              <w:rPr>
                <w:rFonts w:ascii="Cambria Math" w:hAnsi="Cambria Math"/>
              </w:rPr>
            </m:ctrlPr>
          </m:e>
          <m:sub>
            <m:r>
              <m:rPr>
                <m:sty m:val="p"/>
              </m:rPr>
              <w:rPr>
                <w:rFonts w:ascii="Cambria Math" w:hAnsi="Cambria Math"/>
              </w:rPr>
              <m:t>R</m:t>
            </m:r>
            <m:ctrlPr>
              <w:rPr>
                <w:rFonts w:ascii="Cambria Math" w:hAnsi="Cambria Math"/>
              </w:rPr>
            </m:ctrlPr>
          </m:sub>
        </m:sSub>
        <m:sSub>
          <m:sSubPr>
            <m:ctrlPr>
              <w:rPr>
                <w:rFonts w:ascii="Cambria Math" w:hAnsi="Cambria Math"/>
              </w:rPr>
            </m:ctrlPr>
          </m:sSubPr>
          <m:e>
            <m:r>
              <m:rPr>
                <m:sty m:val="p"/>
              </m:rPr>
              <w:rPr>
                <w:rFonts w:ascii="Cambria Math" w:hAnsi="Cambria Math"/>
              </w:rPr>
              <m:t>e</m:t>
            </m:r>
            <m:ctrlPr>
              <w:rPr>
                <w:rFonts w:ascii="Cambria Math" w:hAnsi="Cambria Math"/>
              </w:rPr>
            </m:ctrlPr>
          </m:e>
          <m:sub>
            <m:d>
              <m:dPr>
                <m:begChr m:val="{"/>
                <m:endChr m:val="}"/>
                <m:ctrlPr>
                  <w:rPr>
                    <w:rFonts w:ascii="Cambria Math" w:hAnsi="Cambria Math"/>
                  </w:rPr>
                </m:ctrlPr>
              </m:dPr>
              <m:e>
                <m:r>
                  <m:rPr>
                    <m:sty m:val="p"/>
                  </m:rPr>
                  <w:rPr>
                    <w:rFonts w:ascii="Cambria Math" w:hAnsi="Cambria Math"/>
                  </w:rPr>
                  <m:t>R,red</m:t>
                </m:r>
                <m:ctrlPr>
                  <w:rPr>
                    <w:rFonts w:ascii="Cambria Math" w:hAnsi="Cambria Math"/>
                  </w:rPr>
                </m:ctrlPr>
              </m:e>
            </m:d>
            <m:ctrlPr>
              <w:rPr>
                <w:rFonts w:ascii="Cambria Math" w:hAnsi="Cambria Math"/>
              </w:rPr>
            </m:ctrlP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K</m:t>
            </m:r>
            <m:ctrlPr>
              <w:rPr>
                <w:rFonts w:ascii="Cambria Math" w:hAnsi="Cambria Math"/>
              </w:rPr>
            </m:ctrlPr>
          </m:e>
          <m:sub>
            <m:r>
              <m:rPr>
                <m:sty m:val="p"/>
              </m:rPr>
              <w:rPr>
                <w:rFonts w:ascii="Cambria Math" w:hAnsi="Cambria Math"/>
              </w:rPr>
              <m:t>ω</m:t>
            </m:r>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ω</m:t>
                    </m:r>
                    <m:ctrlPr>
                      <w:rPr>
                        <w:rFonts w:ascii="Cambria Math" w:hAnsi="Cambria Math"/>
                      </w:rPr>
                    </m:ctrlPr>
                  </m:e>
                  <m:sub>
                    <m:r>
                      <m:rPr>
                        <m:sty m:val="p"/>
                      </m:rPr>
                      <w:rPr>
                        <w:rFonts w:ascii="Cambria Math" w:hAnsi="Cambria Math"/>
                      </w:rPr>
                      <m:t>x</m:t>
                    </m:r>
                    <m:ctrlPr>
                      <w:rPr>
                        <w:rFonts w:ascii="Cambria Math" w:hAnsi="Cambria Math"/>
                      </w:rPr>
                    </m:ctrlP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ω</m:t>
                    </m:r>
                    <m:ctrlPr>
                      <w:rPr>
                        <w:rFonts w:ascii="Cambria Math" w:hAnsi="Cambria Math"/>
                      </w:rPr>
                    </m:ctrlPr>
                  </m:e>
                  <m:sub>
                    <m:r>
                      <m:rPr>
                        <m:sty m:val="p"/>
                      </m:rPr>
                      <w:rPr>
                        <w:rFonts w:ascii="Cambria Math" w:hAnsi="Cambria Math"/>
                      </w:rPr>
                      <m:t>y</m:t>
                    </m:r>
                    <m:ctrlPr>
                      <w:rPr>
                        <w:rFonts w:ascii="Cambria Math" w:hAnsi="Cambria Math"/>
                      </w:rPr>
                    </m:ctrlPr>
                  </m:sub>
                </m:sSub>
                <m:ctrlPr>
                  <w:rPr>
                    <w:rFonts w:ascii="Cambria Math" w:hAnsi="Cambria Math"/>
                  </w:rPr>
                </m:ctrlPr>
              </m:e>
            </m:d>
            <m:r>
              <m:rPr>
                <m:sty m:val="p"/>
              </m:rPr>
              <w:rPr>
                <w:rFonts w:ascii="Cambria Math" w:hAnsi="Cambria Math"/>
              </w:rPr>
              <m:t>ᵀ</m:t>
            </m:r>
            <m:ctrlPr>
              <w:rPr>
                <w:rFonts w:ascii="Cambria Math" w:hAnsi="Cambria Math"/>
              </w:rPr>
            </m:ctrlPr>
          </m:sub>
        </m:sSub>
      </m:oMath>
      <w:r>
        <w:rPr>
          <w:rFonts w:ascii="Times New Roman" w:hAnsi="Times New Roman" w:eastAsia="宋体" w:cs="Times New Roman"/>
          <w:color w:val="000000"/>
          <w:sz w:val="24"/>
        </w:rPr>
        <w:tab/>
      </w:r>
      <w:r>
        <w:rPr>
          <w:rFonts w:ascii="Times New Roman" w:hAnsi="Times New Roman" w:eastAsia="宋体" w:cs="Times New Roman"/>
          <w:color w:val="000000"/>
          <w:sz w:val="24"/>
        </w:rPr>
        <w:t>(3-4)</w:t>
      </w:r>
    </w:p>
    <w:p w14:paraId="0173DC07">
      <w:pPr>
        <w:pageBreakBefore w:val="0"/>
        <w:spacing w:before="0" w:after="0" w:line="360" w:lineRule="auto"/>
        <w:ind w:firstLine="480"/>
        <w:jc w:val="both"/>
      </w:pPr>
      <w:r>
        <w:rPr>
          <w:rFonts w:ascii="Times New Roman" w:hAnsi="Times New Roman" w:eastAsia="宋体" w:cs="Times New Roman"/>
          <w:b w:val="0"/>
          <w:color w:val="000000"/>
          <w:sz w:val="24"/>
        </w:rPr>
        <w:t>式中KR = 0.013，Kω = 0.003，ωx和ωy为机体系角速度。算法优先保持推力方向，与倾斜优先姿态控制的工程目标相符（Brescianini &amp; D'Andrea, 2020）。官方四旋翼物理模型未提供持续偏航所需的有效控制通道，因此控制器将偏航力矩置零。全文采用“约化姿态yawless”表述，位置、滚转和俯仰控制结论不扩展为完整六自由度偏航跟踪。</w:t>
      </w:r>
    </w:p>
    <w:p w14:paraId="54CCADD1">
      <w:pPr>
        <w:keepNext/>
        <w:pageBreakBefore w:val="0"/>
        <w:spacing w:before="0" w:after="60"/>
        <w:ind w:firstLine="0"/>
        <w:jc w:val="center"/>
      </w:pPr>
      <w:r>
        <w:drawing>
          <wp:inline distT="0" distB="0" distL="0" distR="0">
            <wp:extent cx="5579745" cy="2708910"/>
            <wp:effectExtent l="0" t="0" r="1905" b="15240"/>
            <wp:docPr id="7" name="Picture 10" descr="RA-GCA-CGHTE从参考与状态计算期望合力和约化姿态反馈，经CGHTE推力尺度应用和约束感知分配生成四维电机指令，并输出16维诊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0" descr="RA-GCA-CGHTE从参考与状态计算期望合力和约化姿态反馈，经CGHTE推力尺度应用和约束感知分配生成四维电机指令，并输出16维诊断。"/>
                    <pic:cNvPicPr>
                      <a:picLocks noChangeAspect="1"/>
                    </pic:cNvPicPr>
                  </pic:nvPicPr>
                  <pic:blipFill>
                    <a:blip r:embed="rId18"/>
                    <a:stretch>
                      <a:fillRect/>
                    </a:stretch>
                  </pic:blipFill>
                  <pic:spPr>
                    <a:xfrm>
                      <a:off x="0" y="0"/>
                      <a:ext cx="5580000" cy="2708914"/>
                    </a:xfrm>
                    <a:prstGeom prst="rect">
                      <a:avLst/>
                    </a:prstGeom>
                  </pic:spPr>
                </pic:pic>
              </a:graphicData>
            </a:graphic>
          </wp:inline>
        </w:drawing>
      </w:r>
    </w:p>
    <w:p w14:paraId="4B350A63">
      <w:pPr>
        <w:pStyle w:val="4"/>
        <w:keepNext/>
        <w:pageBreakBefore w:val="0"/>
        <w:spacing w:before="40" w:after="40"/>
        <w:ind w:firstLine="0"/>
        <w:jc w:val="center"/>
      </w:pPr>
      <w:r>
        <w:rPr>
          <w:rFonts w:ascii="Times New Roman" w:hAnsi="Times New Roman" w:eastAsia="宋体" w:cs="Times New Roman"/>
          <w:b/>
          <w:color w:val="000000"/>
          <w:sz w:val="21"/>
        </w:rPr>
        <w:t>图3-3 RA-GCA-CGHTE控制模块与诊断输出</w:t>
      </w:r>
    </w:p>
    <w:p w14:paraId="4CDC46A4">
      <w:pPr>
        <w:pStyle w:val="21"/>
        <w:pageBreakBefore w:val="0"/>
      </w:pPr>
      <w:r>
        <w:rPr>
          <w:rFonts w:ascii="Times New Roman" w:hAnsi="Times New Roman" w:eastAsia="宋体" w:cs="Times New Roman"/>
          <w:b w:val="0"/>
          <w:color w:val="000000"/>
          <w:sz w:val="18"/>
        </w:rPr>
        <w:t>注：原理图依据控制器实际实现和端口顺序绘制；2维输入提供分配上下限，诊断15记录分配器上限。</w:t>
      </w:r>
    </w:p>
    <w:p w14:paraId="398ED0C7">
      <w:pPr>
        <w:pStyle w:val="3"/>
        <w:keepNext/>
        <w:pageBreakBefore w:val="0"/>
        <w:spacing w:before="240" w:after="120"/>
      </w:pPr>
      <w:bookmarkStart w:id="14" w:name="_Toc1422"/>
      <w:r>
        <w:rPr>
          <w:rFonts w:ascii="Times New Roman" w:hAnsi="Times New Roman" w:eastAsia="黑体" w:cs="Times New Roman"/>
          <w:b/>
          <w:color w:val="000000"/>
          <w:sz w:val="26"/>
        </w:rPr>
        <w:t>3.5 约束感知分配与两阶段去饱和</w:t>
      </w:r>
      <w:bookmarkEnd w:id="14"/>
    </w:p>
    <w:p w14:paraId="36EC3BE8">
      <w:pPr>
        <w:pageBreakBefore w:val="0"/>
        <w:spacing w:before="0" w:after="0" w:line="360" w:lineRule="auto"/>
        <w:ind w:firstLine="480"/>
        <w:jc w:val="both"/>
      </w:pPr>
      <w:r>
        <w:rPr>
          <w:rFonts w:ascii="Times New Roman" w:hAnsi="Times New Roman" w:eastAsia="宋体" w:cs="Times New Roman"/>
          <w:color w:val="000000"/>
          <w:sz w:val="24"/>
        </w:rPr>
        <w:t>控制分配将总推力和两轴力矩映射为四个电机平方转速q = [q1, q2, q3, q4]ᵀ。本文采用的混控关系为</w:t>
      </w:r>
    </w:p>
    <w:p w14:paraId="1FC3166A">
      <w:pPr>
        <w:pageBreakBefore w:val="0"/>
        <w:tabs>
          <w:tab w:val="center" w:pos="4250"/>
          <w:tab w:val="right" w:pos="8500"/>
        </w:tabs>
        <w:spacing w:before="0" w:after="60"/>
        <w:ind w:firstLine="0"/>
        <w:jc w:val="left"/>
      </w:pPr>
      <w:r>
        <w:tab/>
      </w:r>
      <m:oMath>
        <m:r>
          <m:rPr>
            <m:sty m:val="p"/>
          </m:rPr>
          <w:rPr>
            <w:rFonts w:ascii="Cambria Math" w:hAnsi="Cambria Math"/>
          </w:rPr>
          <m:t xml:space="preserve">q = A </m:t>
        </m:r>
        <m:sSub>
          <m:sSubPr>
            <m:ctrlPr>
              <w:rPr>
                <w:rFonts w:ascii="Cambria Math" w:hAnsi="Cambria Math"/>
              </w:rPr>
            </m:ctrlPr>
          </m:sSubPr>
          <m:e>
            <m:r>
              <m:rPr>
                <m:sty m:val="p"/>
              </m:rPr>
              <w:rPr>
                <w:rFonts w:ascii="Cambria Math" w:hAnsi="Cambria Math"/>
              </w:rPr>
              <m:t>u</m:t>
            </m:r>
            <m:ctrlPr>
              <w:rPr>
                <w:rFonts w:ascii="Cambria Math" w:hAnsi="Cambria Math"/>
              </w:rPr>
            </m:ctrlPr>
          </m:e>
          <m:sub>
            <m:r>
              <m:rPr>
                <m:sty m:val="p"/>
              </m:rPr>
              <w:rPr>
                <w:rFonts w:ascii="Cambria Math" w:hAnsi="Cambria Math"/>
              </w:rPr>
              <m:t>c</m:t>
            </m:r>
            <m:ctrlPr>
              <w:rPr>
                <w:rFonts w:ascii="Cambria Math" w:hAnsi="Cambria Math"/>
              </w:rPr>
            </m:ctrlP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u</m:t>
            </m:r>
            <m:ctrlPr>
              <w:rPr>
                <w:rFonts w:ascii="Cambria Math" w:hAnsi="Cambria Math"/>
              </w:rPr>
            </m:ctrlPr>
          </m:e>
          <m:sub>
            <m:r>
              <m:rPr>
                <m:sty m:val="p"/>
              </m:rPr>
              <w:rPr>
                <w:rFonts w:ascii="Cambria Math" w:hAnsi="Cambria Math"/>
              </w:rPr>
              <m:t>c</m:t>
            </m:r>
            <m:ctrlPr>
              <w:rPr>
                <w:rFonts w:ascii="Cambria Math" w:hAnsi="Cambria Math"/>
              </w:rPr>
            </m:ctrlPr>
          </m:sub>
        </m:sSub>
        <m:r>
          <m:rPr>
            <m:sty m:val="p"/>
          </m:rPr>
          <w:rPr>
            <w:rFonts w:ascii="Cambria Math" w:hAnsi="Cambria Math"/>
          </w:rPr>
          <m:t xml:space="preserve">= </m:t>
        </m:r>
        <m:d>
          <m:dPr>
            <m:begChr m:val="["/>
            <m:endChr m:val="]"/>
            <m:ctrlPr>
              <w:rPr>
                <w:rFonts w:ascii="Cambria Math" w:hAnsi="Cambria Math"/>
              </w:rPr>
            </m:ctrlPr>
          </m:dPr>
          <m:e>
            <m:r>
              <m:rPr>
                <m:sty m:val="p"/>
              </m:rPr>
              <w:rPr>
                <w:rFonts w:ascii="Cambria Math" w:hAnsi="Cambria Math"/>
              </w:rPr>
              <m:t xml:space="preserve">T, </m:t>
            </m:r>
            <m:sSub>
              <m:sSubPr>
                <m:ctrlPr>
                  <w:rPr>
                    <w:rFonts w:ascii="Cambria Math" w:hAnsi="Cambria Math"/>
                  </w:rPr>
                </m:ctrlPr>
              </m:sSubPr>
              <m:e>
                <m:r>
                  <m:rPr>
                    <m:sty m:val="p"/>
                  </m:rPr>
                  <w:rPr>
                    <w:rFonts w:ascii="Cambria Math" w:hAnsi="Cambria Math"/>
                  </w:rPr>
                  <m:t>τ</m:t>
                </m:r>
                <m:ctrlPr>
                  <w:rPr>
                    <w:rFonts w:ascii="Cambria Math" w:hAnsi="Cambria Math"/>
                  </w:rPr>
                </m:ctrlPr>
              </m:e>
              <m:sub>
                <m:r>
                  <m:rPr>
                    <m:sty m:val="p"/>
                  </m:rPr>
                  <w:rPr>
                    <w:rFonts w:ascii="Cambria Math" w:hAnsi="Cambria Math"/>
                  </w:rPr>
                  <m:t>x</m:t>
                </m:r>
                <m:ctrlPr>
                  <w:rPr>
                    <w:rFonts w:ascii="Cambria Math" w:hAnsi="Cambria Math"/>
                  </w:rPr>
                </m:ctrlP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τ</m:t>
                </m:r>
                <m:ctrlPr>
                  <w:rPr>
                    <w:rFonts w:ascii="Cambria Math" w:hAnsi="Cambria Math"/>
                  </w:rPr>
                </m:ctrlPr>
              </m:e>
              <m:sub>
                <m:r>
                  <m:rPr>
                    <m:sty m:val="p"/>
                  </m:rPr>
                  <w:rPr>
                    <w:rFonts w:ascii="Cambria Math" w:hAnsi="Cambria Math"/>
                  </w:rPr>
                  <m:t>y</m:t>
                </m:r>
                <m:ctrlPr>
                  <w:rPr>
                    <w:rFonts w:ascii="Cambria Math" w:hAnsi="Cambria Math"/>
                  </w:rPr>
                </m:ctrlPr>
              </m:sub>
            </m:sSub>
            <m:ctrlPr>
              <w:rPr>
                <w:rFonts w:ascii="Cambria Math" w:hAnsi="Cambria Math"/>
              </w:rPr>
            </m:ctrlPr>
          </m:e>
        </m:d>
        <m:r>
          <m:rPr>
            <m:sty m:val="p"/>
          </m:rPr>
          <w:rPr>
            <w:rFonts w:ascii="Cambria Math" w:hAnsi="Cambria Math"/>
          </w:rPr>
          <m:t>ᵀ</m:t>
        </m:r>
      </m:oMath>
      <w:r>
        <w:rPr>
          <w:rFonts w:ascii="Times New Roman" w:hAnsi="Times New Roman" w:eastAsia="宋体" w:cs="Times New Roman"/>
          <w:color w:val="000000"/>
          <w:sz w:val="24"/>
        </w:rPr>
        <w:tab/>
      </w:r>
      <w:r>
        <w:rPr>
          <w:rFonts w:ascii="Times New Roman" w:hAnsi="Times New Roman" w:eastAsia="宋体" w:cs="Times New Roman"/>
          <w:color w:val="000000"/>
          <w:sz w:val="24"/>
        </w:rPr>
        <w:t>(3-5)</w:t>
      </w:r>
    </w:p>
    <w:p w14:paraId="1A3F9FE6">
      <w:pPr>
        <w:pageBreakBefore w:val="0"/>
        <w:spacing w:before="0" w:after="0" w:line="360" w:lineRule="auto"/>
        <w:ind w:firstLine="480"/>
        <w:jc w:val="both"/>
      </w:pPr>
      <w:r>
        <w:rPr>
          <w:rFonts w:ascii="Times New Roman" w:hAnsi="Times New Roman" w:eastAsia="宋体" w:cs="Times New Roman"/>
          <w:color w:val="000000"/>
          <w:sz w:val="24"/>
        </w:rPr>
        <w:t>矩阵A的推力列系数均为125，滚转和俯仰列的系数幅值均为2946.028753，符号按四旋翼差动方向排列。分配器从2维输入读取平方转速下界qmin和上界qmax；本次仿真采用0和3600。第一阶段沿公共推力方向加入完整修正δ1，第二阶段对剩余越界量施加0.5倍公共修正δ2。最终指令表示为</w:t>
      </w:r>
    </w:p>
    <w:p w14:paraId="15E607A9">
      <w:pPr>
        <w:pageBreakBefore w:val="0"/>
        <w:tabs>
          <w:tab w:val="center" w:pos="4250"/>
          <w:tab w:val="right" w:pos="8500"/>
        </w:tabs>
        <w:spacing w:before="0" w:after="60"/>
        <w:ind w:firstLine="0"/>
        <w:jc w:val="left"/>
      </w:pPr>
      <w:r>
        <w:tab/>
      </w:r>
      <m:oMath>
        <m:sSubSup>
          <m:sSubSupPr>
            <m:ctrlPr>
              <w:rPr>
                <w:rFonts w:ascii="Cambria Math" w:hAnsi="Cambria Math"/>
              </w:rPr>
            </m:ctrlPr>
          </m:sSubSupPr>
          <m:e>
            <m:r>
              <m:rPr>
                <m:sty m:val="p"/>
              </m:rPr>
              <w:rPr>
                <w:rFonts w:ascii="Cambria Math" w:hAnsi="Cambria Math"/>
              </w:rPr>
              <m:t>q</m:t>
            </m:r>
            <m:ctrlPr>
              <w:rPr>
                <w:rFonts w:ascii="Cambria Math" w:hAnsi="Cambria Math"/>
              </w:rPr>
            </m:ctrlPr>
          </m:e>
          <m:sub>
            <m:r>
              <m:rPr>
                <m:sty m:val="p"/>
              </m:rPr>
              <w:rPr>
                <w:rFonts w:ascii="Cambria Math" w:hAnsi="Cambria Math"/>
              </w:rPr>
              <m:t>i</m:t>
            </m:r>
            <m:ctrlPr>
              <w:rPr>
                <w:rFonts w:ascii="Cambria Math" w:hAnsi="Cambria Math"/>
              </w:rPr>
            </m:ctrlPr>
          </m:sub>
          <m:sup>
            <m:r>
              <m:rPr>
                <m:sty m:val="p"/>
              </m:rPr>
              <w:rPr>
                <w:rFonts w:ascii="Cambria Math" w:hAnsi="Cambria Math"/>
              </w:rPr>
              <m:t>∗</m:t>
            </m:r>
            <m:ctrlPr>
              <w:rPr>
                <w:rFonts w:ascii="Cambria Math" w:hAnsi="Cambria Math"/>
              </w:rPr>
            </m:ctrlPr>
          </m:sup>
        </m:sSubSup>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sat</m:t>
            </m:r>
            <m:ctrlPr>
              <w:rPr>
                <w:rFonts w:ascii="Cambria Math" w:hAnsi="Cambria Math"/>
              </w:rPr>
            </m:ctrlPr>
          </m:e>
          <m:sub>
            <m:d>
              <m:dPr>
                <m:begChr m:val="["/>
                <m:endChr m:val="]"/>
                <m:ctrlPr>
                  <w:rPr>
                    <w:rFonts w:ascii="Cambria Math" w:hAnsi="Cambria Math"/>
                  </w:rPr>
                </m:ctrlPr>
              </m:dPr>
              <m:e>
                <m:r>
                  <m:rPr>
                    <m:sty m:val="p"/>
                  </m:rPr>
                  <w:rPr>
                    <w:rFonts w:ascii="Cambria Math" w:hAnsi="Cambria Math"/>
                  </w:rPr>
                  <m:t>0,3600</m:t>
                </m:r>
                <m:ctrlPr>
                  <w:rPr>
                    <w:rFonts w:ascii="Cambria Math" w:hAnsi="Cambria Math"/>
                  </w:rPr>
                </m:ctrlPr>
              </m:e>
            </m:d>
            <m:d>
              <m:dPr>
                <m:ctrlPr>
                  <w:rPr>
                    <w:rFonts w:ascii="Cambria Math" w:hAnsi="Cambria Math"/>
                  </w:rPr>
                </m:ctrlPr>
              </m:dPr>
              <m:e>
                <m:sSub>
                  <m:sSubPr>
                    <m:ctrlPr>
                      <w:rPr>
                        <w:rFonts w:ascii="Cambria Math" w:hAnsi="Cambria Math"/>
                      </w:rPr>
                    </m:ctrlPr>
                  </m:sSubPr>
                  <m:e>
                    <m:r>
                      <m:rPr>
                        <m:sty m:val="p"/>
                      </m:rPr>
                      <w:rPr>
                        <w:rFonts w:ascii="Cambria Math" w:hAnsi="Cambria Math"/>
                      </w:rPr>
                      <m:t>q</m:t>
                    </m:r>
                    <m:ctrlPr>
                      <w:rPr>
                        <w:rFonts w:ascii="Cambria Math" w:hAnsi="Cambria Math"/>
                      </w:rPr>
                    </m:ctrlPr>
                  </m:e>
                  <m:sub>
                    <m:r>
                      <m:rPr>
                        <m:sty m:val="p"/>
                      </m:rPr>
                      <w:rPr>
                        <w:rFonts w:ascii="Cambria Math" w:hAnsi="Cambria Math"/>
                      </w:rPr>
                      <m:t>i</m:t>
                    </m:r>
                    <m:ctrlPr>
                      <w:rPr>
                        <w:rFonts w:ascii="Cambria Math" w:hAnsi="Cambria Math"/>
                      </w:rPr>
                    </m:ctrlP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δ</m:t>
                    </m:r>
                    <m:ctrlPr>
                      <w:rPr>
                        <w:rFonts w:ascii="Cambria Math" w:hAnsi="Cambria Math"/>
                      </w:rPr>
                    </m:ctrlPr>
                  </m:e>
                  <m:sub>
                    <m:r>
                      <m:rPr>
                        <m:sty m:val="p"/>
                      </m:rPr>
                      <w:rPr>
                        <w:rFonts w:ascii="Cambria Math" w:hAnsi="Cambria Math"/>
                      </w:rPr>
                      <m:t>1</m:t>
                    </m:r>
                    <m:ctrlPr>
                      <w:rPr>
                        <w:rFonts w:ascii="Cambria Math" w:hAnsi="Cambria Math"/>
                      </w:rPr>
                    </m:ctrlP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δ</m:t>
                    </m:r>
                    <m:ctrlPr>
                      <w:rPr>
                        <w:rFonts w:ascii="Cambria Math" w:hAnsi="Cambria Math"/>
                      </w:rPr>
                    </m:ctrlPr>
                  </m:e>
                  <m:sub>
                    <m:r>
                      <m:rPr>
                        <m:sty m:val="p"/>
                      </m:rPr>
                      <w:rPr>
                        <w:rFonts w:ascii="Cambria Math" w:hAnsi="Cambria Math"/>
                      </w:rPr>
                      <m:t>2</m:t>
                    </m:r>
                    <m:ctrlPr>
                      <w:rPr>
                        <w:rFonts w:ascii="Cambria Math" w:hAnsi="Cambria Math"/>
                      </w:rPr>
                    </m:ctrlPr>
                  </m:sub>
                </m:sSub>
                <m:ctrlPr>
                  <w:rPr>
                    <w:rFonts w:ascii="Cambria Math" w:hAnsi="Cambria Math"/>
                  </w:rPr>
                </m:ctrlPr>
              </m:e>
            </m:d>
            <m:ctrlPr>
              <w:rPr>
                <w:rFonts w:ascii="Cambria Math" w:hAnsi="Cambria Math"/>
              </w:rPr>
            </m:ctrlPr>
          </m:sub>
        </m:sSub>
        <m:r>
          <m:rPr>
            <m:sty m:val="p"/>
          </m:rPr>
          <w:rPr>
            <w:rFonts w:ascii="Cambria Math" w:hAnsi="Cambria Math"/>
          </w:rPr>
          <m:t>,    i = 1,…,4</m:t>
        </m:r>
      </m:oMath>
      <w:r>
        <w:rPr>
          <w:rFonts w:ascii="Times New Roman" w:hAnsi="Times New Roman" w:eastAsia="宋体" w:cs="Times New Roman"/>
          <w:color w:val="000000"/>
          <w:sz w:val="24"/>
        </w:rPr>
        <w:tab/>
      </w:r>
      <w:r>
        <w:rPr>
          <w:rFonts w:ascii="Times New Roman" w:hAnsi="Times New Roman" w:eastAsia="宋体" w:cs="Times New Roman"/>
          <w:color w:val="000000"/>
          <w:sz w:val="24"/>
        </w:rPr>
        <w:t>(3-6)</w:t>
      </w:r>
    </w:p>
    <w:p w14:paraId="34C08E5A">
      <w:pPr>
        <w:pageBreakBefore w:val="0"/>
        <w:spacing w:before="0" w:after="0" w:line="360" w:lineRule="auto"/>
        <w:ind w:firstLine="480"/>
        <w:jc w:val="both"/>
      </w:pPr>
      <w:r>
        <w:rPr>
          <w:rFonts w:ascii="Times New Roman" w:hAnsi="Times New Roman" w:eastAsia="宋体" w:cs="Times New Roman"/>
          <w:b w:val="0"/>
          <w:color w:val="000000"/>
          <w:sz w:val="24"/>
        </w:rPr>
        <w:t>公共量调整优先保留滚转和俯仰差动分量，并减少逐电机独立裁剪对期望力矩的破坏。这一结构属于约束控制分配的工程实现（Johansen &amp; Fossen, 2013）。诊断1-10依次输出三个期望力分量、三轴力矩（偏航力矩恒为0）、分配残差、裁剪电机数、位置误差范数和姿态误差范数。标准测试中去饱和环节尚未触发，本章仅说明其实现方法。</w:t>
      </w:r>
    </w:p>
    <w:p w14:paraId="5A21CFC3">
      <w:pPr>
        <w:pStyle w:val="3"/>
        <w:keepNext/>
        <w:pageBreakBefore w:val="0"/>
        <w:spacing w:before="240" w:after="120"/>
      </w:pPr>
      <w:bookmarkStart w:id="15" w:name="_Toc4567"/>
      <w:r>
        <w:rPr>
          <w:rFonts w:ascii="Times New Roman" w:hAnsi="Times New Roman" w:eastAsia="黑体" w:cs="Times New Roman"/>
          <w:b/>
          <w:color w:val="000000"/>
          <w:sz w:val="26"/>
        </w:rPr>
        <w:t>3.6 CGHTE推力估计增强</w:t>
      </w:r>
      <w:bookmarkEnd w:id="15"/>
    </w:p>
    <w:p w14:paraId="5E2C471A">
      <w:pPr>
        <w:pageBreakBefore w:val="0"/>
        <w:spacing w:before="0" w:after="0" w:line="360" w:lineRule="auto"/>
        <w:ind w:firstLine="480"/>
        <w:jc w:val="both"/>
      </w:pPr>
      <w:r>
        <w:rPr>
          <w:rFonts w:ascii="Times New Roman" w:hAnsi="Times New Roman" w:eastAsia="宋体" w:cs="Times New Roman"/>
          <w:b w:val="0"/>
          <w:color w:val="000000"/>
          <w:sz w:val="24"/>
        </w:rPr>
        <w:t>CGHTE位于RA-GCA的推力计算部分。控制器对垂向速度作差分，将原始垂向加速度限制在±15 m/s²，并采用0.2倍前一滤波值与0.8倍当前测量值形成离散滤波结果：</w:t>
      </w:r>
    </w:p>
    <w:p w14:paraId="63B0936C">
      <w:pPr>
        <w:pageBreakBefore w:val="0"/>
        <w:tabs>
          <w:tab w:val="center" w:pos="4250"/>
          <w:tab w:val="right" w:pos="8500"/>
        </w:tabs>
        <w:spacing w:before="0" w:after="60"/>
        <w:ind w:firstLine="0"/>
        <w:jc w:val="left"/>
      </w:pPr>
      <w:r>
        <w:tab/>
      </w:r>
      <m:oMath>
        <m:sSubSup>
          <m:sSubSupPr>
            <m:ctrlPr>
              <w:rPr>
                <w:rFonts w:ascii="Cambria Math" w:hAnsi="Cambria Math"/>
              </w:rPr>
            </m:ctrlPr>
          </m:sSubSupPr>
          <m:e>
            <m:r>
              <m:rPr>
                <m:sty m:val="p"/>
              </m:rPr>
              <w:rPr>
                <w:rFonts w:ascii="Cambria Math" w:hAnsi="Cambria Math"/>
              </w:rPr>
              <m:t>a</m:t>
            </m:r>
            <m:ctrlPr>
              <w:rPr>
                <w:rFonts w:ascii="Cambria Math" w:hAnsi="Cambria Math"/>
              </w:rPr>
            </m:ctrlPr>
          </m:e>
          <m:sub>
            <m:r>
              <m:rPr>
                <m:sty m:val="p"/>
              </m:rPr>
              <w:rPr>
                <w:rFonts w:ascii="Cambria Math" w:hAnsi="Cambria Math"/>
              </w:rPr>
              <m:t>z,k</m:t>
            </m:r>
            <m:ctrlPr>
              <w:rPr>
                <w:rFonts w:ascii="Cambria Math" w:hAnsi="Cambria Math"/>
              </w:rPr>
            </m:ctrlPr>
          </m:sub>
          <m:sup>
            <m:r>
              <m:rPr>
                <m:sty m:val="p"/>
              </m:rPr>
              <w:rPr>
                <w:rFonts w:ascii="Cambria Math" w:hAnsi="Cambria Math"/>
              </w:rPr>
              <m:t>m</m:t>
            </m:r>
            <m:ctrlPr>
              <w:rPr>
                <w:rFonts w:ascii="Cambria Math" w:hAnsi="Cambria Math"/>
              </w:rPr>
            </m:ctrlPr>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sat</m:t>
            </m:r>
            <m:ctrlPr>
              <w:rPr>
                <w:rFonts w:ascii="Cambria Math" w:hAnsi="Cambria Math"/>
              </w:rPr>
            </m:ctrlPr>
          </m:e>
          <m:sub>
            <m:d>
              <m:dPr>
                <m:ctrlPr>
                  <w:rPr>
                    <w:rFonts w:ascii="Cambria Math" w:hAnsi="Cambria Math"/>
                  </w:rPr>
                </m:ctrlPr>
              </m:dPr>
              <m:e>
                <m:d>
                  <m:dPr>
                    <m:begChr m:val="["/>
                    <m:endChr m:val="]"/>
                    <m:ctrlPr>
                      <w:rPr>
                        <w:rFonts w:ascii="Cambria Math" w:hAnsi="Cambria Math"/>
                      </w:rPr>
                    </m:ctrlPr>
                  </m:dPr>
                  <m:e>
                    <m:r>
                      <m:rPr>
                        <m:sty m:val="p"/>
                      </m:rPr>
                      <w:rPr>
                        <w:rFonts w:ascii="Cambria Math" w:hAnsi="Cambria Math"/>
                      </w:rPr>
                      <m:t>−15,15</m:t>
                    </m:r>
                    <m:ctrlPr>
                      <w:rPr>
                        <w:rFonts w:ascii="Cambria Math" w:hAnsi="Cambria Math"/>
                      </w:rPr>
                    </m:ctrlPr>
                  </m:e>
                </m:d>
                <m:ctrlPr>
                  <w:rPr>
                    <w:rFonts w:ascii="Cambria Math" w:hAnsi="Cambria Math"/>
                  </w:rPr>
                </m:ctrlPr>
              </m:e>
            </m:d>
            <m:d>
              <m:dPr>
                <m:ctrlPr>
                  <w:rPr>
                    <w:rFonts w:ascii="Cambria Math" w:hAnsi="Cambria Math"/>
                  </w:rPr>
                </m:ctrlPr>
              </m:dPr>
              <m:e>
                <m:f>
                  <m:fPr>
                    <m:ctrlPr>
                      <w:rPr>
                        <w:rFonts w:ascii="Cambria Math" w:hAnsi="Cambria Math"/>
                      </w:rPr>
                    </m:ctrlPr>
                  </m:fPr>
                  <m:num>
                    <m:sSub>
                      <m:sSubPr>
                        <m:ctrlPr>
                          <w:rPr>
                            <w:rFonts w:ascii="Cambria Math" w:hAnsi="Cambria Math"/>
                          </w:rPr>
                        </m:ctrlPr>
                      </m:sSubPr>
                      <m:e>
                        <m:r>
                          <m:rPr>
                            <m:sty m:val="p"/>
                          </m:rPr>
                          <w:rPr>
                            <w:rFonts w:ascii="Cambria Math" w:hAnsi="Cambria Math"/>
                          </w:rPr>
                          <m:t>v</m:t>
                        </m:r>
                        <m:ctrlPr>
                          <w:rPr>
                            <w:rFonts w:ascii="Cambria Math" w:hAnsi="Cambria Math"/>
                          </w:rPr>
                        </m:ctrlPr>
                      </m:e>
                      <m:sub>
                        <m:r>
                          <m:rPr>
                            <m:sty m:val="p"/>
                          </m:rPr>
                          <w:rPr>
                            <w:rFonts w:ascii="Cambria Math" w:hAnsi="Cambria Math"/>
                          </w:rPr>
                          <m:t>z,k</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v</m:t>
                        </m:r>
                        <m:ctrlPr>
                          <w:rPr>
                            <w:rFonts w:ascii="Cambria Math" w:hAnsi="Cambria Math"/>
                          </w:rPr>
                        </m:ctrlPr>
                      </m:e>
                      <m:sub>
                        <m:r>
                          <m:rPr>
                            <m:sty m:val="p"/>
                          </m:rPr>
                          <w:rPr>
                            <w:rFonts w:ascii="Cambria Math" w:hAnsi="Cambria Math"/>
                          </w:rPr>
                          <m:t>z,k−1</m:t>
                        </m:r>
                        <m:ctrlPr>
                          <w:rPr>
                            <w:rFonts w:ascii="Cambria Math" w:hAnsi="Cambria Math"/>
                          </w:rPr>
                        </m:ctrlPr>
                      </m:sub>
                    </m:sSub>
                    <m:ctrlPr>
                      <w:rPr>
                        <w:rFonts w:ascii="Cambria Math" w:hAnsi="Cambria Math"/>
                      </w:rPr>
                    </m:ctrlPr>
                  </m:num>
                  <m:den>
                    <m:sSub>
                      <m:sSubPr>
                        <m:ctrlPr>
                          <w:rPr>
                            <w:rFonts w:ascii="Cambria Math" w:hAnsi="Cambria Math"/>
                          </w:rPr>
                        </m:ctrlPr>
                      </m:sSubPr>
                      <m:e>
                        <m:r>
                          <m:rPr>
                            <m:sty m:val="p"/>
                          </m:rPr>
                          <w:rPr>
                            <w:rFonts w:ascii="Cambria Math" w:hAnsi="Cambria Math"/>
                          </w:rPr>
                          <m:t>T</m:t>
                        </m:r>
                        <m:ctrlPr>
                          <w:rPr>
                            <w:rFonts w:ascii="Cambria Math" w:hAnsi="Cambria Math"/>
                          </w:rPr>
                        </m:ctrlPr>
                      </m:e>
                      <m:sub>
                        <m:r>
                          <m:rPr>
                            <m:sty m:val="p"/>
                          </m:rPr>
                          <w:rPr>
                            <w:rFonts w:ascii="Cambria Math" w:hAnsi="Cambria Math"/>
                          </w:rPr>
                          <m:t>s</m:t>
                        </m:r>
                        <m:ctrlPr>
                          <w:rPr>
                            <w:rFonts w:ascii="Cambria Math" w:hAnsi="Cambria Math"/>
                          </w:rPr>
                        </m:ctrlPr>
                      </m:sub>
                    </m:sSub>
                    <m:ctrlPr>
                      <w:rPr>
                        <w:rFonts w:ascii="Cambria Math" w:hAnsi="Cambria Math"/>
                      </w:rPr>
                    </m:ctrlPr>
                  </m:den>
                </m:f>
                <m:ctrlPr>
                  <w:rPr>
                    <w:rFonts w:ascii="Cambria Math" w:hAnsi="Cambria Math"/>
                  </w:rPr>
                </m:ctrlPr>
              </m:e>
            </m:d>
            <m:ctrlPr>
              <w:rPr>
                <w:rFonts w:ascii="Cambria Math" w:hAnsi="Cambria Math"/>
              </w:rPr>
            </m:ctrlPr>
          </m:sub>
        </m:sSub>
        <m:r>
          <m:rPr>
            <m:sty m:val="p"/>
          </m:rPr>
          <w:rPr>
            <w:rFonts w:ascii="Cambria Math" w:hAnsi="Cambria Math"/>
          </w:rPr>
          <m:t xml:space="preserve">,    </m:t>
        </m:r>
        <m:sSubSup>
          <m:sSubSupPr>
            <m:ctrlPr>
              <w:rPr>
                <w:rFonts w:ascii="Cambria Math" w:hAnsi="Cambria Math"/>
              </w:rPr>
            </m:ctrlPr>
          </m:sSubSupPr>
          <m:e>
            <m:r>
              <m:rPr>
                <m:sty m:val="p"/>
              </m:rPr>
              <w:rPr>
                <w:rFonts w:ascii="Cambria Math" w:hAnsi="Cambria Math"/>
              </w:rPr>
              <m:t>a</m:t>
            </m:r>
            <m:ctrlPr>
              <w:rPr>
                <w:rFonts w:ascii="Cambria Math" w:hAnsi="Cambria Math"/>
              </w:rPr>
            </m:ctrlPr>
          </m:e>
          <m:sub>
            <m:r>
              <m:rPr>
                <m:sty m:val="p"/>
              </m:rPr>
              <w:rPr>
                <w:rFonts w:ascii="Cambria Math" w:hAnsi="Cambria Math"/>
              </w:rPr>
              <m:t>z,k</m:t>
            </m:r>
            <m:ctrlPr>
              <w:rPr>
                <w:rFonts w:ascii="Cambria Math" w:hAnsi="Cambria Math"/>
              </w:rPr>
            </m:ctrlPr>
          </m:sub>
          <m:sup>
            <m:r>
              <m:rPr>
                <m:sty m:val="p"/>
              </m:rPr>
              <w:rPr>
                <w:rFonts w:ascii="Cambria Math" w:hAnsi="Cambria Math"/>
              </w:rPr>
              <m:t>f</m:t>
            </m:r>
            <m:ctrlPr>
              <w:rPr>
                <w:rFonts w:ascii="Cambria Math" w:hAnsi="Cambria Math"/>
              </w:rPr>
            </m:ctrlP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0.2a</m:t>
            </m:r>
            <m:ctrlPr>
              <w:rPr>
                <w:rFonts w:ascii="Cambria Math" w:hAnsi="Cambria Math"/>
              </w:rPr>
            </m:ctrlPr>
          </m:e>
          <m:sub>
            <m:r>
              <m:rPr>
                <m:sty m:val="p"/>
              </m:rPr>
              <w:rPr>
                <w:rFonts w:ascii="Cambria Math" w:hAnsi="Cambria Math"/>
              </w:rPr>
              <m:t>z,k−1</m:t>
            </m:r>
            <m:ctrlPr>
              <w:rPr>
                <w:rFonts w:ascii="Cambria Math" w:hAnsi="Cambria Math"/>
              </w:rPr>
            </m:ctrlPr>
          </m:sub>
          <m:sup>
            <m:r>
              <m:rPr>
                <m:sty m:val="p"/>
              </m:rPr>
              <w:rPr>
                <w:rFonts w:ascii="Cambria Math" w:hAnsi="Cambria Math"/>
              </w:rPr>
              <m:t>f</m:t>
            </m:r>
            <m:ctrlPr>
              <w:rPr>
                <w:rFonts w:ascii="Cambria Math" w:hAnsi="Cambria Math"/>
              </w:rPr>
            </m:ctrlP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0.8a</m:t>
            </m:r>
            <m:ctrlPr>
              <w:rPr>
                <w:rFonts w:ascii="Cambria Math" w:hAnsi="Cambria Math"/>
              </w:rPr>
            </m:ctrlPr>
          </m:e>
          <m:sub>
            <m:r>
              <m:rPr>
                <m:sty m:val="p"/>
              </m:rPr>
              <w:rPr>
                <w:rFonts w:ascii="Cambria Math" w:hAnsi="Cambria Math"/>
              </w:rPr>
              <m:t>z,k</m:t>
            </m:r>
            <m:ctrlPr>
              <w:rPr>
                <w:rFonts w:ascii="Cambria Math" w:hAnsi="Cambria Math"/>
              </w:rPr>
            </m:ctrlPr>
          </m:sub>
          <m:sup>
            <m:r>
              <m:rPr>
                <m:sty m:val="p"/>
              </m:rPr>
              <w:rPr>
                <w:rFonts w:ascii="Cambria Math" w:hAnsi="Cambria Math"/>
              </w:rPr>
              <m:t>m</m:t>
            </m:r>
            <m:ctrlPr>
              <w:rPr>
                <w:rFonts w:ascii="Cambria Math" w:hAnsi="Cambria Math"/>
              </w:rPr>
            </m:ctrlPr>
          </m:sup>
        </m:sSubSup>
      </m:oMath>
      <w:r>
        <w:rPr>
          <w:rFonts w:ascii="Times New Roman" w:hAnsi="Times New Roman" w:eastAsia="宋体" w:cs="Times New Roman"/>
          <w:color w:val="000000"/>
          <w:sz w:val="24"/>
        </w:rPr>
        <w:tab/>
      </w:r>
      <w:r>
        <w:rPr>
          <w:rFonts w:ascii="Times New Roman" w:hAnsi="Times New Roman" w:eastAsia="宋体" w:cs="Times New Roman"/>
          <w:color w:val="000000"/>
          <w:sz w:val="24"/>
        </w:rPr>
        <w:t>(3-7)</w:t>
      </w:r>
    </w:p>
    <w:p w14:paraId="0814946B">
      <w:pPr>
        <w:pageBreakBefore w:val="0"/>
        <w:spacing w:before="0" w:after="0" w:line="360" w:lineRule="auto"/>
        <w:ind w:firstLine="480"/>
        <w:jc w:val="both"/>
      </w:pPr>
      <w:r>
        <w:rPr>
          <w:rFonts w:ascii="Times New Roman" w:hAnsi="Times New Roman" w:eastAsia="宋体" w:cs="Times New Roman"/>
          <w:color w:val="000000"/>
          <w:sz w:val="24"/>
        </w:rPr>
        <w:t>上一周期实际分配推力T与当前尺度估计ŝ进入测量模型。预测垂向加速度与滤波测量之差构成创新ν，创新协方差S用于归一化：</w:t>
      </w:r>
    </w:p>
    <w:p w14:paraId="188E7BDB">
      <w:pPr>
        <w:pageBreakBefore w:val="0"/>
        <w:tabs>
          <w:tab w:val="center" w:pos="4250"/>
          <w:tab w:val="right" w:pos="8500"/>
        </w:tabs>
        <w:spacing w:before="0" w:after="60"/>
        <w:ind w:firstLine="0"/>
        <w:jc w:val="left"/>
      </w:pPr>
      <w:r>
        <w:tab/>
      </w:r>
      <m:oMath>
        <m:sSub>
          <m:sSubPr>
            <m:ctrlPr>
              <w:rPr>
                <w:rFonts w:ascii="Cambria Math" w:hAnsi="Cambria Math"/>
              </w:rPr>
            </m:ctrlPr>
          </m:sSubPr>
          <m:e>
            <m:acc>
              <m:accPr>
                <m:ctrlPr>
                  <w:rPr>
                    <w:rFonts w:ascii="Cambria Math" w:hAnsi="Cambria Math"/>
                  </w:rPr>
                </m:ctrlPr>
              </m:accPr>
              <m:e>
                <m:r>
                  <m:rPr>
                    <m:sty m:val="p"/>
                  </m:rPr>
                  <w:rPr>
                    <w:rFonts w:ascii="Cambria Math" w:hAnsi="Cambria Math"/>
                  </w:rPr>
                  <m:t>a</m:t>
                </m:r>
                <m:ctrlPr>
                  <w:rPr>
                    <w:rFonts w:ascii="Cambria Math" w:hAnsi="Cambria Math"/>
                  </w:rPr>
                </m:ctrlPr>
              </m:e>
            </m:acc>
            <m:ctrlPr>
              <w:rPr>
                <w:rFonts w:ascii="Cambria Math" w:hAnsi="Cambria Math"/>
              </w:rPr>
            </m:ctrlPr>
          </m:e>
          <m:sub>
            <m:r>
              <m:rPr>
                <m:sty m:val="p"/>
              </m:rPr>
              <w:rPr>
                <w:rFonts w:ascii="Cambria Math" w:hAnsi="Cambria Math"/>
              </w:rPr>
              <m:t>z,k</m:t>
            </m:r>
            <m:ctrlPr>
              <w:rPr>
                <w:rFonts w:ascii="Cambria Math" w:hAnsi="Cambria Math"/>
              </w:rPr>
            </m:ctrlP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T</m:t>
                </m:r>
                <m:ctrlPr>
                  <w:rPr>
                    <w:rFonts w:ascii="Cambria Math" w:hAnsi="Cambria Math"/>
                  </w:rPr>
                </m:ctrlPr>
              </m:e>
              <m:sub>
                <m:r>
                  <m:rPr>
                    <m:sty m:val="p"/>
                  </m:rPr>
                  <w:rPr>
                    <w:rFonts w:ascii="Cambria Math" w:hAnsi="Cambria Math"/>
                  </w:rPr>
                  <m:t>k−1</m:t>
                </m:r>
                <m:ctrlPr>
                  <w:rPr>
                    <w:rFonts w:ascii="Cambria Math" w:hAnsi="Cambria Math"/>
                  </w:rPr>
                </m:ctrlPr>
              </m:sub>
            </m:sSub>
            <m:ctrlPr>
              <w:rPr>
                <w:rFonts w:ascii="Cambria Math" w:hAnsi="Cambria Math"/>
              </w:rPr>
            </m:ctrlPr>
          </m:num>
          <m:den>
            <m:r>
              <m:rPr>
                <m:sty m:val="p"/>
              </m:rPr>
              <w:rPr>
                <w:rFonts w:ascii="Cambria Math" w:hAnsi="Cambria Math"/>
              </w:rPr>
              <m:t>m</m:t>
            </m:r>
            <m:sSub>
              <m:sSubPr>
                <m:ctrlPr>
                  <w:rPr>
                    <w:rFonts w:ascii="Cambria Math" w:hAnsi="Cambria Math"/>
                  </w:rPr>
                </m:ctrlPr>
              </m:sSubPr>
              <m:e>
                <m:r>
                  <m:rPr>
                    <m:sty m:val="p"/>
                  </m:rPr>
                  <w:rPr>
                    <w:rFonts w:ascii="Cambria Math" w:hAnsi="Cambria Math"/>
                  </w:rPr>
                  <m:t>ŝ</m:t>
                </m:r>
                <m:ctrlPr>
                  <w:rPr>
                    <w:rFonts w:ascii="Cambria Math" w:hAnsi="Cambria Math"/>
                  </w:rPr>
                </m:ctrlPr>
              </m:e>
              <m:sub>
                <m:r>
                  <m:rPr>
                    <m:sty m:val="p"/>
                  </m:rPr>
                  <w:rPr>
                    <w:rFonts w:ascii="Cambria Math" w:hAnsi="Cambria Math"/>
                  </w:rPr>
                  <m:t>k−1</m:t>
                </m:r>
                <m:ctrlPr>
                  <w:rPr>
                    <w:rFonts w:ascii="Cambria Math" w:hAnsi="Cambria Math"/>
                  </w:rPr>
                </m:ctrlPr>
              </m:sub>
            </m:sSub>
            <m:ctrlPr>
              <w:rPr>
                <w:rFonts w:ascii="Cambria Math" w:hAnsi="Cambria Math"/>
              </w:rPr>
            </m:ctrlPr>
          </m:den>
        </m:f>
        <m:r>
          <m:rPr>
            <m:sty m:val="p"/>
          </m:rPr>
          <w:rPr>
            <w:rFonts w:ascii="Cambria Math" w:hAnsi="Cambria Math"/>
          </w:rPr>
          <m:t xml:space="preserve">−g,    </m:t>
        </m:r>
        <m:sSub>
          <m:sSubPr>
            <m:ctrlPr>
              <w:rPr>
                <w:rFonts w:ascii="Cambria Math" w:hAnsi="Cambria Math"/>
              </w:rPr>
            </m:ctrlPr>
          </m:sSubPr>
          <m:e>
            <m:r>
              <m:rPr>
                <m:sty m:val="p"/>
              </m:rPr>
              <w:rPr>
                <w:rFonts w:ascii="Cambria Math" w:hAnsi="Cambria Math"/>
              </w:rPr>
              <m:t>ν</m:t>
            </m:r>
            <m:ctrlPr>
              <w:rPr>
                <w:rFonts w:ascii="Cambria Math" w:hAnsi="Cambria Math"/>
              </w:rPr>
            </m:ctrlPr>
          </m:e>
          <m:sub>
            <m:r>
              <m:rPr>
                <m:sty m:val="p"/>
              </m:rPr>
              <w:rPr>
                <w:rFonts w:ascii="Cambria Math" w:hAnsi="Cambria Math"/>
              </w:rPr>
              <m:t>k</m:t>
            </m:r>
            <m:ctrlPr>
              <w:rPr>
                <w:rFonts w:ascii="Cambria Math" w:hAnsi="Cambria Math"/>
              </w:rPr>
            </m:ctrlPr>
          </m:sub>
        </m:sSub>
        <m:r>
          <m:rPr>
            <m:sty m:val="p"/>
          </m:rPr>
          <w:rPr>
            <w:rFonts w:ascii="Cambria Math" w:hAnsi="Cambria Math"/>
          </w:rPr>
          <m:t>=</m:t>
        </m:r>
        <m:sSubSup>
          <m:sSubSupPr>
            <m:ctrlPr>
              <w:rPr>
                <w:rFonts w:ascii="Cambria Math" w:hAnsi="Cambria Math"/>
              </w:rPr>
            </m:ctrlPr>
          </m:sSubSupPr>
          <m:e>
            <m:r>
              <m:rPr>
                <m:sty m:val="p"/>
              </m:rPr>
              <w:rPr>
                <w:rFonts w:ascii="Cambria Math" w:hAnsi="Cambria Math"/>
              </w:rPr>
              <m:t>a</m:t>
            </m:r>
            <m:ctrlPr>
              <w:rPr>
                <w:rFonts w:ascii="Cambria Math" w:hAnsi="Cambria Math"/>
              </w:rPr>
            </m:ctrlPr>
          </m:e>
          <m:sub>
            <m:r>
              <m:rPr>
                <m:sty m:val="p"/>
              </m:rPr>
              <w:rPr>
                <w:rFonts w:ascii="Cambria Math" w:hAnsi="Cambria Math"/>
              </w:rPr>
              <m:t>z,k</m:t>
            </m:r>
            <m:ctrlPr>
              <w:rPr>
                <w:rFonts w:ascii="Cambria Math" w:hAnsi="Cambria Math"/>
              </w:rPr>
            </m:ctrlPr>
          </m:sub>
          <m:sup>
            <m:r>
              <m:rPr>
                <m:sty m:val="p"/>
              </m:rPr>
              <w:rPr>
                <w:rFonts w:ascii="Cambria Math" w:hAnsi="Cambria Math"/>
              </w:rPr>
              <m:t>f</m:t>
            </m:r>
            <m:ctrlPr>
              <w:rPr>
                <w:rFonts w:ascii="Cambria Math" w:hAnsi="Cambria Math"/>
              </w:rPr>
            </m:ctrlPr>
          </m:sup>
        </m:sSubSup>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sty m:val="p"/>
                  </m:rPr>
                  <w:rPr>
                    <w:rFonts w:ascii="Cambria Math" w:hAnsi="Cambria Math"/>
                  </w:rPr>
                  <m:t>a</m:t>
                </m:r>
                <m:ctrlPr>
                  <w:rPr>
                    <w:rFonts w:ascii="Cambria Math" w:hAnsi="Cambria Math"/>
                  </w:rPr>
                </m:ctrlPr>
              </m:e>
            </m:acc>
            <m:ctrlPr>
              <w:rPr>
                <w:rFonts w:ascii="Cambria Math" w:hAnsi="Cambria Math"/>
              </w:rPr>
            </m:ctrlPr>
          </m:e>
          <m:sub>
            <m:r>
              <m:rPr>
                <m:sty m:val="p"/>
              </m:rPr>
              <w:rPr>
                <w:rFonts w:ascii="Cambria Math" w:hAnsi="Cambria Math"/>
              </w:rPr>
              <m:t>z,k</m:t>
            </m:r>
            <m:ctrlPr>
              <w:rPr>
                <w:rFonts w:ascii="Cambria Math" w:hAnsi="Cambria Math"/>
              </w:rPr>
            </m:ctrlP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η</m:t>
            </m:r>
            <m:ctrlPr>
              <w:rPr>
                <w:rFonts w:ascii="Cambria Math" w:hAnsi="Cambria Math"/>
              </w:rPr>
            </m:ctrlPr>
          </m:e>
          <m:sub>
            <m:r>
              <m:rPr>
                <m:sty m:val="p"/>
              </m:rPr>
              <w:rPr>
                <w:rFonts w:ascii="Cambria Math" w:hAnsi="Cambria Math"/>
              </w:rPr>
              <m:t>k</m:t>
            </m:r>
            <m:ctrlPr>
              <w:rPr>
                <w:rFonts w:ascii="Cambria Math" w:hAnsi="Cambria Math"/>
              </w:rPr>
            </m:ctrlP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ν</m:t>
                </m:r>
                <m:ctrlPr>
                  <w:rPr>
                    <w:rFonts w:ascii="Cambria Math" w:hAnsi="Cambria Math"/>
                  </w:rPr>
                </m:ctrlPr>
              </m:e>
              <m:sub>
                <m:r>
                  <m:rPr>
                    <m:sty m:val="p"/>
                  </m:rPr>
                  <w:rPr>
                    <w:rFonts w:ascii="Cambria Math" w:hAnsi="Cambria Math"/>
                  </w:rPr>
                  <m:t>k</m:t>
                </m:r>
                <m:ctrlPr>
                  <w:rPr>
                    <w:rFonts w:ascii="Cambria Math" w:hAnsi="Cambria Math"/>
                  </w:rPr>
                </m:ctrlPr>
              </m:sub>
            </m:sSub>
            <m:ctrlPr>
              <w:rPr>
                <w:rFonts w:ascii="Cambria Math" w:hAnsi="Cambria Math"/>
              </w:rPr>
            </m:ctrlPr>
          </m:num>
          <m:den>
            <m:r>
              <m:rPr>
                <m:sty m:val="p"/>
              </m:rPr>
              <w:rPr>
                <w:rFonts w:ascii="Cambria Math" w:hAnsi="Cambria Math"/>
              </w:rPr>
              <m:t>3</m:t>
            </m:r>
            <m:rad>
              <m:radPr>
                <m:degHide m:val="1"/>
                <m:ctrlPr>
                  <w:rPr>
                    <w:rFonts w:ascii="Cambria Math" w:hAnsi="Cambria Math"/>
                  </w:rPr>
                </m:ctrlPr>
              </m:radPr>
              <m:deg>
                <m:ctrlPr>
                  <w:rPr>
                    <w:rFonts w:ascii="Cambria Math" w:hAnsi="Cambria Math"/>
                    <w:i/>
                  </w:rPr>
                </m:ctrlPr>
              </m:deg>
              <m:e>
                <m:sSub>
                  <m:sSubPr>
                    <m:ctrlPr>
                      <w:rPr>
                        <w:rFonts w:ascii="Cambria Math" w:hAnsi="Cambria Math"/>
                      </w:rPr>
                    </m:ctrlPr>
                  </m:sSubPr>
                  <m:e>
                    <m:r>
                      <m:rPr>
                        <m:sty m:val="p"/>
                      </m:rPr>
                      <w:rPr>
                        <w:rFonts w:ascii="Cambria Math" w:hAnsi="Cambria Math"/>
                      </w:rPr>
                      <m:t>S</m:t>
                    </m:r>
                    <m:ctrlPr>
                      <w:rPr>
                        <w:rFonts w:ascii="Cambria Math" w:hAnsi="Cambria Math"/>
                      </w:rPr>
                    </m:ctrlPr>
                  </m:e>
                  <m:sub>
                    <m:r>
                      <m:rPr>
                        <m:sty m:val="p"/>
                      </m:rPr>
                      <w:rPr>
                        <w:rFonts w:ascii="Cambria Math" w:hAnsi="Cambria Math"/>
                      </w:rPr>
                      <m:t>k</m:t>
                    </m:r>
                    <m:ctrlPr>
                      <w:rPr>
                        <w:rFonts w:ascii="Cambria Math" w:hAnsi="Cambria Math"/>
                      </w:rPr>
                    </m:ctrlPr>
                  </m:sub>
                </m:sSub>
                <m:r>
                  <m:rPr>
                    <m:sty m:val="p"/>
                  </m:rPr>
                  <w:rPr>
                    <w:rFonts w:ascii="Cambria Math" w:hAnsi="Cambria Math"/>
                  </w:rPr>
                  <m:t>+ε</m:t>
                </m:r>
                <m:ctrlPr>
                  <w:rPr>
                    <w:rFonts w:ascii="Cambria Math" w:hAnsi="Cambria Math"/>
                  </w:rPr>
                </m:ctrlPr>
              </m:e>
            </m:rad>
            <m:ctrlPr>
              <w:rPr>
                <w:rFonts w:ascii="Cambria Math" w:hAnsi="Cambria Math"/>
              </w:rPr>
            </m:ctrlPr>
          </m:den>
        </m:f>
      </m:oMath>
      <w:r>
        <w:rPr>
          <w:rFonts w:ascii="Times New Roman" w:hAnsi="Times New Roman" w:eastAsia="宋体" w:cs="Times New Roman"/>
          <w:color w:val="000000"/>
          <w:sz w:val="24"/>
        </w:rPr>
        <w:tab/>
      </w:r>
      <w:r>
        <w:rPr>
          <w:rFonts w:ascii="Times New Roman" w:hAnsi="Times New Roman" w:eastAsia="宋体" w:cs="Times New Roman"/>
          <w:color w:val="000000"/>
          <w:sz w:val="24"/>
        </w:rPr>
        <w:t>(3-8)</w:t>
      </w:r>
    </w:p>
    <w:p w14:paraId="2D322FC4">
      <w:pPr>
        <w:pageBreakBefore w:val="0"/>
        <w:spacing w:before="0" w:after="0" w:line="360" w:lineRule="auto"/>
        <w:ind w:firstLine="480"/>
        <w:jc w:val="both"/>
      </w:pPr>
      <w:r>
        <w:rPr>
          <w:rFonts w:ascii="Times New Roman" w:hAnsi="Times New Roman" w:eastAsia="宋体" w:cs="Times New Roman"/>
          <w:b w:val="0"/>
          <w:color w:val="000000"/>
          <w:sz w:val="24"/>
        </w:rPr>
        <w:t>当估计结果有效，且尺度估计协方差不超过0.00253218969247675、|ŝ-1|不小于0.04并连续满足0.10 s时，CGHTE开始调整推力尺度。应用尺度每个采样步最多变化0.00868，等效速率为0.868 s-1，并限制在0.75至1.35之间。四项参数见表3-3。</w:t>
      </w:r>
    </w:p>
    <w:p w14:paraId="795F364F">
      <w:pPr>
        <w:pageBreakBefore w:val="0"/>
        <w:spacing w:before="0" w:after="0" w:line="360" w:lineRule="auto"/>
        <w:ind w:firstLine="480"/>
        <w:jc w:val="both"/>
      </w:pPr>
      <w:r>
        <w:rPr>
          <w:rFonts w:ascii="Times New Roman" w:hAnsi="Times New Roman" w:eastAsia="宋体" w:cs="Times New Roman"/>
          <w:color w:val="000000"/>
          <w:sz w:val="24"/>
        </w:rPr>
        <w:t>电机发生裁剪、机体推力轴对齐度低于0.9393727128473789或估计结果无效时，应用尺度保持不变。尺度调整尚未启用、估计结果有效且|ŝ-1|不超过0.02并持续1.0 s后，应用尺度平滑回到1。诊断11-16依次记录估计尺度、应用尺度、估计有效状态、归一化创新、分配器上限和算法标识码914。尺度修正后仍由RA-GCA约束分配生成四路电机指令；偏航仍不单独控制。</w:t>
      </w:r>
    </w:p>
    <w:p w14:paraId="54B3792C">
      <w:pPr>
        <w:pStyle w:val="4"/>
        <w:keepNext/>
        <w:pageBreakBefore w:val="0"/>
        <w:spacing w:before="40" w:after="40"/>
        <w:ind w:firstLine="0"/>
        <w:jc w:val="center"/>
      </w:pPr>
      <w:r>
        <w:rPr>
          <w:rFonts w:ascii="Times New Roman" w:hAnsi="Times New Roman" w:eastAsia="宋体" w:cs="Times New Roman"/>
          <w:b/>
          <w:color w:val="000000"/>
          <w:sz w:val="21"/>
        </w:rPr>
        <w:t>表3-3 CGHTE参数与功能</w:t>
      </w:r>
    </w:p>
    <w:tbl>
      <w:tblPr>
        <w:tblStyle w:val="10"/>
        <w:tblW w:w="0" w:type="auto"/>
        <w:jc w:val="center"/>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630"/>
        <w:gridCol w:w="1868"/>
        <w:gridCol w:w="2390"/>
      </w:tblGrid>
      <w:tr w14:paraId="2D0FA452">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PrEx>
        <w:trPr>
          <w:cantSplit/>
          <w:tblHeader/>
          <w:jc w:val="center"/>
        </w:trPr>
        <w:tc>
          <w:tcPr>
            <w:tcW w:w="0" w:type="auto"/>
            <w:tcBorders>
              <w:top w:val="single" w:color="000000" w:sz="12" w:space="0"/>
              <w:bottom w:val="single" w:color="000000" w:sz="4" w:space="0"/>
              <w:tl2br w:val="nil"/>
            </w:tcBorders>
            <w:shd w:val="clear" w:color="auto" w:fill="FFFFFF"/>
            <w:tcMar>
              <w:top w:w="45" w:type="dxa"/>
              <w:left w:w="55" w:type="dxa"/>
              <w:bottom w:w="45" w:type="dxa"/>
              <w:right w:w="55" w:type="dxa"/>
            </w:tcMar>
            <w:vAlign w:val="center"/>
          </w:tcPr>
          <w:p w14:paraId="043C6C39">
            <w:pPr>
              <w:spacing w:before="0" w:after="0" w:line="240" w:lineRule="auto"/>
              <w:ind w:firstLine="0"/>
              <w:jc w:val="center"/>
              <w:rPr>
                <w:b/>
                <w:bCs/>
              </w:rPr>
            </w:pPr>
            <w:r>
              <w:rPr>
                <w:rFonts w:ascii="Times New Roman" w:hAnsi="Times New Roman" w:eastAsia="宋体" w:cs="Times New Roman"/>
                <w:b/>
                <w:bCs/>
                <w:color w:val="000000"/>
                <w:sz w:val="19"/>
              </w:rPr>
              <w:t>参数</w:t>
            </w:r>
          </w:p>
        </w:tc>
        <w:tc>
          <w:tcPr>
            <w:tcW w:w="0" w:type="auto"/>
            <w:tcBorders>
              <w:top w:val="single" w:color="000000" w:sz="12" w:space="0"/>
              <w:bottom w:val="single" w:color="000000" w:sz="4" w:space="0"/>
            </w:tcBorders>
            <w:shd w:val="clear" w:color="auto" w:fill="FFFFFF"/>
            <w:tcMar>
              <w:top w:w="45" w:type="dxa"/>
              <w:left w:w="55" w:type="dxa"/>
              <w:bottom w:w="45" w:type="dxa"/>
              <w:right w:w="55" w:type="dxa"/>
            </w:tcMar>
            <w:vAlign w:val="center"/>
          </w:tcPr>
          <w:p w14:paraId="1D107504">
            <w:pPr>
              <w:spacing w:before="0" w:after="0" w:line="240" w:lineRule="auto"/>
              <w:ind w:firstLine="0"/>
              <w:jc w:val="center"/>
              <w:rPr>
                <w:b/>
                <w:bCs/>
              </w:rPr>
            </w:pPr>
            <w:r>
              <w:rPr>
                <w:rFonts w:ascii="Times New Roman" w:hAnsi="Times New Roman" w:eastAsia="宋体" w:cs="Times New Roman"/>
                <w:b/>
                <w:bCs/>
                <w:color w:val="000000"/>
                <w:sz w:val="19"/>
              </w:rPr>
              <w:t>设定值</w:t>
            </w:r>
          </w:p>
        </w:tc>
        <w:tc>
          <w:tcPr>
            <w:tcW w:w="0" w:type="auto"/>
            <w:tcBorders>
              <w:top w:val="single" w:color="000000" w:sz="12" w:space="0"/>
              <w:bottom w:val="single" w:color="000000" w:sz="4" w:space="0"/>
            </w:tcBorders>
            <w:shd w:val="clear" w:color="auto" w:fill="FFFFFF"/>
            <w:tcMar>
              <w:top w:w="45" w:type="dxa"/>
              <w:left w:w="55" w:type="dxa"/>
              <w:bottom w:w="45" w:type="dxa"/>
              <w:right w:w="55" w:type="dxa"/>
            </w:tcMar>
            <w:vAlign w:val="center"/>
          </w:tcPr>
          <w:p w14:paraId="1B65D7AC">
            <w:pPr>
              <w:spacing w:before="0" w:after="0" w:line="240" w:lineRule="auto"/>
              <w:ind w:firstLine="0"/>
              <w:jc w:val="center"/>
              <w:rPr>
                <w:b/>
                <w:bCs/>
              </w:rPr>
            </w:pPr>
            <w:r>
              <w:rPr>
                <w:rFonts w:ascii="Times New Roman" w:hAnsi="Times New Roman" w:eastAsia="宋体" w:cs="Times New Roman"/>
                <w:b/>
                <w:bCs/>
                <w:color w:val="000000"/>
                <w:sz w:val="19"/>
              </w:rPr>
              <w:t>功能</w:t>
            </w:r>
          </w:p>
        </w:tc>
      </w:tr>
      <w:tr w14:paraId="27885C41">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0" w:type="auto"/>
            <w:tcBorders>
              <w:top w:val="single" w:color="000000" w:sz="4" w:space="0"/>
            </w:tcBorders>
            <w:shd w:val="clear" w:color="auto" w:fill="FFFFFF"/>
            <w:tcMar>
              <w:top w:w="45" w:type="dxa"/>
              <w:left w:w="55" w:type="dxa"/>
              <w:bottom w:w="45" w:type="dxa"/>
              <w:right w:w="55" w:type="dxa"/>
            </w:tcMar>
            <w:vAlign w:val="center"/>
          </w:tcPr>
          <w:p w14:paraId="4C1FB887">
            <w:pPr>
              <w:spacing w:before="0" w:after="0" w:line="240" w:lineRule="auto"/>
              <w:ind w:firstLine="0"/>
              <w:jc w:val="center"/>
              <w:rPr>
                <w:b w:val="0"/>
              </w:rPr>
            </w:pPr>
            <w:r>
              <w:rPr>
                <w:rFonts w:ascii="Times New Roman" w:hAnsi="Times New Roman" w:eastAsia="宋体" w:cs="Times New Roman"/>
                <w:b w:val="0"/>
                <w:color w:val="000000"/>
                <w:sz w:val="19"/>
              </w:rPr>
              <w:t>激活协方差阈值</w:t>
            </w:r>
          </w:p>
        </w:tc>
        <w:tc>
          <w:tcPr>
            <w:tcW w:w="0" w:type="auto"/>
            <w:tcBorders>
              <w:top w:val="single" w:color="000000" w:sz="4" w:space="0"/>
            </w:tcBorders>
            <w:shd w:val="clear" w:color="auto" w:fill="FFFFFF"/>
            <w:tcMar>
              <w:top w:w="45" w:type="dxa"/>
              <w:left w:w="55" w:type="dxa"/>
              <w:bottom w:w="45" w:type="dxa"/>
              <w:right w:w="55" w:type="dxa"/>
            </w:tcMar>
            <w:vAlign w:val="center"/>
          </w:tcPr>
          <w:p w14:paraId="77F6EB9B">
            <w:pPr>
              <w:spacing w:before="0" w:after="0" w:line="240" w:lineRule="auto"/>
              <w:ind w:firstLine="0"/>
              <w:jc w:val="center"/>
              <w:rPr>
                <w:b w:val="0"/>
              </w:rPr>
            </w:pPr>
            <w:r>
              <w:rPr>
                <w:rFonts w:ascii="Times New Roman" w:hAnsi="Times New Roman" w:eastAsia="宋体" w:cs="Times New Roman"/>
                <w:b w:val="0"/>
                <w:color w:val="000000"/>
                <w:sz w:val="19"/>
              </w:rPr>
              <w:t>0.00253218969247675</w:t>
            </w:r>
          </w:p>
        </w:tc>
        <w:tc>
          <w:tcPr>
            <w:tcW w:w="0" w:type="auto"/>
            <w:tcBorders>
              <w:top w:val="single" w:color="000000" w:sz="4" w:space="0"/>
            </w:tcBorders>
            <w:shd w:val="clear" w:color="auto" w:fill="FFFFFF"/>
            <w:tcMar>
              <w:top w:w="45" w:type="dxa"/>
              <w:left w:w="55" w:type="dxa"/>
              <w:bottom w:w="45" w:type="dxa"/>
              <w:right w:w="55" w:type="dxa"/>
            </w:tcMar>
            <w:vAlign w:val="center"/>
          </w:tcPr>
          <w:p w14:paraId="56B98DF9">
            <w:pPr>
              <w:spacing w:before="0" w:after="0" w:line="240" w:lineRule="auto"/>
              <w:ind w:firstLine="0"/>
              <w:jc w:val="center"/>
              <w:rPr>
                <w:b w:val="0"/>
              </w:rPr>
            </w:pPr>
            <w:r>
              <w:rPr>
                <w:rFonts w:ascii="Times New Roman" w:hAnsi="Times New Roman" w:eastAsia="宋体" w:cs="Times New Roman"/>
                <w:b w:val="0"/>
                <w:color w:val="000000"/>
                <w:sz w:val="19"/>
              </w:rPr>
              <w:t>判断推力尺度估计是否可信</w:t>
            </w:r>
          </w:p>
        </w:tc>
      </w:tr>
      <w:tr w14:paraId="0711DF10">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0" w:type="auto"/>
            <w:shd w:val="clear" w:color="auto" w:fill="FFFFFF"/>
            <w:tcMar>
              <w:top w:w="45" w:type="dxa"/>
              <w:left w:w="55" w:type="dxa"/>
              <w:bottom w:w="45" w:type="dxa"/>
              <w:right w:w="55" w:type="dxa"/>
            </w:tcMar>
            <w:vAlign w:val="center"/>
          </w:tcPr>
          <w:p w14:paraId="3547F870">
            <w:pPr>
              <w:spacing w:before="0" w:after="0" w:line="240" w:lineRule="auto"/>
              <w:ind w:firstLine="0"/>
              <w:jc w:val="center"/>
              <w:rPr>
                <w:b w:val="0"/>
              </w:rPr>
            </w:pPr>
            <w:r>
              <w:rPr>
                <w:rFonts w:ascii="Times New Roman" w:hAnsi="Times New Roman" w:eastAsia="宋体" w:cs="Times New Roman"/>
                <w:b w:val="0"/>
                <w:color w:val="000000"/>
                <w:sz w:val="19"/>
              </w:rPr>
              <w:t>激活持续时间</w:t>
            </w:r>
          </w:p>
        </w:tc>
        <w:tc>
          <w:tcPr>
            <w:tcW w:w="0" w:type="auto"/>
            <w:shd w:val="clear" w:color="auto" w:fill="FFFFFF"/>
            <w:tcMar>
              <w:top w:w="45" w:type="dxa"/>
              <w:left w:w="55" w:type="dxa"/>
              <w:bottom w:w="45" w:type="dxa"/>
              <w:right w:w="55" w:type="dxa"/>
            </w:tcMar>
            <w:vAlign w:val="center"/>
          </w:tcPr>
          <w:p w14:paraId="2512BDD3">
            <w:pPr>
              <w:spacing w:before="0" w:after="0" w:line="240" w:lineRule="auto"/>
              <w:ind w:firstLine="0"/>
              <w:jc w:val="center"/>
              <w:rPr>
                <w:b w:val="0"/>
              </w:rPr>
            </w:pPr>
            <w:r>
              <w:rPr>
                <w:rFonts w:ascii="Times New Roman" w:hAnsi="Times New Roman" w:eastAsia="宋体" w:cs="Times New Roman"/>
                <w:b w:val="0"/>
                <w:color w:val="000000"/>
                <w:sz w:val="19"/>
              </w:rPr>
              <w:t>0.10 s</w:t>
            </w:r>
          </w:p>
        </w:tc>
        <w:tc>
          <w:tcPr>
            <w:tcW w:w="0" w:type="auto"/>
            <w:shd w:val="clear" w:color="auto" w:fill="FFFFFF"/>
            <w:tcMar>
              <w:top w:w="45" w:type="dxa"/>
              <w:left w:w="55" w:type="dxa"/>
              <w:bottom w:w="45" w:type="dxa"/>
              <w:right w:w="55" w:type="dxa"/>
            </w:tcMar>
            <w:vAlign w:val="center"/>
          </w:tcPr>
          <w:p w14:paraId="5B091906">
            <w:pPr>
              <w:spacing w:before="0" w:after="0" w:line="240" w:lineRule="auto"/>
              <w:ind w:firstLine="0"/>
              <w:jc w:val="center"/>
              <w:rPr>
                <w:b w:val="0"/>
              </w:rPr>
            </w:pPr>
            <w:r>
              <w:rPr>
                <w:rFonts w:ascii="Times New Roman" w:hAnsi="Times New Roman" w:eastAsia="宋体" w:cs="Times New Roman"/>
                <w:b w:val="0"/>
                <w:color w:val="000000"/>
                <w:sz w:val="19"/>
              </w:rPr>
              <w:t>要求启用条件连续满足</w:t>
            </w:r>
          </w:p>
        </w:tc>
      </w:tr>
      <w:tr w14:paraId="25E8F63A">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0" w:type="auto"/>
            <w:shd w:val="clear" w:color="auto" w:fill="FFFFFF"/>
            <w:tcMar>
              <w:top w:w="45" w:type="dxa"/>
              <w:left w:w="55" w:type="dxa"/>
              <w:bottom w:w="45" w:type="dxa"/>
              <w:right w:w="55" w:type="dxa"/>
            </w:tcMar>
            <w:vAlign w:val="center"/>
          </w:tcPr>
          <w:p w14:paraId="53A72128">
            <w:pPr>
              <w:spacing w:before="0" w:after="0" w:line="240" w:lineRule="auto"/>
              <w:ind w:firstLine="0"/>
              <w:jc w:val="center"/>
              <w:rPr>
                <w:b w:val="0"/>
              </w:rPr>
            </w:pPr>
            <w:r>
              <w:rPr>
                <w:rFonts w:ascii="Times New Roman" w:hAnsi="Times New Roman" w:eastAsia="宋体" w:cs="Times New Roman"/>
                <w:b w:val="0"/>
                <w:color w:val="000000"/>
                <w:sz w:val="19"/>
              </w:rPr>
              <w:t>尺度应用速率</w:t>
            </w:r>
          </w:p>
        </w:tc>
        <w:tc>
          <w:tcPr>
            <w:tcW w:w="0" w:type="auto"/>
            <w:shd w:val="clear" w:color="auto" w:fill="FFFFFF"/>
            <w:tcMar>
              <w:top w:w="45" w:type="dxa"/>
              <w:left w:w="55" w:type="dxa"/>
              <w:bottom w:w="45" w:type="dxa"/>
              <w:right w:w="55" w:type="dxa"/>
            </w:tcMar>
            <w:vAlign w:val="center"/>
          </w:tcPr>
          <w:p w14:paraId="4DAFEC26">
            <w:pPr>
              <w:spacing w:before="0" w:after="0" w:line="240" w:lineRule="auto"/>
              <w:ind w:firstLine="0"/>
              <w:jc w:val="center"/>
              <w:rPr>
                <w:b w:val="0"/>
              </w:rPr>
            </w:pPr>
            <w:r>
              <w:rPr>
                <w:rFonts w:ascii="Times New Roman" w:hAnsi="Times New Roman" w:eastAsia="宋体" w:cs="Times New Roman"/>
                <w:b w:val="0"/>
                <w:color w:val="000000"/>
                <w:sz w:val="19"/>
              </w:rPr>
              <w:t>0.868 s</w:t>
            </w:r>
            <w:r>
              <w:rPr>
                <w:rFonts w:ascii="Times New Roman" w:hAnsi="Times New Roman" w:eastAsia="宋体" w:cs="Times New Roman"/>
                <w:b w:val="0"/>
                <w:color w:val="000000"/>
                <w:sz w:val="19"/>
                <w:vertAlign w:val="superscript"/>
              </w:rPr>
              <w:t>-1</w:t>
            </w:r>
          </w:p>
        </w:tc>
        <w:tc>
          <w:tcPr>
            <w:tcW w:w="0" w:type="auto"/>
            <w:shd w:val="clear" w:color="auto" w:fill="FFFFFF"/>
            <w:tcMar>
              <w:top w:w="45" w:type="dxa"/>
              <w:left w:w="55" w:type="dxa"/>
              <w:bottom w:w="45" w:type="dxa"/>
              <w:right w:w="55" w:type="dxa"/>
            </w:tcMar>
            <w:vAlign w:val="center"/>
          </w:tcPr>
          <w:p w14:paraId="710347DE">
            <w:pPr>
              <w:spacing w:before="0" w:after="0" w:line="240" w:lineRule="auto"/>
              <w:ind w:firstLine="0"/>
              <w:jc w:val="center"/>
              <w:rPr>
                <w:b w:val="0"/>
              </w:rPr>
            </w:pPr>
            <w:r>
              <w:rPr>
                <w:rFonts w:ascii="Times New Roman" w:hAnsi="Times New Roman" w:eastAsia="宋体" w:cs="Times New Roman"/>
                <w:b w:val="0"/>
                <w:color w:val="000000"/>
                <w:sz w:val="19"/>
              </w:rPr>
              <w:t>平滑调整推力尺度</w:t>
            </w:r>
          </w:p>
        </w:tc>
      </w:tr>
      <w:tr w14:paraId="59A78DC1">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0" w:type="auto"/>
            <w:tcBorders>
              <w:bottom w:val="single" w:color="000000" w:sz="12" w:space="0"/>
            </w:tcBorders>
            <w:shd w:val="clear" w:color="auto" w:fill="FFFFFF"/>
            <w:tcMar>
              <w:top w:w="45" w:type="dxa"/>
              <w:left w:w="55" w:type="dxa"/>
              <w:bottom w:w="45" w:type="dxa"/>
              <w:right w:w="55" w:type="dxa"/>
            </w:tcMar>
            <w:vAlign w:val="center"/>
          </w:tcPr>
          <w:p w14:paraId="753ADC2B">
            <w:pPr>
              <w:spacing w:before="0" w:after="0" w:line="240" w:lineRule="auto"/>
              <w:ind w:firstLine="0"/>
              <w:jc w:val="center"/>
              <w:rPr>
                <w:b w:val="0"/>
              </w:rPr>
            </w:pPr>
            <w:r>
              <w:rPr>
                <w:rFonts w:ascii="Times New Roman" w:hAnsi="Times New Roman" w:eastAsia="宋体" w:cs="Times New Roman"/>
                <w:b w:val="0"/>
                <w:color w:val="000000"/>
                <w:sz w:val="19"/>
              </w:rPr>
              <w:t>单步尺度变化上限</w:t>
            </w:r>
          </w:p>
        </w:tc>
        <w:tc>
          <w:tcPr>
            <w:tcW w:w="0" w:type="auto"/>
            <w:tcBorders>
              <w:bottom w:val="single" w:color="000000" w:sz="12" w:space="0"/>
            </w:tcBorders>
            <w:shd w:val="clear" w:color="auto" w:fill="FFFFFF"/>
            <w:tcMar>
              <w:top w:w="45" w:type="dxa"/>
              <w:left w:w="55" w:type="dxa"/>
              <w:bottom w:w="45" w:type="dxa"/>
              <w:right w:w="55" w:type="dxa"/>
            </w:tcMar>
            <w:vAlign w:val="center"/>
          </w:tcPr>
          <w:p w14:paraId="6E1D5A4D">
            <w:pPr>
              <w:spacing w:before="0" w:after="0" w:line="240" w:lineRule="auto"/>
              <w:ind w:firstLine="0"/>
              <w:jc w:val="center"/>
              <w:rPr>
                <w:b w:val="0"/>
              </w:rPr>
            </w:pPr>
            <w:r>
              <w:rPr>
                <w:rFonts w:ascii="Times New Roman" w:hAnsi="Times New Roman" w:eastAsia="宋体" w:cs="Times New Roman"/>
                <w:b w:val="0"/>
                <w:color w:val="000000"/>
                <w:sz w:val="19"/>
              </w:rPr>
              <w:t>0.00868</w:t>
            </w:r>
          </w:p>
        </w:tc>
        <w:tc>
          <w:tcPr>
            <w:tcW w:w="0" w:type="auto"/>
            <w:tcBorders>
              <w:bottom w:val="single" w:color="000000" w:sz="12" w:space="0"/>
            </w:tcBorders>
            <w:shd w:val="clear" w:color="auto" w:fill="FFFFFF"/>
            <w:tcMar>
              <w:top w:w="45" w:type="dxa"/>
              <w:left w:w="55" w:type="dxa"/>
              <w:bottom w:w="45" w:type="dxa"/>
              <w:right w:w="55" w:type="dxa"/>
            </w:tcMar>
            <w:vAlign w:val="center"/>
          </w:tcPr>
          <w:p w14:paraId="771E1F66">
            <w:pPr>
              <w:spacing w:before="0" w:after="0" w:line="240" w:lineRule="auto"/>
              <w:ind w:firstLine="0"/>
              <w:jc w:val="center"/>
              <w:rPr>
                <w:b w:val="0"/>
              </w:rPr>
            </w:pPr>
            <w:r>
              <w:rPr>
                <w:rFonts w:ascii="Times New Roman" w:hAnsi="Times New Roman" w:eastAsia="宋体" w:cs="Times New Roman"/>
                <w:b w:val="0"/>
                <w:color w:val="000000"/>
                <w:sz w:val="19"/>
              </w:rPr>
              <w:t>限制每个控制步的尺度变化</w:t>
            </w:r>
          </w:p>
        </w:tc>
      </w:tr>
    </w:tbl>
    <w:p w14:paraId="0BF60F24">
      <w:pPr>
        <w:pStyle w:val="21"/>
        <w:pageBreakBefore w:val="0"/>
        <w:spacing w:after="0"/>
      </w:pPr>
      <w:r>
        <w:rPr>
          <w:rFonts w:ascii="Times New Roman" w:hAnsi="Times New Roman" w:eastAsia="宋体" w:cs="Times New Roman"/>
          <w:b w:val="0"/>
          <w:color w:val="000000"/>
          <w:sz w:val="18"/>
        </w:rPr>
        <w:t>注：表中参数为本次仿真采用的设定值；其他RA-GCA增益、状态估计设置和分配器限制保持不变。</w:t>
      </w:r>
    </w:p>
    <w:p w14:paraId="79AF8C60">
      <w:pPr>
        <w:pStyle w:val="3"/>
        <w:keepNext/>
        <w:pageBreakBefore w:val="0"/>
        <w:spacing w:before="240" w:after="120"/>
      </w:pPr>
      <w:bookmarkStart w:id="16" w:name="_Toc9791"/>
      <w:r>
        <w:rPr>
          <w:rFonts w:ascii="Times New Roman" w:hAnsi="Times New Roman" w:eastAsia="黑体" w:cs="Times New Roman"/>
          <w:b/>
          <w:color w:val="000000"/>
          <w:sz w:val="26"/>
        </w:rPr>
        <w:t>3.7 稳定性依据、约束与控制权限</w:t>
      </w:r>
      <w:bookmarkEnd w:id="16"/>
    </w:p>
    <w:p w14:paraId="5EA936D5">
      <w:pPr>
        <w:pageBreakBefore w:val="0"/>
        <w:spacing w:before="0" w:after="0" w:line="360" w:lineRule="auto"/>
        <w:ind w:firstLine="480"/>
        <w:jc w:val="both"/>
      </w:pPr>
      <w:r>
        <w:rPr>
          <w:rFonts w:ascii="Times New Roman" w:hAnsi="Times New Roman" w:eastAsia="宋体" w:cs="Times New Roman"/>
          <w:color w:val="000000"/>
          <w:sz w:val="24"/>
        </w:rPr>
        <w:t>在期望合力非零、姿态误差处于可恢复区域且执行器未持续饱和时，平移误差系统由正定Kp和Kv形成阻尼二阶结构；约化姿态环通过式（3-4）驱动推力轴误差衰减。可选取含位置、速度和约化姿态误差的候选Lyapunov函数：</w:t>
      </w:r>
    </w:p>
    <w:p w14:paraId="1CA9823E">
      <w:pPr>
        <w:pageBreakBefore w:val="0"/>
        <w:tabs>
          <w:tab w:val="center" w:pos="4250"/>
          <w:tab w:val="right" w:pos="8500"/>
        </w:tabs>
        <w:spacing w:before="0" w:after="60"/>
        <w:ind w:firstLine="0"/>
        <w:jc w:val="left"/>
      </w:pPr>
      <w:r>
        <w:tab/>
      </w:r>
      <m:oMath>
        <m:r>
          <m:rPr>
            <m:sty m:val="p"/>
          </m:rPr>
          <w:rPr>
            <w:rFonts w:ascii="Cambria Math" w:hAnsi="Cambria Math"/>
          </w:rPr>
          <m:t>V =</m:t>
        </m:r>
        <m:f>
          <m:fPr>
            <m:ctrlPr>
              <w:rPr>
                <w:rFonts w:ascii="Cambria Math" w:hAnsi="Cambria Math"/>
              </w:rPr>
            </m:ctrlPr>
          </m:fPr>
          <m:num>
            <m:r>
              <m:rPr>
                <m:sty m:val="p"/>
              </m:rPr>
              <w:rPr>
                <w:rFonts w:ascii="Cambria Math" w:hAnsi="Cambria Math"/>
              </w:rPr>
              <m:t>1</m:t>
            </m:r>
            <m:ctrlPr>
              <w:rPr>
                <w:rFonts w:ascii="Cambria Math" w:hAnsi="Cambria Math"/>
              </w:rPr>
            </m:ctrlPr>
          </m:num>
          <m:den>
            <m:r>
              <m:rPr>
                <m:sty m:val="p"/>
              </m:rPr>
              <w:rPr>
                <w:rFonts w:ascii="Cambria Math" w:hAnsi="Cambria Math"/>
              </w:rPr>
              <m:t>2</m:t>
            </m:r>
            <m:ctrlPr>
              <w:rPr>
                <w:rFonts w:ascii="Cambria Math" w:hAnsi="Cambria Math"/>
              </w:rPr>
            </m:ctrlPr>
          </m:den>
        </m:f>
        <m:sSub>
          <m:sSubPr>
            <m:ctrlPr>
              <w:rPr>
                <w:rFonts w:ascii="Cambria Math" w:hAnsi="Cambria Math"/>
              </w:rPr>
            </m:ctrlPr>
          </m:sSubPr>
          <m:e>
            <m:r>
              <m:rPr>
                <m:sty m:val="p"/>
              </m:rPr>
              <w:rPr>
                <w:rFonts w:ascii="Cambria Math" w:hAnsi="Cambria Math"/>
              </w:rPr>
              <m:t>e</m:t>
            </m:r>
            <m:ctrlPr>
              <w:rPr>
                <w:rFonts w:ascii="Cambria Math" w:hAnsi="Cambria Math"/>
              </w:rPr>
            </m:ctrlPr>
          </m:e>
          <m:sub>
            <m:r>
              <m:rPr>
                <m:sty m:val="p"/>
              </m:rPr>
              <w:rPr>
                <w:rFonts w:ascii="Cambria Math" w:hAnsi="Cambria Math"/>
              </w:rPr>
              <m:t>vᵀ</m:t>
            </m:r>
            <m:sSub>
              <m:sSubPr>
                <m:ctrlPr>
                  <w:rPr>
                    <w:rFonts w:ascii="Cambria Math" w:hAnsi="Cambria Math"/>
                  </w:rPr>
                </m:ctrlPr>
              </m:sSubPr>
              <m:e>
                <m:r>
                  <m:rPr>
                    <m:sty m:val="p"/>
                  </m:rPr>
                  <w:rPr>
                    <w:rFonts w:ascii="Cambria Math" w:hAnsi="Cambria Math"/>
                  </w:rPr>
                  <m:t>e</m:t>
                </m:r>
                <m:ctrlPr>
                  <w:rPr>
                    <w:rFonts w:ascii="Cambria Math" w:hAnsi="Cambria Math"/>
                  </w:rPr>
                </m:ctrlPr>
              </m:e>
              <m:sub>
                <m:r>
                  <m:rPr>
                    <m:sty m:val="p"/>
                  </m:rPr>
                  <w:rPr>
                    <w:rFonts w:ascii="Cambria Math" w:hAnsi="Cambria Math"/>
                  </w:rPr>
                  <m:t>v</m:t>
                </m:r>
                <m:ctrlPr>
                  <w:rPr>
                    <w:rFonts w:ascii="Cambria Math" w:hAnsi="Cambria Math"/>
                  </w:rPr>
                </m:ctrlPr>
              </m:sub>
            </m:sSub>
            <m:ctrlPr>
              <w:rPr>
                <w:rFonts w:ascii="Cambria Math" w:hAnsi="Cambria Math"/>
              </w:rPr>
            </m:ctrlP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ctrlPr>
              <w:rPr>
                <w:rFonts w:ascii="Cambria Math" w:hAnsi="Cambria Math"/>
              </w:rPr>
            </m:ctrlPr>
          </m:num>
          <m:den>
            <m:r>
              <m:rPr>
                <m:sty m:val="p"/>
              </m:rPr>
              <w:rPr>
                <w:rFonts w:ascii="Cambria Math" w:hAnsi="Cambria Math"/>
              </w:rPr>
              <m:t>2</m:t>
            </m:r>
            <m:ctrlPr>
              <w:rPr>
                <w:rFonts w:ascii="Cambria Math" w:hAnsi="Cambria Math"/>
              </w:rPr>
            </m:ctrlPr>
          </m:den>
        </m:f>
        <m:sSub>
          <m:sSubPr>
            <m:ctrlPr>
              <w:rPr>
                <w:rFonts w:ascii="Cambria Math" w:hAnsi="Cambria Math"/>
              </w:rPr>
            </m:ctrlPr>
          </m:sSubPr>
          <m:e>
            <m:r>
              <m:rPr>
                <m:sty m:val="p"/>
              </m:rPr>
              <w:rPr>
                <w:rFonts w:ascii="Cambria Math" w:hAnsi="Cambria Math"/>
              </w:rPr>
              <m:t>e</m:t>
            </m:r>
            <m:ctrlPr>
              <w:rPr>
                <w:rFonts w:ascii="Cambria Math" w:hAnsi="Cambria Math"/>
              </w:rPr>
            </m:ctrlPr>
          </m:e>
          <m:sub>
            <m:r>
              <m:rPr>
                <m:sty m:val="p"/>
              </m:rPr>
              <w:rPr>
                <w:rFonts w:ascii="Cambria Math" w:hAnsi="Cambria Math"/>
              </w:rPr>
              <m:t>pᵀ</m:t>
            </m:r>
            <m:sSub>
              <m:sSubPr>
                <m:ctrlPr>
                  <w:rPr>
                    <w:rFonts w:ascii="Cambria Math" w:hAnsi="Cambria Math"/>
                  </w:rPr>
                </m:ctrlPr>
              </m:sSubPr>
              <m:e>
                <m:r>
                  <m:rPr>
                    <m:sty m:val="p"/>
                  </m:rPr>
                  <w:rPr>
                    <w:rFonts w:ascii="Cambria Math" w:hAnsi="Cambria Math"/>
                  </w:rPr>
                  <m:t>K</m:t>
                </m:r>
                <m:ctrlPr>
                  <w:rPr>
                    <w:rFonts w:ascii="Cambria Math" w:hAnsi="Cambria Math"/>
                  </w:rPr>
                </m:ctrlPr>
              </m:e>
              <m:sub>
                <m:r>
                  <m:rPr>
                    <m:sty m:val="p"/>
                  </m:rPr>
                  <w:rPr>
                    <w:rFonts w:ascii="Cambria Math" w:hAnsi="Cambria Math"/>
                  </w:rPr>
                  <m:t>p</m:t>
                </m:r>
                <m:ctrlPr>
                  <w:rPr>
                    <w:rFonts w:ascii="Cambria Math" w:hAnsi="Cambria Math"/>
                  </w:rPr>
                </m:ctrlPr>
              </m:sub>
            </m:sSub>
            <m:sSub>
              <m:sSubPr>
                <m:ctrlPr>
                  <w:rPr>
                    <w:rFonts w:ascii="Cambria Math" w:hAnsi="Cambria Math"/>
                  </w:rPr>
                </m:ctrlPr>
              </m:sSubPr>
              <m:e>
                <m:r>
                  <m:rPr>
                    <m:sty m:val="p"/>
                  </m:rPr>
                  <w:rPr>
                    <w:rFonts w:ascii="Cambria Math" w:hAnsi="Cambria Math"/>
                  </w:rPr>
                  <m:t>e</m:t>
                </m:r>
                <m:ctrlPr>
                  <w:rPr>
                    <w:rFonts w:ascii="Cambria Math" w:hAnsi="Cambria Math"/>
                  </w:rPr>
                </m:ctrlPr>
              </m:e>
              <m:sub>
                <m:r>
                  <m:rPr>
                    <m:sty m:val="p"/>
                  </m:rPr>
                  <w:rPr>
                    <w:rFonts w:ascii="Cambria Math" w:hAnsi="Cambria Math"/>
                  </w:rPr>
                  <m:t>p</m:t>
                </m:r>
                <m:ctrlPr>
                  <w:rPr>
                    <w:rFonts w:ascii="Cambria Math" w:hAnsi="Cambria Math"/>
                  </w:rPr>
                </m:ctrlPr>
              </m:sub>
            </m:sSub>
            <m:ctrlPr>
              <w:rPr>
                <w:rFonts w:ascii="Cambria Math" w:hAnsi="Cambria Math"/>
              </w:rPr>
            </m:ctrlP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c</m:t>
            </m:r>
            <m:ctrlPr>
              <w:rPr>
                <w:rFonts w:ascii="Cambria Math" w:hAnsi="Cambria Math"/>
              </w:rPr>
            </m:ctrlPr>
          </m:e>
          <m:sub>
            <m:r>
              <m:rPr>
                <m:sty m:val="p"/>
              </m:rPr>
              <w:rPr>
                <w:rFonts w:ascii="Cambria Math" w:hAnsi="Cambria Math"/>
              </w:rPr>
              <m:t>R</m:t>
            </m:r>
            <m:ctrlPr>
              <w:rPr>
                <w:rFonts w:ascii="Cambria Math" w:hAnsi="Cambria Math"/>
              </w:rPr>
            </m:ctrlPr>
          </m:sub>
        </m:sSub>
        <m:sSup>
          <m:sSupPr>
            <m:ctrlPr>
              <w:rPr>
                <w:rFonts w:ascii="Cambria Math" w:hAnsi="Cambria Math"/>
              </w:rPr>
            </m:ctrlPr>
          </m:sSupPr>
          <m:e>
            <m:d>
              <m:dPr>
                <m:begChr m:val="|"/>
                <m:endChr m:val="|"/>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e</m:t>
                        </m:r>
                        <m:ctrlPr>
                          <w:rPr>
                            <w:rFonts w:ascii="Cambria Math" w:hAnsi="Cambria Math"/>
                          </w:rPr>
                        </m:ctrlPr>
                      </m:e>
                      <m:sub>
                        <m:d>
                          <m:dPr>
                            <m:begChr m:val="{"/>
                            <m:endChr m:val="}"/>
                            <m:ctrlPr>
                              <w:rPr>
                                <w:rFonts w:ascii="Cambria Math" w:hAnsi="Cambria Math"/>
                              </w:rPr>
                            </m:ctrlPr>
                          </m:dPr>
                          <m:e>
                            <m:r>
                              <m:rPr>
                                <m:sty m:val="p"/>
                              </m:rPr>
                              <w:rPr>
                                <w:rFonts w:ascii="Cambria Math" w:hAnsi="Cambria Math"/>
                              </w:rPr>
                              <m:t>R,red</m:t>
                            </m:r>
                            <m:ctrlPr>
                              <w:rPr>
                                <w:rFonts w:ascii="Cambria Math" w:hAnsi="Cambria Math"/>
                              </w:rPr>
                            </m:ctrlPr>
                          </m:e>
                        </m:d>
                        <m:ctrlPr>
                          <w:rPr>
                            <w:rFonts w:ascii="Cambria Math" w:hAnsi="Cambria Math"/>
                          </w:rPr>
                        </m:ctrlPr>
                      </m:sub>
                    </m:sSub>
                    <m:ctrlPr>
                      <w:rPr>
                        <w:rFonts w:ascii="Cambria Math" w:hAnsi="Cambria Math"/>
                      </w:rPr>
                    </m:ctrlPr>
                  </m:e>
                </m:d>
                <m:ctrlPr>
                  <w:rPr>
                    <w:rFonts w:ascii="Cambria Math" w:hAnsi="Cambria Math"/>
                  </w:rPr>
                </m:ctrlPr>
              </m:e>
            </m:d>
            <m:ctrlPr>
              <w:rPr>
                <w:rFonts w:ascii="Cambria Math" w:hAnsi="Cambria Math"/>
              </w:rPr>
            </m:ctrlPr>
          </m:e>
          <m:sup>
            <m:r>
              <m:rPr>
                <m:sty m:val="p"/>
              </m:rPr>
              <w:rPr>
                <w:rFonts w:ascii="Cambria Math" w:hAnsi="Cambria Math"/>
              </w:rPr>
              <m:t>2</m:t>
            </m:r>
            <m:ctrlPr>
              <w:rPr>
                <w:rFonts w:ascii="Cambria Math" w:hAnsi="Cambria Math"/>
              </w:rPr>
            </m:ctrlPr>
          </m:sup>
        </m:sSup>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c</m:t>
            </m:r>
            <m:ctrlPr>
              <w:rPr>
                <w:rFonts w:ascii="Cambria Math" w:hAnsi="Cambria Math"/>
              </w:rPr>
            </m:ctrlPr>
          </m:e>
          <m:sub>
            <m:r>
              <m:rPr>
                <m:sty m:val="p"/>
              </m:rPr>
              <w:rPr>
                <w:rFonts w:ascii="Cambria Math" w:hAnsi="Cambria Math"/>
              </w:rPr>
              <m:t>R</m:t>
            </m:r>
            <m:ctrlPr>
              <w:rPr>
                <w:rFonts w:ascii="Cambria Math" w:hAnsi="Cambria Math"/>
              </w:rPr>
            </m:ctrlPr>
          </m:sub>
        </m:sSub>
        <m:r>
          <m:rPr>
            <m:sty m:val="p"/>
          </m:rPr>
          <w:rPr>
            <w:rFonts w:ascii="Cambria Math" w:hAnsi="Cambria Math"/>
          </w:rPr>
          <m:t>&gt; 0</m:t>
        </m:r>
      </m:oMath>
      <w:r>
        <w:rPr>
          <w:rFonts w:ascii="Times New Roman" w:hAnsi="Times New Roman" w:eastAsia="宋体" w:cs="Times New Roman"/>
          <w:color w:val="000000"/>
          <w:sz w:val="24"/>
        </w:rPr>
        <w:tab/>
      </w:r>
      <w:r>
        <w:rPr>
          <w:rFonts w:ascii="Times New Roman" w:hAnsi="Times New Roman" w:eastAsia="宋体" w:cs="Times New Roman"/>
          <w:color w:val="000000"/>
          <w:sz w:val="24"/>
        </w:rPr>
        <w:t>(3-9)</w:t>
      </w:r>
    </w:p>
    <w:p w14:paraId="2DF6377A">
      <w:pPr>
        <w:pageBreakBefore w:val="0"/>
        <w:spacing w:before="0" w:after="0" w:line="360" w:lineRule="auto"/>
        <w:ind w:firstLine="480"/>
        <w:jc w:val="both"/>
      </w:pPr>
      <w:r>
        <w:rPr>
          <w:rFonts w:ascii="Times New Roman" w:hAnsi="Times New Roman" w:eastAsia="宋体" w:cs="Times New Roman"/>
          <w:b w:val="0"/>
          <w:color w:val="000000"/>
          <w:sz w:val="24"/>
        </w:rPr>
        <w:t>局部分析中，速度反馈与角速度反馈提供耗散项，级联系统在建模误差和有界扰动下保持有界。CGHTE通过估计有效条件、持续时间、尺度上下限、单步变化限制和保持条件约束推力尺度调整。电机限制会改变理想控制量，因此需要同时检查分配残差、裁剪数量和跟踪误差。该分析给出控制律的稳定性依据，后续仿真结果用于检验本文测试条件下的实际表现。结论适用于给定初始状态、执行器限制和约化姿态控制范围。</w:t>
      </w:r>
    </w:p>
    <w:p w14:paraId="77919FA3">
      <w:pPr>
        <w:pStyle w:val="3"/>
        <w:keepNext/>
        <w:pageBreakBefore w:val="0"/>
        <w:spacing w:before="240" w:after="120"/>
      </w:pPr>
      <w:bookmarkStart w:id="17" w:name="_Toc5738"/>
      <w:r>
        <w:rPr>
          <w:rFonts w:ascii="Times New Roman" w:hAnsi="Times New Roman" w:eastAsia="黑体" w:cs="Times New Roman"/>
          <w:b/>
          <w:color w:val="000000"/>
          <w:sz w:val="26"/>
        </w:rPr>
        <w:t>3.8 参考来源与团队实现</w:t>
      </w:r>
      <w:bookmarkEnd w:id="17"/>
    </w:p>
    <w:p w14:paraId="28A6222F">
      <w:pPr>
        <w:pageBreakBefore w:val="0"/>
        <w:spacing w:before="0" w:after="0" w:line="360" w:lineRule="auto"/>
        <w:ind w:firstLine="480"/>
        <w:jc w:val="both"/>
      </w:pPr>
      <w:r>
        <w:rPr>
          <w:rFonts w:ascii="Times New Roman" w:hAnsi="Times New Roman" w:eastAsia="宋体" w:cs="Times New Roman"/>
          <w:b w:val="0"/>
          <w:color w:val="000000"/>
          <w:sz w:val="24"/>
        </w:rPr>
        <w:t>RA-GCA-CGHTE的几何控制、约化姿态和控制分配参考公开论文，并与uav_geometric_control、rpg_quadrotor_control和PX4-Autopilot的固定提交进行结构核对。团队在Sysblock中独立完成控制律、坐标与单位映射、约束分配、CGHTE可信条件判断与变化速率限制、诊断端口，并将控制器接入Sysplorer仿真模型。仓库、提交和许可证见附录表C-3。</w:t>
      </w:r>
    </w:p>
    <w:p w14:paraId="087A2332">
      <w:pPr>
        <w:pageBreakBefore w:val="0"/>
        <w:spacing w:before="0" w:after="0" w:line="360" w:lineRule="auto"/>
        <w:ind w:firstLine="480"/>
        <w:jc w:val="both"/>
        <w:rPr>
          <w:rFonts w:ascii="Times New Roman" w:hAnsi="Times New Roman" w:eastAsia="宋体" w:cs="Times New Roman"/>
          <w:color w:val="000000"/>
          <w:sz w:val="24"/>
        </w:rPr>
      </w:pPr>
      <w:r>
        <w:rPr>
          <w:rFonts w:ascii="Times New Roman" w:hAnsi="Times New Roman" w:eastAsia="宋体" w:cs="Times New Roman"/>
          <w:color w:val="000000"/>
          <w:sz w:val="24"/>
        </w:rPr>
        <w:t>CAP-ADRC依据ADRC论文独立离散，未使用外部代码仓库。CP-INDI依据INDI论文独立重构；Crazyflie与Paparazzi仓库仅用于研究滤波和控制效能结构，GPL源码未复制且不构成作品依赖。PP-CBF依据控制障碍函数理论独立实现为上层安全监督器。</w:t>
      </w:r>
    </w:p>
    <w:p w14:paraId="1D6CC4C2">
      <w:pPr>
        <w:pageBreakBefore w:val="0"/>
        <w:spacing w:before="0" w:after="0" w:line="360" w:lineRule="auto"/>
        <w:ind w:firstLine="480"/>
        <w:jc w:val="both"/>
        <w:rPr>
          <w:rFonts w:ascii="Times New Roman" w:hAnsi="Times New Roman" w:eastAsia="宋体" w:cs="Times New Roman"/>
          <w:color w:val="000000"/>
          <w:sz w:val="24"/>
        </w:rPr>
      </w:pPr>
    </w:p>
    <w:p w14:paraId="50A4D888">
      <w:pPr>
        <w:pStyle w:val="2"/>
        <w:pageBreakBefore w:val="0"/>
      </w:pPr>
      <w:bookmarkStart w:id="18" w:name="_Toc29235"/>
      <w:r>
        <w:rPr>
          <w:rFonts w:ascii="Times New Roman" w:hAnsi="Times New Roman" w:eastAsia="黑体" w:cs="Times New Roman"/>
          <w:b/>
          <w:color w:val="000000"/>
          <w:sz w:val="32"/>
        </w:rPr>
        <w:t>第4章 RA-GCA-CGHTE与PP-CBF分层编队安全方法</w:t>
      </w:r>
      <w:bookmarkEnd w:id="18"/>
    </w:p>
    <w:p w14:paraId="5F13A90E">
      <w:pPr>
        <w:pageBreakBefore w:val="0"/>
        <w:spacing w:before="0" w:after="0" w:line="360" w:lineRule="auto"/>
        <w:ind w:firstLine="480"/>
        <w:jc w:val="both"/>
      </w:pPr>
      <w:r>
        <w:rPr>
          <w:rFonts w:ascii="Times New Roman" w:hAnsi="Times New Roman" w:eastAsia="宋体" w:cs="Times New Roman"/>
          <w:color w:val="000000"/>
          <w:sz w:val="24"/>
        </w:rPr>
        <w:t>本章在三套同构RA-GCA-CGHTE低层控制器之上引入PP-CBF。PP-CBF根据三机相对状态修正上层参考，低层控制器继续完成单机跟踪。分层设计保留RA-GCA-CGHTE的低层单机控制职责，也使安全收益与跟踪代价能够通过关闭和开启PP-CBF进行对比。</w:t>
      </w:r>
    </w:p>
    <w:p w14:paraId="10495B26">
      <w:pPr>
        <w:pStyle w:val="3"/>
        <w:keepNext/>
        <w:pageBreakBefore w:val="0"/>
        <w:spacing w:before="240" w:after="120"/>
      </w:pPr>
      <w:bookmarkStart w:id="19" w:name="_Toc31918"/>
      <w:r>
        <w:rPr>
          <w:rFonts w:ascii="Times New Roman" w:hAnsi="Times New Roman" w:eastAsia="黑体" w:cs="Times New Roman"/>
          <w:b/>
          <w:color w:val="000000"/>
          <w:sz w:val="26"/>
        </w:rPr>
        <w:t>4.1 编队任务、拓扑与参考生成</w:t>
      </w:r>
      <w:bookmarkEnd w:id="19"/>
    </w:p>
    <w:p w14:paraId="693A8B35">
      <w:pPr>
        <w:pageBreakBefore w:val="0"/>
        <w:spacing w:before="0" w:after="0" w:line="360" w:lineRule="auto"/>
        <w:ind w:firstLine="480"/>
        <w:jc w:val="both"/>
      </w:pPr>
      <w:r>
        <w:rPr>
          <w:rFonts w:ascii="Times New Roman" w:hAnsi="Times New Roman" w:eastAsia="宋体" w:cs="Times New Roman"/>
          <w:color w:val="000000"/>
          <w:sz w:val="24"/>
        </w:rPr>
        <w:t>研究对象为固定三机编队。领导机参考包含三维位置、速度和加速度，三架无人机分别叠加固定编队偏置形成名义位置参考。每架无人机向安全监督器提供位置与速度，监督器同时检查机1—机2、机1—机3和机2—机3三对关系。该结构用于编队保持与换位任务，并采用固定三机拓扑和有限通信假设。</w:t>
      </w:r>
    </w:p>
    <w:p w14:paraId="05FB5842">
      <w:pPr>
        <w:pageBreakBefore w:val="0"/>
        <w:tabs>
          <w:tab w:val="center" w:pos="4250"/>
          <w:tab w:val="right" w:pos="8500"/>
        </w:tabs>
        <w:spacing w:before="0" w:after="60"/>
        <w:ind w:firstLine="0"/>
        <w:jc w:val="left"/>
      </w:pPr>
      <w:r>
        <w:tab/>
      </w:r>
      <m:oMath>
        <m:sSub>
          <m:sSubPr>
            <m:ctrlPr>
              <w:rPr>
                <w:rFonts w:ascii="Cambria Math" w:hAnsi="Cambria Math"/>
              </w:rPr>
            </m:ctrlPr>
          </m:sSubPr>
          <m:e>
            <m:r>
              <m:rPr>
                <m:sty m:val="p"/>
              </m:rPr>
              <w:rPr>
                <w:rFonts w:ascii="Cambria Math" w:hAnsi="Cambria Math"/>
              </w:rPr>
              <m:t>p</m:t>
            </m:r>
            <m:ctrlPr>
              <w:rPr>
                <w:rFonts w:ascii="Cambria Math" w:hAnsi="Cambria Math"/>
              </w:rPr>
            </m:ctrlPr>
          </m:e>
          <m:sub>
            <m:d>
              <m:dPr>
                <m:begChr m:val="{"/>
                <m:endChr m:val="}"/>
                <m:ctrlPr>
                  <w:rPr>
                    <w:rFonts w:ascii="Cambria Math" w:hAnsi="Cambria Math"/>
                  </w:rPr>
                </m:ctrlPr>
              </m:dPr>
              <m:e>
                <m:r>
                  <m:rPr>
                    <m:sty m:val="p"/>
                  </m:rPr>
                  <w:rPr>
                    <w:rFonts w:ascii="Cambria Math" w:hAnsi="Cambria Math"/>
                  </w:rPr>
                  <m:t>i,nom</m:t>
                </m:r>
                <m:ctrlPr>
                  <w:rPr>
                    <w:rFonts w:ascii="Cambria Math" w:hAnsi="Cambria Math"/>
                  </w:rPr>
                </m:ctrlPr>
              </m:e>
            </m:d>
            <m:ctrlPr>
              <w:rPr>
                <w:rFonts w:ascii="Cambria Math" w:hAnsi="Cambria Math"/>
              </w:rPr>
            </m:ctrlP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p</m:t>
            </m:r>
            <m:ctrlPr>
              <w:rPr>
                <w:rFonts w:ascii="Cambria Math" w:hAnsi="Cambria Math"/>
              </w:rPr>
            </m:ctrlPr>
          </m:e>
          <m:sub>
            <m:r>
              <m:rPr>
                <m:sty m:val="p"/>
              </m:rPr>
              <w:rPr>
                <w:rFonts w:ascii="Cambria Math" w:hAnsi="Cambria Math"/>
              </w:rPr>
              <m:t>L</m:t>
            </m:r>
            <m:ctrlPr>
              <w:rPr>
                <w:rFonts w:ascii="Cambria Math" w:hAnsi="Cambria Math"/>
              </w:rPr>
            </m:ctrlPr>
          </m:sub>
        </m:sSub>
        <m:r>
          <m:rPr>
            <m:sty m:val="p"/>
          </m:rPr>
          <w:rPr>
            <w:rFonts w:ascii="Cambria Math" w:hAnsi="Cambria Math"/>
          </w:rPr>
          <m:t>+ Δ</m:t>
        </m:r>
        <m:sSub>
          <m:sSubPr>
            <m:ctrlPr>
              <w:rPr>
                <w:rFonts w:ascii="Cambria Math" w:hAnsi="Cambria Math"/>
              </w:rPr>
            </m:ctrlPr>
          </m:sSubPr>
          <m:e>
            <m:r>
              <m:rPr>
                <m:sty m:val="p"/>
              </m:rPr>
              <w:rPr>
                <w:rFonts w:ascii="Cambria Math" w:hAnsi="Cambria Math"/>
              </w:rPr>
              <m:t>p</m:t>
            </m:r>
            <m:ctrlPr>
              <w:rPr>
                <w:rFonts w:ascii="Cambria Math" w:hAnsi="Cambria Math"/>
              </w:rPr>
            </m:ctrlPr>
          </m:e>
          <m:sub>
            <m:r>
              <m:rPr>
                <m:sty m:val="p"/>
              </m:rPr>
              <w:rPr>
                <w:rFonts w:ascii="Cambria Math" w:hAnsi="Cambria Math"/>
              </w:rPr>
              <m:t>i</m:t>
            </m:r>
            <m:ctrlPr>
              <w:rPr>
                <w:rFonts w:ascii="Cambria Math" w:hAnsi="Cambria Math"/>
              </w:rPr>
            </m:ctrlPr>
          </m:sub>
        </m:sSub>
        <m:r>
          <m:rPr>
            <m:sty m:val="p"/>
          </m:rPr>
          <w:rPr>
            <w:rFonts w:ascii="Cambria Math" w:hAnsi="Cambria Math"/>
          </w:rPr>
          <m:t xml:space="preserve">,    i ∈ </m:t>
        </m:r>
        <m:d>
          <m:dPr>
            <m:begChr m:val="{"/>
            <m:endChr m:val="}"/>
            <m:ctrlPr>
              <w:rPr>
                <w:rFonts w:ascii="Cambria Math" w:hAnsi="Cambria Math"/>
              </w:rPr>
            </m:ctrlPr>
          </m:dPr>
          <m:e>
            <m:r>
              <m:rPr>
                <m:sty m:val="p"/>
              </m:rPr>
              <w:rPr>
                <w:rFonts w:ascii="Cambria Math" w:hAnsi="Cambria Math"/>
              </w:rPr>
              <m:t>1,2,3</m:t>
            </m:r>
            <m:ctrlPr>
              <w:rPr>
                <w:rFonts w:ascii="Cambria Math" w:hAnsi="Cambria Math"/>
              </w:rPr>
            </m:ctrlPr>
          </m:e>
        </m:d>
      </m:oMath>
      <w:r>
        <w:rPr>
          <w:rFonts w:ascii="Times New Roman" w:hAnsi="Times New Roman" w:eastAsia="宋体" w:cs="Times New Roman"/>
          <w:color w:val="000000"/>
          <w:sz w:val="24"/>
        </w:rPr>
        <w:tab/>
      </w:r>
      <w:r>
        <w:rPr>
          <w:rFonts w:ascii="Times New Roman" w:hAnsi="Times New Roman" w:eastAsia="宋体" w:cs="Times New Roman"/>
          <w:color w:val="000000"/>
          <w:sz w:val="24"/>
        </w:rPr>
        <w:t>(4-1)</w:t>
      </w:r>
    </w:p>
    <w:p w14:paraId="167593F3">
      <w:pPr>
        <w:pageBreakBefore w:val="0"/>
        <w:spacing w:before="0" w:after="0" w:line="360" w:lineRule="auto"/>
        <w:ind w:firstLine="480"/>
        <w:jc w:val="both"/>
      </w:pPr>
      <w:r>
        <w:rPr>
          <w:rFonts w:ascii="Times New Roman" w:hAnsi="Times New Roman" w:eastAsia="宋体" w:cs="Times New Roman"/>
          <w:color w:val="000000"/>
          <w:sz w:val="24"/>
        </w:rPr>
        <w:t>其中pL为领导机位置参考，Δpi为第i架无人机的编队偏置。名义加速度由领导机前馈和位置、速度误差反馈组成，位置和速度反馈系数分别为2和1.6。</w:t>
      </w:r>
    </w:p>
    <w:p w14:paraId="37B99F0E">
      <w:pPr>
        <w:pStyle w:val="3"/>
        <w:keepNext/>
        <w:pageBreakBefore w:val="0"/>
        <w:spacing w:before="240" w:after="120"/>
      </w:pPr>
      <w:bookmarkStart w:id="20" w:name="_Toc23468"/>
      <w:r>
        <w:rPr>
          <w:rFonts w:ascii="Times New Roman" w:hAnsi="Times New Roman" w:eastAsia="黑体" w:cs="Times New Roman"/>
          <w:b/>
          <w:color w:val="000000"/>
          <w:sz w:val="26"/>
        </w:rPr>
        <w:t>4.2 RA-GCA-CGHTE与PP-CBF分层架构</w:t>
      </w:r>
      <w:bookmarkEnd w:id="20"/>
    </w:p>
    <w:p w14:paraId="6717A464">
      <w:pPr>
        <w:pageBreakBefore w:val="0"/>
        <w:spacing w:before="0" w:after="0" w:line="360" w:lineRule="auto"/>
        <w:ind w:firstLine="480"/>
        <w:jc w:val="both"/>
      </w:pPr>
      <w:r>
        <w:rPr>
          <w:rFonts w:ascii="Times New Roman" w:hAnsi="Times New Roman" w:eastAsia="宋体" w:cs="Times New Roman"/>
          <w:color w:val="000000"/>
          <w:sz w:val="24"/>
        </w:rPr>
        <w:t>PP-CBF位于参考生成器与三套RA-GCA-CGHTE之间。输入包括9维领导机参考、18维三机平移状态和9维编队偏置；输出为27维三机安全参考及8维诊断。监督器只在预测成对约束不足时修正名义加速度，随后由三套低层控制器分别生成电机指令，每套低层控制器保留自身16维诊断。PP-CBF属于独立上层安全模块，不计入五个单机控制器。</w:t>
      </w:r>
    </w:p>
    <w:p w14:paraId="63847468">
      <w:pPr>
        <w:keepNext/>
        <w:pageBreakBefore w:val="0"/>
        <w:spacing w:before="0" w:after="60"/>
        <w:ind w:firstLine="0"/>
        <w:jc w:val="center"/>
      </w:pPr>
      <w:r>
        <w:drawing>
          <wp:inline distT="0" distB="0" distL="114300" distR="114300">
            <wp:extent cx="5579745" cy="2589530"/>
            <wp:effectExtent l="0" t="0" r="1905" b="1270"/>
            <wp:docPr id="8" name="Picture 15" descr="PP-CBF与三套RA-GCA-CGHTE的分层结构及成对安全几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5" descr="PP-CBF与三套RA-GCA-CGHTE的分层结构及成对安全几何"/>
                    <pic:cNvPicPr>
                      <a:picLocks noChangeAspect="1"/>
                    </pic:cNvPicPr>
                  </pic:nvPicPr>
                  <pic:blipFill>
                    <a:blip r:embed="rId19"/>
                    <a:stretch>
                      <a:fillRect/>
                    </a:stretch>
                  </pic:blipFill>
                  <pic:spPr>
                    <a:xfrm>
                      <a:off x="0" y="0"/>
                      <a:ext cx="5580000" cy="2589866"/>
                    </a:xfrm>
                    <a:prstGeom prst="rect">
                      <a:avLst/>
                    </a:prstGeom>
                  </pic:spPr>
                </pic:pic>
              </a:graphicData>
            </a:graphic>
          </wp:inline>
        </w:drawing>
      </w:r>
    </w:p>
    <w:p w14:paraId="5938928A">
      <w:pPr>
        <w:pStyle w:val="4"/>
        <w:pageBreakBefore w:val="0"/>
        <w:spacing w:before="40" w:after="40"/>
      </w:pPr>
      <w:r>
        <w:rPr>
          <w:rFonts w:ascii="Times New Roman" w:hAnsi="Times New Roman" w:eastAsia="宋体" w:cs="Times New Roman"/>
          <w:b/>
          <w:color w:val="000000"/>
          <w:sz w:val="21"/>
        </w:rPr>
        <w:t>图4-1 PP-CBF与三套RA-GCA-CGHTE的分层结构及成对安全几何</w:t>
      </w:r>
    </w:p>
    <w:p w14:paraId="6A5AA1C8">
      <w:pPr>
        <w:pStyle w:val="21"/>
        <w:pageBreakBefore w:val="0"/>
      </w:pPr>
      <w:r>
        <w:rPr>
          <w:rFonts w:ascii="Times New Roman" w:hAnsi="Times New Roman" w:eastAsia="宋体" w:cs="Times New Roman"/>
          <w:b w:val="0"/>
          <w:color w:val="000000"/>
          <w:sz w:val="18"/>
        </w:rPr>
        <w:t>注：左图表示固定三机数据流；右图中的0.615 m为障碍函数设计距离，结果判定值为0.60 m。</w:t>
      </w:r>
    </w:p>
    <w:p w14:paraId="31FD53D8">
      <w:pPr>
        <w:pStyle w:val="3"/>
        <w:keepNext/>
        <w:pageBreakBefore w:val="0"/>
        <w:spacing w:before="240" w:after="120"/>
      </w:pPr>
      <w:bookmarkStart w:id="21" w:name="_Toc31633"/>
      <w:r>
        <w:rPr>
          <w:rFonts w:ascii="Times New Roman" w:hAnsi="Times New Roman" w:eastAsia="黑体" w:cs="Times New Roman"/>
          <w:b/>
          <w:color w:val="000000"/>
          <w:sz w:val="26"/>
        </w:rPr>
        <w:t>4.3 PP-CBF安全约束与逐对投影</w:t>
      </w:r>
      <w:bookmarkEnd w:id="21"/>
    </w:p>
    <w:p w14:paraId="5E86454E">
      <w:pPr>
        <w:pageBreakBefore w:val="0"/>
        <w:spacing w:before="0" w:after="0" w:line="360" w:lineRule="auto"/>
        <w:ind w:firstLine="480"/>
        <w:jc w:val="both"/>
      </w:pPr>
      <w:r>
        <w:rPr>
          <w:rFonts w:ascii="Times New Roman" w:hAnsi="Times New Roman" w:eastAsia="宋体" w:cs="Times New Roman"/>
          <w:color w:val="000000"/>
          <w:sz w:val="24"/>
        </w:rPr>
        <w:t>对任意无人机对(i,j)，定义相对位置rij = pi - pj和相对速度vij = vi - vj。本文采用Tp = 0.08 s进行一阶前视：</w:t>
      </w:r>
    </w:p>
    <w:p w14:paraId="601DB83F">
      <w:pPr>
        <w:pageBreakBefore w:val="0"/>
        <w:tabs>
          <w:tab w:val="center" w:pos="4250"/>
          <w:tab w:val="right" w:pos="8500"/>
        </w:tabs>
        <w:spacing w:before="0" w:after="60"/>
        <w:ind w:firstLine="0"/>
        <w:jc w:val="left"/>
      </w:pPr>
      <w:r>
        <w:tab/>
      </w:r>
      <m:oMath>
        <m:sSub>
          <m:sSubPr>
            <m:ctrlPr>
              <w:rPr>
                <w:rFonts w:ascii="Cambria Math" w:hAnsi="Cambria Math"/>
              </w:rPr>
            </m:ctrlPr>
          </m:sSubPr>
          <m:e>
            <m:acc>
              <m:accPr>
                <m:ctrlPr>
                  <w:rPr>
                    <w:rFonts w:ascii="Cambria Math" w:hAnsi="Cambria Math"/>
                  </w:rPr>
                </m:ctrlPr>
              </m:accPr>
              <m:e>
                <m:r>
                  <m:rPr>
                    <m:sty m:val="p"/>
                  </m:rPr>
                  <w:rPr>
                    <w:rFonts w:ascii="Cambria Math" w:hAnsi="Cambria Math"/>
                  </w:rPr>
                  <m:t>r</m:t>
                </m:r>
                <m:ctrlPr>
                  <w:rPr>
                    <w:rFonts w:ascii="Cambria Math" w:hAnsi="Cambria Math"/>
                  </w:rPr>
                </m:ctrlPr>
              </m:e>
            </m:acc>
            <m:ctrlPr>
              <w:rPr>
                <w:rFonts w:ascii="Cambria Math" w:hAnsi="Cambria Math"/>
                <w:i/>
              </w:rPr>
            </m:ctrlPr>
          </m:e>
          <m:sub>
            <m:d>
              <m:dPr>
                <m:begChr m:val="{"/>
                <m:endChr m:val="}"/>
                <m:ctrlPr>
                  <w:rPr>
                    <w:rFonts w:ascii="Cambria Math" w:hAnsi="Cambria Math"/>
                  </w:rPr>
                </m:ctrlPr>
              </m:dPr>
              <m:e>
                <m:r>
                  <m:rPr>
                    <m:sty m:val="p"/>
                  </m:rPr>
                  <w:rPr>
                    <w:rFonts w:ascii="Cambria Math" w:hAnsi="Cambria Math"/>
                  </w:rPr>
                  <m:t>ij</m:t>
                </m:r>
                <m:ctrlPr>
                  <w:rPr>
                    <w:rFonts w:ascii="Cambria Math" w:hAnsi="Cambria Math"/>
                  </w:rPr>
                </m:ctrlPr>
              </m:e>
            </m:d>
            <m:ctrlPr>
              <w:rPr>
                <w:rFonts w:ascii="Cambria Math" w:hAnsi="Cambria Math"/>
              </w:rPr>
            </m:ctrlP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r</m:t>
            </m:r>
            <m:ctrlPr>
              <w:rPr>
                <w:rFonts w:ascii="Cambria Math" w:hAnsi="Cambria Math"/>
              </w:rPr>
            </m:ctrlPr>
          </m:e>
          <m:sub>
            <m:d>
              <m:dPr>
                <m:begChr m:val="{"/>
                <m:endChr m:val="}"/>
                <m:ctrlPr>
                  <w:rPr>
                    <w:rFonts w:ascii="Cambria Math" w:hAnsi="Cambria Math"/>
                  </w:rPr>
                </m:ctrlPr>
              </m:dPr>
              <m:e>
                <m:r>
                  <m:rPr>
                    <m:sty m:val="p"/>
                  </m:rPr>
                  <w:rPr>
                    <w:rFonts w:ascii="Cambria Math" w:hAnsi="Cambria Math"/>
                  </w:rPr>
                  <m:t>ij</m:t>
                </m:r>
                <m:ctrlPr>
                  <w:rPr>
                    <w:rFonts w:ascii="Cambria Math" w:hAnsi="Cambria Math"/>
                  </w:rPr>
                </m:ctrlPr>
              </m:e>
            </m:d>
            <m:ctrlPr>
              <w:rPr>
                <w:rFonts w:ascii="Cambria Math" w:hAnsi="Cambria Math"/>
              </w:rPr>
            </m:ctrlP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T</m:t>
            </m:r>
            <m:ctrlPr>
              <w:rPr>
                <w:rFonts w:ascii="Cambria Math" w:hAnsi="Cambria Math"/>
              </w:rPr>
            </m:ctrlPr>
          </m:e>
          <m:sub>
            <m:r>
              <m:rPr>
                <m:sty m:val="p"/>
              </m:rPr>
              <w:rPr>
                <w:rFonts w:ascii="Cambria Math" w:hAnsi="Cambria Math"/>
              </w:rPr>
              <m:t>p</m:t>
            </m:r>
            <m:ctrlPr>
              <w:rPr>
                <w:rFonts w:ascii="Cambria Math" w:hAnsi="Cambria Math"/>
              </w:rPr>
            </m:ctrlPr>
          </m:sub>
        </m:sSub>
        <m:sSub>
          <m:sSubPr>
            <m:ctrlPr>
              <w:rPr>
                <w:rFonts w:ascii="Cambria Math" w:hAnsi="Cambria Math"/>
              </w:rPr>
            </m:ctrlPr>
          </m:sSubPr>
          <m:e>
            <m:r>
              <m:rPr>
                <m:sty m:val="p"/>
              </m:rPr>
              <w:rPr>
                <w:rFonts w:ascii="Cambria Math" w:hAnsi="Cambria Math"/>
              </w:rPr>
              <m:t>v</m:t>
            </m:r>
            <m:ctrlPr>
              <w:rPr>
                <w:rFonts w:ascii="Cambria Math" w:hAnsi="Cambria Math"/>
              </w:rPr>
            </m:ctrlPr>
          </m:e>
          <m:sub>
            <m:d>
              <m:dPr>
                <m:begChr m:val="{"/>
                <m:endChr m:val="}"/>
                <m:ctrlPr>
                  <w:rPr>
                    <w:rFonts w:ascii="Cambria Math" w:hAnsi="Cambria Math"/>
                  </w:rPr>
                </m:ctrlPr>
              </m:dPr>
              <m:e>
                <m:r>
                  <m:rPr>
                    <m:sty m:val="p"/>
                  </m:rPr>
                  <w:rPr>
                    <w:rFonts w:ascii="Cambria Math" w:hAnsi="Cambria Math"/>
                  </w:rPr>
                  <m:t>ij</m:t>
                </m:r>
                <m:ctrlPr>
                  <w:rPr>
                    <w:rFonts w:ascii="Cambria Math" w:hAnsi="Cambria Math"/>
                  </w:rPr>
                </m:ctrlPr>
              </m:e>
            </m:d>
            <m:ctrlPr>
              <w:rPr>
                <w:rFonts w:ascii="Cambria Math" w:hAnsi="Cambria Math"/>
              </w:rPr>
            </m:ctrlP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h</m:t>
            </m:r>
            <m:ctrlPr>
              <w:rPr>
                <w:rFonts w:ascii="Cambria Math" w:hAnsi="Cambria Math"/>
              </w:rPr>
            </m:ctrlPr>
          </m:e>
          <m:sub>
            <m:d>
              <m:dPr>
                <m:begChr m:val="{"/>
                <m:endChr m:val="}"/>
                <m:ctrlPr>
                  <w:rPr>
                    <w:rFonts w:ascii="Cambria Math" w:hAnsi="Cambria Math"/>
                  </w:rPr>
                </m:ctrlPr>
              </m:dPr>
              <m:e>
                <m:r>
                  <m:rPr>
                    <m:sty m:val="p"/>
                  </m:rPr>
                  <w:rPr>
                    <w:rFonts w:ascii="Cambria Math" w:hAnsi="Cambria Math"/>
                  </w:rPr>
                  <m:t>ij</m:t>
                </m:r>
                <m:ctrlPr>
                  <w:rPr>
                    <w:rFonts w:ascii="Cambria Math" w:hAnsi="Cambria Math"/>
                  </w:rPr>
                </m:ctrlPr>
              </m:e>
            </m:d>
            <m:ctrlPr>
              <w:rPr>
                <w:rFonts w:ascii="Cambria Math" w:hAnsi="Cambria Math"/>
              </w:rPr>
            </m:ctrlPr>
          </m:sub>
        </m:sSub>
        <m:r>
          <m:rPr>
            <m:sty m:val="p"/>
          </m:rPr>
          <w:rPr>
            <w:rFonts w:ascii="Cambria Math" w:hAnsi="Cambria Math"/>
          </w:rPr>
          <m:t xml:space="preserve">= </m:t>
        </m:r>
        <m:sSup>
          <m:sSupPr>
            <m:ctrlPr>
              <w:rPr>
                <w:rFonts w:ascii="Cambria Math" w:hAnsi="Cambria Math"/>
              </w:rPr>
            </m:ctrlPr>
          </m:sSupPr>
          <m:e>
            <m:d>
              <m:dPr>
                <m:begChr m:val="|"/>
                <m:endChr m:val="|"/>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acc>
                          <m:accPr>
                            <m:ctrlPr>
                              <w:rPr>
                                <w:rFonts w:ascii="Cambria Math" w:hAnsi="Cambria Math"/>
                              </w:rPr>
                            </m:ctrlPr>
                          </m:accPr>
                          <m:e>
                            <m:r>
                              <m:rPr>
                                <m:sty m:val="p"/>
                              </m:rPr>
                              <w:rPr>
                                <w:rFonts w:ascii="Cambria Math" w:hAnsi="Cambria Math"/>
                              </w:rPr>
                              <m:t>r</m:t>
                            </m:r>
                            <m:ctrlPr>
                              <w:rPr>
                                <w:rFonts w:ascii="Cambria Math" w:hAnsi="Cambria Math"/>
                              </w:rPr>
                            </m:ctrlPr>
                          </m:e>
                        </m:acc>
                        <m:ctrlPr>
                          <w:rPr>
                            <w:rFonts w:ascii="Cambria Math" w:hAnsi="Cambria Math"/>
                          </w:rPr>
                        </m:ctrlPr>
                      </m:e>
                      <m:sub>
                        <m:d>
                          <m:dPr>
                            <m:begChr m:val="{"/>
                            <m:endChr m:val="}"/>
                            <m:ctrlPr>
                              <w:rPr>
                                <w:rFonts w:ascii="Cambria Math" w:hAnsi="Cambria Math"/>
                              </w:rPr>
                            </m:ctrlPr>
                          </m:dPr>
                          <m:e>
                            <m:r>
                              <m:rPr>
                                <m:sty m:val="p"/>
                              </m:rPr>
                              <w:rPr>
                                <w:rFonts w:ascii="Cambria Math" w:hAnsi="Cambria Math"/>
                              </w:rPr>
                              <m:t>ij</m:t>
                            </m:r>
                            <m:ctrlPr>
                              <w:rPr>
                                <w:rFonts w:ascii="Cambria Math" w:hAnsi="Cambria Math"/>
                              </w:rPr>
                            </m:ctrlPr>
                          </m:e>
                        </m:d>
                        <m:ctrlPr>
                          <w:rPr>
                            <w:rFonts w:ascii="Cambria Math" w:hAnsi="Cambria Math"/>
                          </w:rPr>
                        </m:ctrlPr>
                      </m:sub>
                    </m:sSub>
                    <m:ctrlPr>
                      <w:rPr>
                        <w:rFonts w:ascii="Cambria Math" w:hAnsi="Cambria Math"/>
                      </w:rPr>
                    </m:ctrlPr>
                  </m:e>
                </m:d>
                <m:ctrlPr>
                  <w:rPr>
                    <w:rFonts w:ascii="Cambria Math" w:hAnsi="Cambria Math"/>
                  </w:rPr>
                </m:ctrlPr>
              </m:e>
            </m:d>
            <m:ctrlPr>
              <w:rPr>
                <w:rFonts w:ascii="Cambria Math" w:hAnsi="Cambria Math"/>
              </w:rPr>
            </m:ctrlPr>
          </m:e>
          <m:sup>
            <m:r>
              <m:rPr>
                <m:sty m:val="p"/>
              </m:rPr>
              <w:rPr>
                <w:rFonts w:ascii="Cambria Math" w:hAnsi="Cambria Math"/>
              </w:rPr>
              <m:t>2</m:t>
            </m:r>
            <m:ctrlPr>
              <w:rPr>
                <w:rFonts w:ascii="Cambria Math" w:hAnsi="Cambria Math"/>
              </w:rPr>
            </m:ctrlPr>
          </m:sup>
        </m:sSup>
        <m:r>
          <m:rPr>
            <m:sty m:val="p"/>
          </m:rPr>
          <w:rPr>
            <w:rFonts w:ascii="Cambria Math" w:hAnsi="Cambria Math"/>
          </w:rPr>
          <m:t xml:space="preserve">− </m:t>
        </m:r>
        <m:sSubSup>
          <m:sSubSupPr>
            <m:ctrlPr>
              <w:rPr>
                <w:rFonts w:ascii="Cambria Math" w:hAnsi="Cambria Math"/>
              </w:rPr>
            </m:ctrlPr>
          </m:sSubSupPr>
          <m:e>
            <m:r>
              <m:rPr>
                <m:sty m:val="p"/>
              </m:rPr>
              <w:rPr>
                <w:rFonts w:ascii="Cambria Math" w:hAnsi="Cambria Math"/>
              </w:rPr>
              <m:t>d</m:t>
            </m:r>
            <m:ctrlPr>
              <w:rPr>
                <w:rFonts w:ascii="Cambria Math" w:hAnsi="Cambria Math"/>
              </w:rPr>
            </m:ctrlPr>
          </m:e>
          <m:sub>
            <m:r>
              <m:rPr>
                <m:sty m:val="p"/>
              </m:rPr>
              <w:rPr>
                <w:rFonts w:ascii="Cambria Math" w:hAnsi="Cambria Math"/>
              </w:rPr>
              <m:t>0</m:t>
            </m:r>
            <m:ctrlPr>
              <w:rPr>
                <w:rFonts w:ascii="Cambria Math" w:hAnsi="Cambria Math"/>
              </w:rPr>
            </m:ctrlPr>
          </m:sub>
          <m:sup>
            <m:r>
              <m:rPr>
                <m:sty m:val="p"/>
              </m:rPr>
              <w:rPr>
                <w:rFonts w:ascii="Cambria Math" w:hAnsi="Cambria Math"/>
              </w:rPr>
              <m:t>2</m:t>
            </m:r>
            <m:ctrlPr>
              <w:rPr>
                <w:rFonts w:ascii="Cambria Math" w:hAnsi="Cambria Math"/>
              </w:rPr>
            </m:ctrlPr>
          </m:sup>
        </m:sSubSup>
      </m:oMath>
      <w:r>
        <w:rPr>
          <w:rFonts w:ascii="Times New Roman" w:hAnsi="Times New Roman" w:eastAsia="宋体" w:cs="Times New Roman"/>
          <w:color w:val="000000"/>
          <w:sz w:val="24"/>
        </w:rPr>
        <w:tab/>
      </w:r>
      <w:r>
        <w:rPr>
          <w:rFonts w:ascii="Times New Roman" w:hAnsi="Times New Roman" w:eastAsia="宋体" w:cs="Times New Roman"/>
          <w:color w:val="000000"/>
          <w:sz w:val="24"/>
        </w:rPr>
        <w:t>(4-2)</w:t>
      </w:r>
    </w:p>
    <w:p w14:paraId="6F322CD7">
      <w:pPr>
        <w:pageBreakBefore w:val="0"/>
        <w:spacing w:before="0" w:after="0" w:line="360" w:lineRule="auto"/>
        <w:ind w:firstLine="480"/>
        <w:jc w:val="both"/>
      </w:pPr>
      <w:r>
        <w:rPr>
          <w:rFonts w:ascii="Times New Roman" w:hAnsi="Times New Roman" w:eastAsia="宋体" w:cs="Times New Roman"/>
          <w:b w:val="0"/>
          <w:color w:val="000000"/>
          <w:sz w:val="24"/>
        </w:rPr>
        <w:t>其中d0 = 0.615 m，对应实现中的d0² = 0.378225。本文将0.60 m作为安全距离判定值，两者相差0.015 m，使监督器能够提前介入。预测障碍约束写为</w:t>
      </w:r>
    </w:p>
    <w:p w14:paraId="72EF19C8">
      <w:pPr>
        <w:pageBreakBefore w:val="0"/>
        <w:tabs>
          <w:tab w:val="center" w:pos="4250"/>
          <w:tab w:val="right" w:pos="8500"/>
        </w:tabs>
        <w:spacing w:before="0" w:after="60"/>
        <w:ind w:firstLine="0"/>
        <w:jc w:val="left"/>
      </w:pPr>
      <w:r>
        <w:tab/>
      </w:r>
      <m:oMath>
        <m:sSub>
          <m:sSubPr>
            <m:ctrlPr>
              <w:rPr>
                <w:rFonts w:ascii="Cambria Math" w:hAnsi="Cambria Math"/>
              </w:rPr>
            </m:ctrlPr>
          </m:sSubPr>
          <m:e>
            <m:acc>
              <m:accPr>
                <m:ctrlPr>
                  <w:rPr>
                    <w:rFonts w:ascii="Cambria Math" w:hAnsi="Cambria Math"/>
                  </w:rPr>
                </m:ctrlPr>
              </m:accPr>
              <m:e>
                <m:r>
                  <m:rPr>
                    <m:sty m:val="p"/>
                  </m:rPr>
                  <w:rPr>
                    <w:rFonts w:ascii="Cambria Math" w:hAnsi="Cambria Math"/>
                  </w:rPr>
                  <m:t>r</m:t>
                </m:r>
                <m:ctrlPr>
                  <w:rPr>
                    <w:rFonts w:ascii="Cambria Math" w:hAnsi="Cambria Math"/>
                  </w:rPr>
                </m:ctrlPr>
              </m:e>
            </m:acc>
            <m:ctrlPr>
              <w:rPr>
                <w:rFonts w:ascii="Cambria Math" w:hAnsi="Cambria Math"/>
                <w:i/>
              </w:rPr>
            </m:ctrlPr>
          </m:e>
          <m:sub>
            <m:d>
              <m:dPr>
                <m:begChr m:val="{"/>
                <m:endChr m:val="}"/>
                <m:ctrlPr>
                  <w:rPr>
                    <w:rFonts w:ascii="Cambria Math" w:hAnsi="Cambria Math"/>
                  </w:rPr>
                </m:ctrlPr>
              </m:dPr>
              <m:e>
                <m:r>
                  <m:rPr>
                    <m:sty m:val="p"/>
                  </m:rPr>
                  <w:rPr>
                    <w:rFonts w:ascii="Cambria Math" w:hAnsi="Cambria Math"/>
                  </w:rPr>
                  <m:t>ij</m:t>
                </m:r>
                <m:ctrlPr>
                  <w:rPr>
                    <w:rFonts w:ascii="Cambria Math" w:hAnsi="Cambria Math"/>
                  </w:rPr>
                </m:ctrlPr>
              </m:e>
            </m:d>
            <m:r>
              <m:rPr>
                <m:sty m:val="p"/>
              </m:rPr>
              <w:rPr>
                <w:rFonts w:ascii="Cambria Math" w:hAnsi="Cambria Math"/>
              </w:rPr>
              <m:t>ᵀ</m:t>
            </m:r>
            <m:d>
              <m:dPr>
                <m:ctrlPr>
                  <w:rPr>
                    <w:rFonts w:ascii="Cambria Math" w:hAnsi="Cambria Math"/>
                  </w:rPr>
                </m:ctrlPr>
              </m:dPr>
              <m:e>
                <m:sSub>
                  <m:sSubPr>
                    <m:ctrlPr>
                      <w:rPr>
                        <w:rFonts w:ascii="Cambria Math" w:hAnsi="Cambria Math"/>
                      </w:rPr>
                    </m:ctrlPr>
                  </m:sSubPr>
                  <m:e>
                    <m:r>
                      <m:rPr>
                        <m:sty m:val="p"/>
                      </m:rPr>
                      <w:rPr>
                        <w:rFonts w:ascii="Cambria Math" w:hAnsi="Cambria Math"/>
                      </w:rPr>
                      <m:t>a</m:t>
                    </m:r>
                    <m:ctrlPr>
                      <w:rPr>
                        <w:rFonts w:ascii="Cambria Math" w:hAnsi="Cambria Math"/>
                      </w:rPr>
                    </m:ctrlPr>
                  </m:e>
                  <m:sub>
                    <m:r>
                      <m:rPr>
                        <m:sty m:val="p"/>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a</m:t>
                    </m:r>
                    <m:ctrlPr>
                      <w:rPr>
                        <w:rFonts w:ascii="Cambria Math" w:hAnsi="Cambria Math"/>
                      </w:rPr>
                    </m:ctrlPr>
                  </m:e>
                  <m:sub>
                    <m:r>
                      <m:rPr>
                        <m:sty m:val="p"/>
                      </m:rPr>
                      <w:rPr>
                        <w:rFonts w:ascii="Cambria Math" w:hAnsi="Cambria Math"/>
                      </w:rPr>
                      <m:t>j</m:t>
                    </m:r>
                    <m:ctrlPr>
                      <w:rPr>
                        <w:rFonts w:ascii="Cambria Math" w:hAnsi="Cambria Math"/>
                      </w:rPr>
                    </m:ctrlPr>
                  </m:sub>
                </m:sSub>
                <m:ctrlPr>
                  <w:rPr>
                    <w:rFonts w:ascii="Cambria Math" w:hAnsi="Cambria Math"/>
                  </w:rPr>
                </m:ctrlPr>
              </m:e>
            </m:d>
            <m:ctrlPr>
              <w:rPr>
                <w:rFonts w:ascii="Cambria Math" w:hAnsi="Cambria Math"/>
              </w:rPr>
            </m:ctrlPr>
          </m:sub>
        </m:sSub>
        <m:r>
          <m:rPr>
            <m:sty m:val="p"/>
          </m:rPr>
          <w:rPr>
            <w:rFonts w:ascii="Cambria Math" w:hAnsi="Cambria Math"/>
          </w:rPr>
          <m:t>≥ −</m:t>
        </m:r>
        <m:sSup>
          <m:sSupPr>
            <m:ctrlPr>
              <w:rPr>
                <w:rFonts w:ascii="Cambria Math" w:hAnsi="Cambria Math"/>
              </w:rPr>
            </m:ctrlPr>
          </m:sSupPr>
          <m:e>
            <m:d>
              <m:dPr>
                <m:begChr m:val="|"/>
                <m:endChr m:val="|"/>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v</m:t>
                        </m:r>
                        <m:ctrlPr>
                          <w:rPr>
                            <w:rFonts w:ascii="Cambria Math" w:hAnsi="Cambria Math"/>
                          </w:rPr>
                        </m:ctrlPr>
                      </m:e>
                      <m:sub>
                        <m:d>
                          <m:dPr>
                            <m:begChr m:val="{"/>
                            <m:endChr m:val="}"/>
                            <m:ctrlPr>
                              <w:rPr>
                                <w:rFonts w:ascii="Cambria Math" w:hAnsi="Cambria Math"/>
                              </w:rPr>
                            </m:ctrlPr>
                          </m:dPr>
                          <m:e>
                            <m:r>
                              <m:rPr>
                                <m:sty m:val="p"/>
                              </m:rPr>
                              <w:rPr>
                                <w:rFonts w:ascii="Cambria Math" w:hAnsi="Cambria Math"/>
                              </w:rPr>
                              <m:t>ij</m:t>
                            </m:r>
                            <m:ctrlPr>
                              <w:rPr>
                                <w:rFonts w:ascii="Cambria Math" w:hAnsi="Cambria Math"/>
                              </w:rPr>
                            </m:ctrlPr>
                          </m:e>
                        </m:d>
                        <m:ctrlPr>
                          <w:rPr>
                            <w:rFonts w:ascii="Cambria Math" w:hAnsi="Cambria Math"/>
                          </w:rPr>
                        </m:ctrlPr>
                      </m:sub>
                    </m:sSub>
                    <m:ctrlPr>
                      <w:rPr>
                        <w:rFonts w:ascii="Cambria Math" w:hAnsi="Cambria Math"/>
                      </w:rPr>
                    </m:ctrlPr>
                  </m:e>
                </m:d>
                <m:ctrlPr>
                  <w:rPr>
                    <w:rFonts w:ascii="Cambria Math" w:hAnsi="Cambria Math"/>
                  </w:rPr>
                </m:ctrlPr>
              </m:e>
            </m:d>
            <m:ctrlPr>
              <w:rPr>
                <w:rFonts w:ascii="Cambria Math" w:hAnsi="Cambria Math"/>
              </w:rPr>
            </m:ctrlPr>
          </m:e>
          <m:sup>
            <m:r>
              <m:rPr>
                <m:sty m:val="p"/>
              </m:rPr>
              <w:rPr>
                <w:rFonts w:ascii="Cambria Math" w:hAnsi="Cambria Math"/>
              </w:rPr>
              <m:t>2</m:t>
            </m:r>
            <m:ctrlPr>
              <w:rPr>
                <w:rFonts w:ascii="Cambria Math" w:hAnsi="Cambria Math"/>
              </w:rPr>
            </m:ctrlPr>
          </m:sup>
        </m:sSup>
        <m:r>
          <m:rPr>
            <m:sty m:val="p"/>
          </m:rPr>
          <w:rPr>
            <w:rFonts w:ascii="Cambria Math" w:hAnsi="Cambria Math"/>
          </w:rPr>
          <m:t xml:space="preserve">− 5 </m:t>
        </m:r>
        <m:sSub>
          <m:sSubPr>
            <m:ctrlPr>
              <w:rPr>
                <w:rFonts w:ascii="Cambria Math" w:hAnsi="Cambria Math"/>
              </w:rPr>
            </m:ctrlPr>
          </m:sSubPr>
          <m:e>
            <m:acc>
              <m:accPr>
                <m:ctrlPr>
                  <w:rPr>
                    <w:rFonts w:ascii="Cambria Math" w:hAnsi="Cambria Math"/>
                  </w:rPr>
                </m:ctrlPr>
              </m:accPr>
              <m:e>
                <m:r>
                  <m:rPr>
                    <m:sty m:val="p"/>
                  </m:rPr>
                  <w:rPr>
                    <w:rFonts w:ascii="Cambria Math" w:hAnsi="Cambria Math"/>
                  </w:rPr>
                  <m:t>r</m:t>
                </m:r>
                <m:ctrlPr>
                  <w:rPr>
                    <w:rFonts w:ascii="Cambria Math" w:hAnsi="Cambria Math"/>
                  </w:rPr>
                </m:ctrlPr>
              </m:e>
            </m:acc>
            <m:ctrlPr>
              <w:rPr>
                <w:rFonts w:ascii="Cambria Math" w:hAnsi="Cambria Math"/>
              </w:rPr>
            </m:ctrlPr>
          </m:e>
          <m:sub>
            <m:d>
              <m:dPr>
                <m:begChr m:val="{"/>
                <m:endChr m:val="}"/>
                <m:ctrlPr>
                  <w:rPr>
                    <w:rFonts w:ascii="Cambria Math" w:hAnsi="Cambria Math"/>
                  </w:rPr>
                </m:ctrlPr>
              </m:dPr>
              <m:e>
                <m:r>
                  <m:rPr>
                    <m:sty m:val="p"/>
                  </m:rPr>
                  <w:rPr>
                    <w:rFonts w:ascii="Cambria Math" w:hAnsi="Cambria Math"/>
                  </w:rPr>
                  <m:t>ij</m:t>
                </m:r>
                <m:ctrlPr>
                  <w:rPr>
                    <w:rFonts w:ascii="Cambria Math" w:hAnsi="Cambria Math"/>
                  </w:rPr>
                </m:ctrlPr>
              </m:e>
            </m:d>
            <m:r>
              <m:rPr>
                <m:sty m:val="p"/>
              </m:rPr>
              <w:rPr>
                <w:rFonts w:ascii="Cambria Math" w:hAnsi="Cambria Math"/>
              </w:rPr>
              <m:t>ᵀ</m:t>
            </m:r>
            <m:sSub>
              <m:sSubPr>
                <m:ctrlPr>
                  <w:rPr>
                    <w:rFonts w:ascii="Cambria Math" w:hAnsi="Cambria Math"/>
                  </w:rPr>
                </m:ctrlPr>
              </m:sSubPr>
              <m:e>
                <m:r>
                  <m:rPr>
                    <m:sty m:val="p"/>
                  </m:rPr>
                  <w:rPr>
                    <w:rFonts w:ascii="Cambria Math" w:hAnsi="Cambria Math"/>
                  </w:rPr>
                  <m:t>v</m:t>
                </m:r>
                <m:ctrlPr>
                  <w:rPr>
                    <w:rFonts w:ascii="Cambria Math" w:hAnsi="Cambria Math"/>
                  </w:rPr>
                </m:ctrlPr>
              </m:e>
              <m:sub>
                <m:d>
                  <m:dPr>
                    <m:begChr m:val="{"/>
                    <m:endChr m:val="}"/>
                    <m:ctrlPr>
                      <w:rPr>
                        <w:rFonts w:ascii="Cambria Math" w:hAnsi="Cambria Math"/>
                      </w:rPr>
                    </m:ctrlPr>
                  </m:dPr>
                  <m:e>
                    <m:r>
                      <m:rPr>
                        <m:sty m:val="p"/>
                      </m:rPr>
                      <w:rPr>
                        <w:rFonts w:ascii="Cambria Math" w:hAnsi="Cambria Math"/>
                      </w:rPr>
                      <m:t>ij</m:t>
                    </m:r>
                    <m:ctrlPr>
                      <w:rPr>
                        <w:rFonts w:ascii="Cambria Math" w:hAnsi="Cambria Math"/>
                      </w:rPr>
                    </m:ctrlPr>
                  </m:e>
                </m:d>
                <m:ctrlPr>
                  <w:rPr>
                    <w:rFonts w:ascii="Cambria Math" w:hAnsi="Cambria Math"/>
                  </w:rPr>
                </m:ctrlPr>
              </m:sub>
            </m:sSub>
            <m:ctrlPr>
              <w:rPr>
                <w:rFonts w:ascii="Cambria Math" w:hAnsi="Cambria Math"/>
              </w:rPr>
            </m:ctrlPr>
          </m:sub>
        </m:sSub>
        <m:r>
          <m:rPr>
            <m:sty m:val="p"/>
          </m:rPr>
          <w:rPr>
            <w:rFonts w:ascii="Cambria Math" w:hAnsi="Cambria Math"/>
          </w:rPr>
          <m:t xml:space="preserve">− 3 </m:t>
        </m:r>
        <m:sSub>
          <m:sSubPr>
            <m:ctrlPr>
              <w:rPr>
                <w:rFonts w:ascii="Cambria Math" w:hAnsi="Cambria Math"/>
              </w:rPr>
            </m:ctrlPr>
          </m:sSubPr>
          <m:e>
            <m:r>
              <m:rPr>
                <m:sty m:val="p"/>
              </m:rPr>
              <w:rPr>
                <w:rFonts w:ascii="Cambria Math" w:hAnsi="Cambria Math"/>
              </w:rPr>
              <m:t>h</m:t>
            </m:r>
            <m:ctrlPr>
              <w:rPr>
                <w:rFonts w:ascii="Cambria Math" w:hAnsi="Cambria Math"/>
              </w:rPr>
            </m:ctrlPr>
          </m:e>
          <m:sub>
            <m:d>
              <m:dPr>
                <m:begChr m:val="{"/>
                <m:endChr m:val="}"/>
                <m:ctrlPr>
                  <w:rPr>
                    <w:rFonts w:ascii="Cambria Math" w:hAnsi="Cambria Math"/>
                  </w:rPr>
                </m:ctrlPr>
              </m:dPr>
              <m:e>
                <m:r>
                  <m:rPr>
                    <m:sty m:val="p"/>
                  </m:rPr>
                  <w:rPr>
                    <w:rFonts w:ascii="Cambria Math" w:hAnsi="Cambria Math"/>
                  </w:rPr>
                  <m:t>ij</m:t>
                </m:r>
                <m:ctrlPr>
                  <w:rPr>
                    <w:rFonts w:ascii="Cambria Math" w:hAnsi="Cambria Math"/>
                  </w:rPr>
                </m:ctrlPr>
              </m:e>
            </m:d>
            <m:ctrlPr>
              <w:rPr>
                <w:rFonts w:ascii="Cambria Math" w:hAnsi="Cambria Math"/>
              </w:rPr>
            </m:ctrlPr>
          </m:sub>
        </m:sSub>
      </m:oMath>
      <w:r>
        <w:rPr>
          <w:rFonts w:ascii="Times New Roman" w:hAnsi="Times New Roman" w:eastAsia="宋体" w:cs="Times New Roman"/>
          <w:color w:val="000000"/>
          <w:sz w:val="24"/>
        </w:rPr>
        <w:tab/>
      </w:r>
      <w:r>
        <w:rPr>
          <w:rFonts w:ascii="Times New Roman" w:hAnsi="Times New Roman" w:eastAsia="宋体" w:cs="Times New Roman"/>
          <w:color w:val="000000"/>
          <w:sz w:val="24"/>
        </w:rPr>
        <w:t>(4-3)</w:t>
      </w:r>
    </w:p>
    <w:p w14:paraId="59BCFA3A">
      <w:pPr>
        <w:pageBreakBefore w:val="0"/>
        <w:spacing w:before="0" w:after="0" w:line="360" w:lineRule="auto"/>
        <w:ind w:firstLine="480"/>
        <w:jc w:val="both"/>
      </w:pPr>
      <w:r>
        <w:rPr>
          <w:rFonts w:ascii="Times New Roman" w:hAnsi="Times New Roman" w:eastAsia="宋体" w:cs="Times New Roman"/>
          <w:color w:val="000000"/>
          <w:sz w:val="24"/>
        </w:rPr>
        <w:t>当名义加速度违反式（4-3）时，投影器沿r̂ij对两机加速度施加大小相等、方向相反的最小范数修正。令约束右端为bij，则</w:t>
      </w:r>
    </w:p>
    <w:p w14:paraId="41D8648D">
      <w:pPr>
        <w:pageBreakBefore w:val="0"/>
        <w:tabs>
          <w:tab w:val="center" w:pos="4250"/>
          <w:tab w:val="right" w:pos="8500"/>
        </w:tabs>
        <w:spacing w:before="0" w:after="60"/>
        <w:ind w:firstLine="0"/>
        <w:jc w:val="left"/>
      </w:pPr>
      <w:r>
        <w:tab/>
      </w:r>
      <m:oMath>
        <m:sSub>
          <m:sSubPr>
            <m:ctrlPr>
              <w:rPr>
                <w:rFonts w:ascii="Cambria Math" w:hAnsi="Cambria Math"/>
              </w:rPr>
            </m:ctrlPr>
          </m:sSubPr>
          <m:e>
            <m:r>
              <m:rPr>
                <m:sty m:val="p"/>
              </m:rPr>
              <w:rPr>
                <w:rFonts w:ascii="Cambria Math" w:hAnsi="Cambria Math"/>
              </w:rPr>
              <m:t>λ</m:t>
            </m:r>
            <m:ctrlPr>
              <w:rPr>
                <w:rFonts w:ascii="Cambria Math" w:hAnsi="Cambria Math"/>
              </w:rPr>
            </m:ctrlPr>
          </m:e>
          <m:sub>
            <m:d>
              <m:dPr>
                <m:begChr m:val="{"/>
                <m:endChr m:val="}"/>
                <m:ctrlPr>
                  <w:rPr>
                    <w:rFonts w:ascii="Cambria Math" w:hAnsi="Cambria Math"/>
                  </w:rPr>
                </m:ctrlPr>
              </m:dPr>
              <m:e>
                <m:r>
                  <m:rPr>
                    <m:sty m:val="p"/>
                  </m:rPr>
                  <w:rPr>
                    <w:rFonts w:ascii="Cambria Math" w:hAnsi="Cambria Math"/>
                  </w:rPr>
                  <m:t>ij</m:t>
                </m:r>
                <m:ctrlPr>
                  <w:rPr>
                    <w:rFonts w:ascii="Cambria Math" w:hAnsi="Cambria Math"/>
                  </w:rPr>
                </m:ctrlPr>
              </m:e>
            </m:d>
            <m:ctrlPr>
              <w:rPr>
                <w:rFonts w:ascii="Cambria Math" w:hAnsi="Cambria Math"/>
              </w:rPr>
            </m:ctrlPr>
          </m:sub>
        </m:sSub>
        <m:r>
          <m:rPr>
            <m:sty m:val="p"/>
          </m:rPr>
          <w:rPr>
            <w:rFonts w:ascii="Cambria Math" w:hAnsi="Cambria Math"/>
          </w:rPr>
          <m:t>=</m:t>
        </m:r>
        <m:func>
          <m:funcPr>
            <m:ctrlPr>
              <w:rPr>
                <w:rFonts w:ascii="Cambria Math" w:hAnsi="Cambria Math"/>
              </w:rPr>
            </m:ctrlPr>
          </m:funcPr>
          <m:fName>
            <m:r>
              <m:rPr>
                <m:sty m:val="p"/>
              </m:rPr>
              <w:rPr>
                <w:rFonts w:ascii="Cambria Math" w:hAnsi="Cambria Math"/>
              </w:rPr>
              <m:t>max</m:t>
            </m:r>
            <m:ctrlPr>
              <w:rPr>
                <w:rFonts w:ascii="Cambria Math" w:hAnsi="Cambria Math"/>
              </w:rPr>
            </m:ctrlPr>
          </m:fName>
          <m:e>
            <m:d>
              <m:dPr>
                <m:ctrlPr>
                  <w:rPr>
                    <w:rFonts w:ascii="Cambria Math" w:hAnsi="Cambria Math"/>
                  </w:rPr>
                </m:ctrlPr>
              </m:dPr>
              <m:e>
                <m:r>
                  <m:rPr>
                    <m:sty m:val="p"/>
                  </m:rPr>
                  <w:rPr>
                    <w:rFonts w:ascii="Cambria Math" w:hAnsi="Cambria Math"/>
                  </w:rPr>
                  <m:t>0,</m:t>
                </m:r>
                <m:f>
                  <m:fPr>
                    <m:ctrlPr>
                      <w:rPr>
                        <w:rFonts w:ascii="Cambria Math" w:hAnsi="Cambria Math"/>
                      </w:rPr>
                    </m:ctrlPr>
                  </m:fPr>
                  <m:num>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b</m:t>
                            </m:r>
                            <m:ctrlPr>
                              <w:rPr>
                                <w:rFonts w:ascii="Cambria Math" w:hAnsi="Cambria Math"/>
                              </w:rPr>
                            </m:ctrlPr>
                          </m:e>
                          <m:sub>
                            <m:d>
                              <m:dPr>
                                <m:begChr m:val="{"/>
                                <m:endChr m:val="}"/>
                                <m:ctrlPr>
                                  <w:rPr>
                                    <w:rFonts w:ascii="Cambria Math" w:hAnsi="Cambria Math"/>
                                  </w:rPr>
                                </m:ctrlPr>
                              </m:dPr>
                              <m:e>
                                <m:r>
                                  <m:rPr>
                                    <m:sty m:val="p"/>
                                  </m:rPr>
                                  <w:rPr>
                                    <w:rFonts w:ascii="Cambria Math" w:hAnsi="Cambria Math"/>
                                  </w:rPr>
                                  <m:t>ij</m:t>
                                </m:r>
                                <m:ctrlPr>
                                  <w:rPr>
                                    <w:rFonts w:ascii="Cambria Math" w:hAnsi="Cambria Math"/>
                                  </w:rPr>
                                </m:ctrlPr>
                              </m:e>
                            </m:d>
                            <m:ctrlPr>
                              <w:rPr>
                                <w:rFonts w:ascii="Cambria Math" w:hAnsi="Cambria Math"/>
                              </w:rPr>
                            </m:ctrlP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sty m:val="p"/>
                                  </m:rPr>
                                  <w:rPr>
                                    <w:rFonts w:ascii="Cambria Math" w:hAnsi="Cambria Math"/>
                                  </w:rPr>
                                  <m:t>r</m:t>
                                </m:r>
                                <m:ctrlPr>
                                  <w:rPr>
                                    <w:rFonts w:ascii="Cambria Math" w:hAnsi="Cambria Math"/>
                                  </w:rPr>
                                </m:ctrlPr>
                              </m:e>
                            </m:acc>
                            <m:ctrlPr>
                              <w:rPr>
                                <w:rFonts w:ascii="Cambria Math" w:hAnsi="Cambria Math"/>
                              </w:rPr>
                            </m:ctrlPr>
                          </m:e>
                          <m:sub>
                            <m:d>
                              <m:dPr>
                                <m:begChr m:val="{"/>
                                <m:endChr m:val="}"/>
                                <m:ctrlPr>
                                  <w:rPr>
                                    <w:rFonts w:ascii="Cambria Math" w:hAnsi="Cambria Math"/>
                                  </w:rPr>
                                </m:ctrlPr>
                              </m:dPr>
                              <m:e>
                                <m:r>
                                  <m:rPr>
                                    <m:sty m:val="p"/>
                                  </m:rPr>
                                  <w:rPr>
                                    <w:rFonts w:ascii="Cambria Math" w:hAnsi="Cambria Math"/>
                                  </w:rPr>
                                  <m:t>ij</m:t>
                                </m:r>
                                <m:ctrlPr>
                                  <w:rPr>
                                    <w:rFonts w:ascii="Cambria Math" w:hAnsi="Cambria Math"/>
                                  </w:rPr>
                                </m:ctrlPr>
                              </m:e>
                            </m:d>
                            <m:r>
                              <m:rPr>
                                <m:sty m:val="p"/>
                              </m:rPr>
                              <w:rPr>
                                <w:rFonts w:ascii="Cambria Math" w:hAnsi="Cambria Math"/>
                              </w:rPr>
                              <m:t>ᵀ</m:t>
                            </m:r>
                            <m:d>
                              <m:dPr>
                                <m:ctrlPr>
                                  <w:rPr>
                                    <w:rFonts w:ascii="Cambria Math" w:hAnsi="Cambria Math"/>
                                  </w:rPr>
                                </m:ctrlPr>
                              </m:dPr>
                              <m:e>
                                <m:sSub>
                                  <m:sSubPr>
                                    <m:ctrlPr>
                                      <w:rPr>
                                        <w:rFonts w:ascii="Cambria Math" w:hAnsi="Cambria Math"/>
                                      </w:rPr>
                                    </m:ctrlPr>
                                  </m:sSubPr>
                                  <m:e>
                                    <m:r>
                                      <m:rPr>
                                        <m:sty m:val="p"/>
                                      </m:rPr>
                                      <w:rPr>
                                        <w:rFonts w:ascii="Cambria Math" w:hAnsi="Cambria Math"/>
                                      </w:rPr>
                                      <m:t>a</m:t>
                                    </m:r>
                                    <m:ctrlPr>
                                      <w:rPr>
                                        <w:rFonts w:ascii="Cambria Math" w:hAnsi="Cambria Math"/>
                                      </w:rPr>
                                    </m:ctrlPr>
                                  </m:e>
                                  <m:sub>
                                    <m:r>
                                      <m:rPr>
                                        <m:sty m:val="p"/>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a</m:t>
                                    </m:r>
                                    <m:ctrlPr>
                                      <w:rPr>
                                        <w:rFonts w:ascii="Cambria Math" w:hAnsi="Cambria Math"/>
                                      </w:rPr>
                                    </m:ctrlPr>
                                  </m:e>
                                  <m:sub>
                                    <m:r>
                                      <m:rPr>
                                        <m:sty m:val="p"/>
                                      </m:rPr>
                                      <w:rPr>
                                        <w:rFonts w:ascii="Cambria Math" w:hAnsi="Cambria Math"/>
                                      </w:rPr>
                                      <m:t>j</m:t>
                                    </m:r>
                                    <m:ctrlPr>
                                      <w:rPr>
                                        <w:rFonts w:ascii="Cambria Math" w:hAnsi="Cambria Math"/>
                                      </w:rPr>
                                    </m:ctrlPr>
                                  </m:sub>
                                </m:sSub>
                                <m:ctrlPr>
                                  <w:rPr>
                                    <w:rFonts w:ascii="Cambria Math" w:hAnsi="Cambria Math"/>
                                  </w:rPr>
                                </m:ctrlPr>
                              </m:e>
                            </m:d>
                            <m:ctrlPr>
                              <w:rPr>
                                <w:rFonts w:ascii="Cambria Math" w:hAnsi="Cambria Math"/>
                              </w:rPr>
                            </m:ctrlPr>
                          </m:sub>
                        </m:sSub>
                        <m:ctrlPr>
                          <w:rPr>
                            <w:rFonts w:ascii="Cambria Math" w:hAnsi="Cambria Math"/>
                          </w:rPr>
                        </m:ctrlPr>
                      </m:e>
                    </m:d>
                    <m:ctrlPr>
                      <w:rPr>
                        <w:rFonts w:ascii="Cambria Math" w:hAnsi="Cambria Math"/>
                      </w:rPr>
                    </m:ctrlPr>
                  </m:num>
                  <m:den>
                    <m:d>
                      <m:dPr>
                        <m:begChr m:val="["/>
                        <m:endChr m:val="]"/>
                        <m:ctrlPr>
                          <w:rPr>
                            <w:rFonts w:ascii="Cambria Math" w:hAnsi="Cambria Math"/>
                          </w:rPr>
                        </m:ctrlPr>
                      </m:dPr>
                      <m:e>
                        <m:r>
                          <m:rPr>
                            <m:sty m:val="p"/>
                          </m:rPr>
                          <w:rPr>
                            <w:rFonts w:ascii="Cambria Math" w:hAnsi="Cambria Math"/>
                          </w:rPr>
                          <m:t>2</m:t>
                        </m:r>
                        <m:d>
                          <m:dPr>
                            <m:ctrlPr>
                              <w:rPr>
                                <w:rFonts w:ascii="Cambria Math" w:hAnsi="Cambria Math"/>
                              </w:rPr>
                            </m:ctrlPr>
                          </m:dPr>
                          <m:e>
                            <m:sSup>
                              <m:sSupPr>
                                <m:ctrlPr>
                                  <w:rPr>
                                    <w:rFonts w:ascii="Cambria Math" w:hAnsi="Cambria Math"/>
                                  </w:rPr>
                                </m:ctrlPr>
                              </m:sSupPr>
                              <m:e>
                                <m:d>
                                  <m:dPr>
                                    <m:begChr m:val="|"/>
                                    <m:endChr m:val="|"/>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acc>
                                              <m:accPr>
                                                <m:ctrlPr>
                                                  <w:rPr>
                                                    <w:rFonts w:ascii="Cambria Math" w:hAnsi="Cambria Math"/>
                                                  </w:rPr>
                                                </m:ctrlPr>
                                              </m:accPr>
                                              <m:e>
                                                <m:r>
                                                  <m:rPr>
                                                    <m:sty m:val="p"/>
                                                  </m:rPr>
                                                  <w:rPr>
                                                    <w:rFonts w:ascii="Cambria Math" w:hAnsi="Cambria Math"/>
                                                  </w:rPr>
                                                  <m:t>r</m:t>
                                                </m:r>
                                                <m:ctrlPr>
                                                  <w:rPr>
                                                    <w:rFonts w:ascii="Cambria Math" w:hAnsi="Cambria Math"/>
                                                  </w:rPr>
                                                </m:ctrlPr>
                                              </m:e>
                                            </m:acc>
                                            <m:ctrlPr>
                                              <w:rPr>
                                                <w:rFonts w:ascii="Cambria Math" w:hAnsi="Cambria Math"/>
                                              </w:rPr>
                                            </m:ctrlPr>
                                          </m:e>
                                          <m:sub>
                                            <m:d>
                                              <m:dPr>
                                                <m:begChr m:val="{"/>
                                                <m:endChr m:val="}"/>
                                                <m:ctrlPr>
                                                  <w:rPr>
                                                    <w:rFonts w:ascii="Cambria Math" w:hAnsi="Cambria Math"/>
                                                  </w:rPr>
                                                </m:ctrlPr>
                                              </m:dPr>
                                              <m:e>
                                                <m:r>
                                                  <m:rPr>
                                                    <m:sty m:val="p"/>
                                                  </m:rPr>
                                                  <w:rPr>
                                                    <w:rFonts w:ascii="Cambria Math" w:hAnsi="Cambria Math"/>
                                                  </w:rPr>
                                                  <m:t>ij</m:t>
                                                </m:r>
                                                <m:ctrlPr>
                                                  <w:rPr>
                                                    <w:rFonts w:ascii="Cambria Math" w:hAnsi="Cambria Math"/>
                                                  </w:rPr>
                                                </m:ctrlPr>
                                              </m:e>
                                            </m:d>
                                            <m:ctrlPr>
                                              <w:rPr>
                                                <w:rFonts w:ascii="Cambria Math" w:hAnsi="Cambria Math"/>
                                              </w:rPr>
                                            </m:ctrlPr>
                                          </m:sub>
                                        </m:sSub>
                                        <m:ctrlPr>
                                          <w:rPr>
                                            <w:rFonts w:ascii="Cambria Math" w:hAnsi="Cambria Math"/>
                                          </w:rPr>
                                        </m:ctrlPr>
                                      </m:e>
                                    </m:d>
                                    <m:ctrlPr>
                                      <w:rPr>
                                        <w:rFonts w:ascii="Cambria Math" w:hAnsi="Cambria Math"/>
                                      </w:rPr>
                                    </m:ctrlPr>
                                  </m:e>
                                </m:d>
                                <m:ctrlPr>
                                  <w:rPr>
                                    <w:rFonts w:ascii="Cambria Math" w:hAnsi="Cambria Math"/>
                                  </w:rPr>
                                </m:ctrlPr>
                              </m:e>
                              <m:sup>
                                <m:r>
                                  <m:rPr>
                                    <m:sty m:val="p"/>
                                  </m:rPr>
                                  <w:rPr>
                                    <w:rFonts w:ascii="Cambria Math" w:hAnsi="Cambria Math"/>
                                  </w:rPr>
                                  <m:t>2</m:t>
                                </m:r>
                                <m:ctrlPr>
                                  <w:rPr>
                                    <w:rFonts w:ascii="Cambria Math" w:hAnsi="Cambria Math"/>
                                  </w:rPr>
                                </m:ctrlPr>
                              </m:sup>
                            </m:sSup>
                            <m:r>
                              <m:rPr>
                                <m:sty m:val="p"/>
                              </m:rPr>
                              <w:rPr>
                                <w:rFonts w:ascii="Cambria Math" w:hAnsi="Cambria Math"/>
                              </w:rPr>
                              <m:t>+ε</m:t>
                            </m:r>
                            <m:ctrlPr>
                              <w:rPr>
                                <w:rFonts w:ascii="Cambria Math" w:hAnsi="Cambria Math"/>
                              </w:rPr>
                            </m:ctrlPr>
                          </m:e>
                        </m:d>
                        <m:ctrlPr>
                          <w:rPr>
                            <w:rFonts w:ascii="Cambria Math" w:hAnsi="Cambria Math"/>
                          </w:rPr>
                        </m:ctrlPr>
                      </m:e>
                    </m:d>
                    <m:ctrlPr>
                      <w:rPr>
                        <w:rFonts w:ascii="Cambria Math" w:hAnsi="Cambria Math"/>
                      </w:rPr>
                    </m:ctrlPr>
                  </m:den>
                </m:f>
                <m:ctrlPr>
                  <w:rPr>
                    <w:rFonts w:ascii="Cambria Math" w:hAnsi="Cambria Math"/>
                  </w:rPr>
                </m:ctrlPr>
              </m:e>
            </m:d>
            <m:ctrlPr>
              <w:rPr>
                <w:rFonts w:ascii="Cambria Math" w:hAnsi="Cambria Math"/>
              </w:rPr>
            </m:ctrlPr>
          </m:e>
        </m:func>
      </m:oMath>
      <w:r>
        <w:rPr>
          <w:rFonts w:ascii="Times New Roman" w:hAnsi="Times New Roman" w:eastAsia="宋体" w:cs="Times New Roman"/>
          <w:color w:val="000000"/>
          <w:sz w:val="24"/>
        </w:rPr>
        <w:tab/>
      </w:r>
      <w:r>
        <w:rPr>
          <w:rFonts w:ascii="Times New Roman" w:hAnsi="Times New Roman" w:eastAsia="宋体" w:cs="Times New Roman"/>
          <w:color w:val="000000"/>
          <w:sz w:val="24"/>
        </w:rPr>
        <w:t>(4-4)</w:t>
      </w:r>
    </w:p>
    <w:p w14:paraId="25965B21">
      <w:pPr>
        <w:pageBreakBefore w:val="0"/>
        <w:tabs>
          <w:tab w:val="center" w:pos="4250"/>
          <w:tab w:val="right" w:pos="8500"/>
        </w:tabs>
        <w:spacing w:before="0" w:after="60"/>
        <w:ind w:firstLine="0"/>
        <w:jc w:val="left"/>
      </w:pPr>
      <w:r>
        <w:tab/>
      </w:r>
      <m:oMath>
        <m:sSubSup>
          <m:sSubSupPr>
            <m:ctrlPr>
              <w:rPr>
                <w:rFonts w:ascii="Cambria Math" w:hAnsi="Cambria Math"/>
              </w:rPr>
            </m:ctrlPr>
          </m:sSubSupPr>
          <m:e>
            <m:r>
              <m:rPr>
                <m:sty m:val="p"/>
              </m:rPr>
              <w:rPr>
                <w:rFonts w:ascii="Cambria Math" w:hAnsi="Cambria Math"/>
              </w:rPr>
              <m:t>a</m:t>
            </m:r>
            <m:ctrlPr>
              <w:rPr>
                <w:rFonts w:ascii="Cambria Math" w:hAnsi="Cambria Math"/>
              </w:rPr>
            </m:ctrlPr>
          </m:e>
          <m:sub>
            <m:r>
              <m:rPr>
                <m:sty m:val="p"/>
              </m:rPr>
              <w:rPr>
                <w:rFonts w:ascii="Cambria Math" w:hAnsi="Cambria Math"/>
              </w:rPr>
              <m:t>i</m:t>
            </m:r>
            <m:ctrlPr>
              <w:rPr>
                <w:rFonts w:ascii="Cambria Math" w:hAnsi="Cambria Math"/>
              </w:rPr>
            </m:ctrlPr>
          </m:sub>
          <m:sup>
            <m:r>
              <m:rPr>
                <m:sty m:val="p"/>
              </m:rPr>
              <w:rPr>
                <w:rFonts w:ascii="Cambria Math" w:hAnsi="Cambria Math"/>
              </w:rPr>
              <m:t>+</m:t>
            </m:r>
            <m:ctrlPr>
              <w:rPr>
                <w:rFonts w:ascii="Cambria Math" w:hAnsi="Cambria Math"/>
              </w:rPr>
            </m:ctrlPr>
          </m:sup>
        </m:sSubSup>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a</m:t>
            </m:r>
            <m:ctrlPr>
              <w:rPr>
                <w:rFonts w:ascii="Cambria Math" w:hAnsi="Cambria Math"/>
              </w:rPr>
            </m:ctrlPr>
          </m:e>
          <m:sub>
            <m:r>
              <m:rPr>
                <m:sty m:val="p"/>
              </m:rPr>
              <w:rPr>
                <w:rFonts w:ascii="Cambria Math" w:hAnsi="Cambria Math"/>
              </w:rPr>
              <m:t>i</m:t>
            </m:r>
            <m:ctrlPr>
              <w:rPr>
                <w:rFonts w:ascii="Cambria Math" w:hAnsi="Cambria Math"/>
              </w:rPr>
            </m:ctrlP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λ</m:t>
            </m:r>
            <m:ctrlPr>
              <w:rPr>
                <w:rFonts w:ascii="Cambria Math" w:hAnsi="Cambria Math"/>
              </w:rPr>
            </m:ctrlPr>
          </m:e>
          <m:sub>
            <m:d>
              <m:dPr>
                <m:begChr m:val="{"/>
                <m:endChr m:val="}"/>
                <m:ctrlPr>
                  <w:rPr>
                    <w:rFonts w:ascii="Cambria Math" w:hAnsi="Cambria Math"/>
                  </w:rPr>
                </m:ctrlPr>
              </m:dPr>
              <m:e>
                <m:r>
                  <m:rPr>
                    <m:sty m:val="p"/>
                  </m:rPr>
                  <w:rPr>
                    <w:rFonts w:ascii="Cambria Math" w:hAnsi="Cambria Math"/>
                  </w:rPr>
                  <m:t>ij</m:t>
                </m:r>
                <m:ctrlPr>
                  <w:rPr>
                    <w:rFonts w:ascii="Cambria Math" w:hAnsi="Cambria Math"/>
                  </w:rPr>
                </m:ctrlPr>
              </m:e>
            </m:d>
            <m:sSub>
              <m:sSubPr>
                <m:ctrlPr>
                  <w:rPr>
                    <w:rFonts w:ascii="Cambria Math" w:hAnsi="Cambria Math"/>
                  </w:rPr>
                </m:ctrlPr>
              </m:sSubPr>
              <m:e>
                <m:acc>
                  <m:accPr>
                    <m:ctrlPr>
                      <w:rPr>
                        <w:rFonts w:ascii="Cambria Math" w:hAnsi="Cambria Math"/>
                      </w:rPr>
                    </m:ctrlPr>
                  </m:accPr>
                  <m:e>
                    <m:r>
                      <m:rPr>
                        <m:sty m:val="p"/>
                      </m:rPr>
                      <w:rPr>
                        <w:rFonts w:ascii="Cambria Math" w:hAnsi="Cambria Math"/>
                      </w:rPr>
                      <m:t>r</m:t>
                    </m:r>
                    <m:ctrlPr>
                      <w:rPr>
                        <w:rFonts w:ascii="Cambria Math" w:hAnsi="Cambria Math"/>
                      </w:rPr>
                    </m:ctrlPr>
                  </m:e>
                </m:acc>
                <m:ctrlPr>
                  <w:rPr>
                    <w:rFonts w:ascii="Cambria Math" w:hAnsi="Cambria Math"/>
                    <w:i/>
                  </w:rPr>
                </m:ctrlPr>
              </m:e>
              <m:sub>
                <m:d>
                  <m:dPr>
                    <m:begChr m:val="{"/>
                    <m:endChr m:val="}"/>
                    <m:ctrlPr>
                      <w:rPr>
                        <w:rFonts w:ascii="Cambria Math" w:hAnsi="Cambria Math"/>
                      </w:rPr>
                    </m:ctrlPr>
                  </m:dPr>
                  <m:e>
                    <m:r>
                      <m:rPr>
                        <m:sty m:val="p"/>
                      </m:rPr>
                      <w:rPr>
                        <w:rFonts w:ascii="Cambria Math" w:hAnsi="Cambria Math"/>
                      </w:rPr>
                      <m:t>ij</m:t>
                    </m:r>
                    <m:ctrlPr>
                      <w:rPr>
                        <w:rFonts w:ascii="Cambria Math" w:hAnsi="Cambria Math"/>
                      </w:rPr>
                    </m:ctrlPr>
                  </m:e>
                </m:d>
                <m:ctrlPr>
                  <w:rPr>
                    <w:rFonts w:ascii="Cambria Math" w:hAnsi="Cambria Math"/>
                  </w:rPr>
                </m:ctrlPr>
              </m:sub>
            </m:sSub>
            <m:ctrlPr>
              <w:rPr>
                <w:rFonts w:ascii="Cambria Math" w:hAnsi="Cambria Math"/>
                <w:i/>
              </w:rPr>
            </m:ctrlPr>
          </m:sub>
        </m:sSub>
        <m:r>
          <m:rPr>
            <m:sty m:val="p"/>
          </m:rPr>
          <w:rPr>
            <w:rFonts w:ascii="Cambria Math" w:hAnsi="Cambria Math"/>
          </w:rPr>
          <m:t xml:space="preserve">,    </m:t>
        </m:r>
        <m:sSubSup>
          <m:sSubSupPr>
            <m:ctrlPr>
              <w:rPr>
                <w:rFonts w:ascii="Cambria Math" w:hAnsi="Cambria Math"/>
              </w:rPr>
            </m:ctrlPr>
          </m:sSubSupPr>
          <m:e>
            <m:r>
              <m:rPr>
                <m:sty m:val="p"/>
              </m:rPr>
              <w:rPr>
                <w:rFonts w:ascii="Cambria Math" w:hAnsi="Cambria Math"/>
              </w:rPr>
              <m:t>a</m:t>
            </m:r>
            <m:ctrlPr>
              <w:rPr>
                <w:rFonts w:ascii="Cambria Math" w:hAnsi="Cambria Math"/>
              </w:rPr>
            </m:ctrlPr>
          </m:e>
          <m:sub>
            <m:r>
              <m:rPr>
                <m:sty m:val="p"/>
              </m:rPr>
              <w:rPr>
                <w:rFonts w:ascii="Cambria Math" w:hAnsi="Cambria Math"/>
              </w:rPr>
              <m:t>j</m:t>
            </m:r>
            <m:ctrlPr>
              <w:rPr>
                <w:rFonts w:ascii="Cambria Math" w:hAnsi="Cambria Math"/>
              </w:rPr>
            </m:ctrlPr>
          </m:sub>
          <m:sup>
            <m:r>
              <m:rPr>
                <m:sty m:val="p"/>
              </m:rPr>
              <w:rPr>
                <w:rFonts w:ascii="Cambria Math" w:hAnsi="Cambria Math"/>
              </w:rPr>
              <m:t>+</m:t>
            </m:r>
            <m:ctrlPr>
              <w:rPr>
                <w:rFonts w:ascii="Cambria Math" w:hAnsi="Cambria Math"/>
              </w:rPr>
            </m:ctrlPr>
          </m:sup>
        </m:sSubSup>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a</m:t>
            </m:r>
            <m:ctrlPr>
              <w:rPr>
                <w:rFonts w:ascii="Cambria Math" w:hAnsi="Cambria Math"/>
              </w:rPr>
            </m:ctrlPr>
          </m:e>
          <m:sub>
            <m:r>
              <m:rPr>
                <m:sty m:val="p"/>
              </m:rPr>
              <w:rPr>
                <w:rFonts w:ascii="Cambria Math" w:hAnsi="Cambria Math"/>
              </w:rPr>
              <m:t>j</m:t>
            </m:r>
            <m:ctrlPr>
              <w:rPr>
                <w:rFonts w:ascii="Cambria Math" w:hAnsi="Cambria Math"/>
              </w:rPr>
            </m:ctrlP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λ</m:t>
            </m:r>
            <m:ctrlPr>
              <w:rPr>
                <w:rFonts w:ascii="Cambria Math" w:hAnsi="Cambria Math"/>
              </w:rPr>
            </m:ctrlPr>
          </m:e>
          <m:sub>
            <m:d>
              <m:dPr>
                <m:begChr m:val="{"/>
                <m:endChr m:val="}"/>
                <m:ctrlPr>
                  <w:rPr>
                    <w:rFonts w:ascii="Cambria Math" w:hAnsi="Cambria Math"/>
                  </w:rPr>
                </m:ctrlPr>
              </m:dPr>
              <m:e>
                <m:r>
                  <m:rPr>
                    <m:sty m:val="p"/>
                  </m:rPr>
                  <w:rPr>
                    <w:rFonts w:ascii="Cambria Math" w:hAnsi="Cambria Math"/>
                  </w:rPr>
                  <m:t>ij</m:t>
                </m:r>
                <m:ctrlPr>
                  <w:rPr>
                    <w:rFonts w:ascii="Cambria Math" w:hAnsi="Cambria Math"/>
                  </w:rPr>
                </m:ctrlPr>
              </m:e>
            </m:d>
            <m:sSub>
              <m:sSubPr>
                <m:ctrlPr>
                  <w:rPr>
                    <w:rFonts w:ascii="Cambria Math" w:hAnsi="Cambria Math"/>
                  </w:rPr>
                </m:ctrlPr>
              </m:sSubPr>
              <m:e>
                <m:acc>
                  <m:accPr>
                    <m:ctrlPr>
                      <w:rPr>
                        <w:rFonts w:ascii="Cambria Math" w:hAnsi="Cambria Math"/>
                      </w:rPr>
                    </m:ctrlPr>
                  </m:accPr>
                  <m:e>
                    <m:r>
                      <m:rPr>
                        <m:sty m:val="p"/>
                      </m:rPr>
                      <w:rPr>
                        <w:rFonts w:ascii="Cambria Math" w:hAnsi="Cambria Math"/>
                      </w:rPr>
                      <m:t>r</m:t>
                    </m:r>
                    <m:ctrlPr>
                      <w:rPr>
                        <w:rFonts w:ascii="Cambria Math" w:hAnsi="Cambria Math"/>
                      </w:rPr>
                    </m:ctrlPr>
                  </m:e>
                </m:acc>
                <m:ctrlPr>
                  <w:rPr>
                    <w:rFonts w:ascii="Cambria Math" w:hAnsi="Cambria Math"/>
                    <w:i/>
                  </w:rPr>
                </m:ctrlPr>
              </m:e>
              <m:sub>
                <m:d>
                  <m:dPr>
                    <m:begChr m:val="{"/>
                    <m:endChr m:val="}"/>
                    <m:ctrlPr>
                      <w:rPr>
                        <w:rFonts w:ascii="Cambria Math" w:hAnsi="Cambria Math"/>
                      </w:rPr>
                    </m:ctrlPr>
                  </m:dPr>
                  <m:e>
                    <m:r>
                      <m:rPr>
                        <m:sty m:val="p"/>
                      </m:rPr>
                      <w:rPr>
                        <w:rFonts w:ascii="Cambria Math" w:hAnsi="Cambria Math"/>
                      </w:rPr>
                      <m:t>ij</m:t>
                    </m:r>
                    <m:ctrlPr>
                      <w:rPr>
                        <w:rFonts w:ascii="Cambria Math" w:hAnsi="Cambria Math"/>
                      </w:rPr>
                    </m:ctrlPr>
                  </m:e>
                </m:d>
                <m:ctrlPr>
                  <w:rPr>
                    <w:rFonts w:ascii="Cambria Math" w:hAnsi="Cambria Math"/>
                  </w:rPr>
                </m:ctrlPr>
              </m:sub>
            </m:sSub>
            <m:ctrlPr>
              <w:rPr>
                <w:rFonts w:ascii="Cambria Math" w:hAnsi="Cambria Math"/>
                <w:i/>
              </w:rPr>
            </m:ctrlPr>
          </m:sub>
        </m:sSub>
      </m:oMath>
      <w:r>
        <w:rPr>
          <w:rFonts w:ascii="Times New Roman" w:hAnsi="Times New Roman" w:eastAsia="宋体" w:cs="Times New Roman"/>
          <w:color w:val="000000"/>
          <w:sz w:val="24"/>
        </w:rPr>
        <w:tab/>
      </w:r>
      <w:r>
        <w:rPr>
          <w:rFonts w:ascii="Times New Roman" w:hAnsi="Times New Roman" w:eastAsia="宋体" w:cs="Times New Roman"/>
          <w:color w:val="000000"/>
          <w:sz w:val="24"/>
        </w:rPr>
        <w:t>(4-5)</w:t>
      </w:r>
    </w:p>
    <w:p w14:paraId="1432B5AA">
      <w:pPr>
        <w:pageBreakBefore w:val="0"/>
        <w:spacing w:before="0" w:after="0" w:line="360" w:lineRule="auto"/>
        <w:ind w:firstLine="480"/>
        <w:jc w:val="both"/>
      </w:pPr>
      <w:r>
        <w:rPr>
          <w:rFonts w:ascii="Times New Roman" w:hAnsi="Times New Roman" w:eastAsia="宋体" w:cs="Times New Roman"/>
          <w:b w:val="0"/>
          <w:color w:val="000000"/>
          <w:sz w:val="24"/>
        </w:rPr>
        <w:t>三对约束按(1,2)、(1,3)、(2,3)的顺序循环四轮，共执行12次投影。投影结束后再次计算三对残差，并将每个加速度分量限制在±4 m/s²。该实现把控制障碍函数的安全约束思想（Ames et al., 2017, 2019）转化为固定维度、可离散执行的三机投影算法；成对约束也与多机器人安全控制的常用构造一致（Wang et al., 2017）。</w:t>
      </w:r>
    </w:p>
    <w:p w14:paraId="787008D4">
      <w:pPr>
        <w:pStyle w:val="3"/>
        <w:keepNext/>
        <w:pageBreakBefore w:val="0"/>
        <w:spacing w:before="240" w:after="120"/>
      </w:pPr>
      <w:bookmarkStart w:id="22" w:name="_Toc31925"/>
      <w:r>
        <w:rPr>
          <w:rFonts w:ascii="Times New Roman" w:hAnsi="Times New Roman" w:eastAsia="黑体" w:cs="Times New Roman"/>
          <w:b/>
          <w:color w:val="000000"/>
          <w:sz w:val="26"/>
        </w:rPr>
        <w:t>4.4 最小修正、可行性处理与诊断</w:t>
      </w:r>
      <w:bookmarkEnd w:id="22"/>
    </w:p>
    <w:p w14:paraId="7D0FB78E">
      <w:pPr>
        <w:pageBreakBefore w:val="0"/>
        <w:spacing w:before="0" w:after="0" w:line="360" w:lineRule="auto"/>
        <w:ind w:firstLine="480"/>
        <w:jc w:val="both"/>
      </w:pPr>
      <w:r>
        <w:rPr>
          <w:rFonts w:ascii="Times New Roman" w:hAnsi="Times New Roman" w:eastAsia="宋体" w:cs="Times New Roman"/>
          <w:b w:val="0"/>
          <w:color w:val="000000"/>
          <w:sz w:val="24"/>
        </w:rPr>
        <w:t>安全监督器以最小改动名义加速度为设计目标，并同时满足三对预测约束和加速度限制：</w:t>
      </w:r>
    </w:p>
    <w:p w14:paraId="5F01BD3E">
      <w:pPr>
        <w:pageBreakBefore w:val="0"/>
        <w:tabs>
          <w:tab w:val="center" w:pos="4250"/>
          <w:tab w:val="right" w:pos="8500"/>
        </w:tabs>
        <w:spacing w:before="0" w:after="60"/>
        <w:ind w:firstLine="0"/>
        <w:jc w:val="left"/>
      </w:pPr>
      <w:r>
        <w:tab/>
      </w:r>
      <m:oMath>
        <m:f>
          <m:fPr>
            <m:ctrlPr>
              <w:rPr>
                <w:rFonts w:ascii="Cambria Math" w:hAnsi="Cambria Math"/>
              </w:rPr>
            </m:ctrlPr>
          </m:fPr>
          <m:num>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min</m:t>
                    </m:r>
                    <m:ctrlPr>
                      <w:rPr>
                        <w:rFonts w:ascii="Cambria Math" w:hAnsi="Cambria Math"/>
                      </w:rPr>
                    </m:ctrlPr>
                  </m:e>
                  <m:lim>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a</m:t>
                            </m:r>
                            <m:ctrlPr>
                              <w:rPr>
                                <w:rFonts w:ascii="Cambria Math" w:hAnsi="Cambria Math"/>
                              </w:rPr>
                            </m:ctrlPr>
                          </m:e>
                          <m:sub>
                            <m:r>
                              <m:rPr>
                                <m:sty m:val="p"/>
                              </m:rPr>
                              <w:rPr>
                                <w:rFonts w:ascii="Cambria Math" w:hAnsi="Cambria Math"/>
                              </w:rPr>
                              <m:t>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a</m:t>
                            </m:r>
                            <m:ctrlPr>
                              <w:rPr>
                                <w:rFonts w:ascii="Cambria Math" w:hAnsi="Cambria Math"/>
                              </w:rPr>
                            </m:ctrlPr>
                          </m:e>
                          <m:sub>
                            <m:r>
                              <m:rPr>
                                <m:sty m:val="p"/>
                              </m:rPr>
                              <w:rPr>
                                <w:rFonts w:ascii="Cambria Math" w:hAnsi="Cambria Math"/>
                              </w:rPr>
                              <m:t>2</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a</m:t>
                            </m:r>
                            <m:ctrlPr>
                              <w:rPr>
                                <w:rFonts w:ascii="Cambria Math" w:hAnsi="Cambria Math"/>
                              </w:rPr>
                            </m:ctrlPr>
                          </m:e>
                          <m:sub>
                            <m:r>
                              <m:rPr>
                                <m:sty m:val="p"/>
                              </m:rPr>
                              <w:rPr>
                                <w:rFonts w:ascii="Cambria Math" w:hAnsi="Cambria Math"/>
                              </w:rPr>
                              <m:t>3</m:t>
                            </m:r>
                            <m:ctrlPr>
                              <w:rPr>
                                <w:rFonts w:ascii="Cambria Math" w:hAnsi="Cambria Math"/>
                              </w:rPr>
                            </m:ctrlPr>
                          </m:sub>
                        </m:sSub>
                        <m:ctrlPr>
                          <w:rPr>
                            <w:rFonts w:ascii="Cambria Math" w:hAnsi="Cambria Math"/>
                          </w:rPr>
                        </m:ctrlPr>
                      </m:e>
                    </m:d>
                    <m:ctrlPr>
                      <w:rPr>
                        <w:rFonts w:ascii="Cambria Math" w:hAnsi="Cambria Math"/>
                      </w:rPr>
                    </m:ctrlPr>
                  </m:lim>
                </m:limLow>
                <m:ctrlPr>
                  <w:rPr>
                    <w:rFonts w:ascii="Cambria Math" w:hAnsi="Cambria Math"/>
                  </w:rPr>
                </m:ctrlPr>
              </m:fName>
              <m:e>
                <m:r>
                  <m:rPr>
                    <m:sty m:val="p"/>
                  </m:rPr>
                  <w:rPr>
                    <w:rFonts w:ascii="Cambria Math" w:hAnsi="Cambria Math"/>
                  </w:rPr>
                  <m:t>1</m:t>
                </m:r>
                <m:ctrlPr>
                  <w:rPr>
                    <w:rFonts w:ascii="Cambria Math" w:hAnsi="Cambria Math"/>
                  </w:rPr>
                </m:ctrlPr>
              </m:e>
            </m:func>
            <m:ctrlPr>
              <w:rPr>
                <w:rFonts w:ascii="Cambria Math" w:hAnsi="Cambria Math"/>
              </w:rPr>
            </m:ctrlPr>
          </m:num>
          <m:den>
            <m:r>
              <m:rPr>
                <m:sty m:val="p"/>
              </m:rPr>
              <w:rPr>
                <w:rFonts w:ascii="Cambria Math" w:hAnsi="Cambria Math"/>
              </w:rPr>
              <m:t>2</m:t>
            </m:r>
            <m:ctrlPr>
              <w:rPr>
                <w:rFonts w:ascii="Cambria Math" w:hAnsi="Cambria Math"/>
              </w:rPr>
            </m:ctrlPr>
          </m:den>
        </m:f>
        <m:sSubSup>
          <m:sSubSupPr>
            <m:ctrlPr>
              <w:rPr>
                <w:rFonts w:ascii="Cambria Math" w:hAnsi="Cambria Math"/>
              </w:rPr>
            </m:ctrlPr>
          </m:sSubSupPr>
          <m:e>
            <m:r>
              <m:rPr>
                <m:sty m:val="p"/>
              </m:rPr>
              <w:rPr>
                <w:rFonts w:ascii="Cambria Math" w:hAnsi="Cambria Math"/>
              </w:rPr>
              <m:t>Σ</m:t>
            </m:r>
            <m:ctrlPr>
              <w:rPr>
                <w:rFonts w:ascii="Cambria Math" w:hAnsi="Cambria Math"/>
              </w:rPr>
            </m:ctrlPr>
          </m:e>
          <m:sub>
            <m:d>
              <m:dPr>
                <m:begChr m:val="{"/>
                <m:endChr m:val="}"/>
                <m:ctrlPr>
                  <w:rPr>
                    <w:rFonts w:ascii="Cambria Math" w:hAnsi="Cambria Math"/>
                  </w:rPr>
                </m:ctrlPr>
              </m:dPr>
              <m:e>
                <m:r>
                  <m:rPr>
                    <m:sty m:val="p"/>
                  </m:rPr>
                  <w:rPr>
                    <w:rFonts w:ascii="Cambria Math" w:hAnsi="Cambria Math"/>
                  </w:rPr>
                  <m:t>i=1</m:t>
                </m:r>
                <m:ctrlPr>
                  <w:rPr>
                    <w:rFonts w:ascii="Cambria Math" w:hAnsi="Cambria Math"/>
                  </w:rPr>
                </m:ctrlPr>
              </m:e>
            </m:d>
            <m:ctrlPr>
              <w:rPr>
                <w:rFonts w:ascii="Cambria Math" w:hAnsi="Cambria Math"/>
              </w:rPr>
            </m:ctrlPr>
          </m:sub>
          <m:sup>
            <m:r>
              <m:rPr>
                <m:sty m:val="p"/>
              </m:rPr>
              <w:rPr>
                <w:rFonts w:ascii="Cambria Math" w:hAnsi="Cambria Math"/>
              </w:rPr>
              <m:t>3</m:t>
            </m:r>
            <m:ctrlPr>
              <w:rPr>
                <w:rFonts w:ascii="Cambria Math" w:hAnsi="Cambria Math"/>
              </w:rPr>
            </m:ctrlPr>
          </m:sup>
        </m:sSubSup>
        <m:sSup>
          <m:sSupPr>
            <m:ctrlPr>
              <w:rPr>
                <w:rFonts w:ascii="Cambria Math" w:hAnsi="Cambria Math"/>
              </w:rPr>
            </m:ctrlPr>
          </m:sSupPr>
          <m:e>
            <m:d>
              <m:dPr>
                <m:begChr m:val="|"/>
                <m:endChr m:val="|"/>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a</m:t>
                        </m:r>
                        <m:ctrlPr>
                          <w:rPr>
                            <w:rFonts w:ascii="Cambria Math" w:hAnsi="Cambria Math"/>
                          </w:rPr>
                        </m:ctrlPr>
                      </m:e>
                      <m:sub>
                        <m:r>
                          <m:rPr>
                            <m:sty m:val="p"/>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a</m:t>
                        </m:r>
                        <m:ctrlPr>
                          <w:rPr>
                            <w:rFonts w:ascii="Cambria Math" w:hAnsi="Cambria Math"/>
                          </w:rPr>
                        </m:ctrlPr>
                      </m:e>
                      <m:sub>
                        <m:d>
                          <m:dPr>
                            <m:begChr m:val="{"/>
                            <m:endChr m:val="}"/>
                            <m:ctrlPr>
                              <w:rPr>
                                <w:rFonts w:ascii="Cambria Math" w:hAnsi="Cambria Math"/>
                              </w:rPr>
                            </m:ctrlPr>
                          </m:dPr>
                          <m:e>
                            <m:r>
                              <m:rPr>
                                <m:sty m:val="p"/>
                              </m:rPr>
                              <w:rPr>
                                <w:rFonts w:ascii="Cambria Math" w:hAnsi="Cambria Math"/>
                              </w:rPr>
                              <m:t>i,nom</m:t>
                            </m:r>
                            <m:ctrlPr>
                              <w:rPr>
                                <w:rFonts w:ascii="Cambria Math" w:hAnsi="Cambria Math"/>
                              </w:rPr>
                            </m:ctrlPr>
                          </m:e>
                        </m:d>
                        <m:ctrlPr>
                          <w:rPr>
                            <w:rFonts w:ascii="Cambria Math" w:hAnsi="Cambria Math"/>
                          </w:rPr>
                        </m:ctrlPr>
                      </m:sub>
                    </m:sSub>
                    <m:ctrlPr>
                      <w:rPr>
                        <w:rFonts w:ascii="Cambria Math" w:hAnsi="Cambria Math"/>
                      </w:rPr>
                    </m:ctrlPr>
                  </m:e>
                </m:d>
                <m:ctrlPr>
                  <w:rPr>
                    <w:rFonts w:ascii="Cambria Math" w:hAnsi="Cambria Math"/>
                  </w:rPr>
                </m:ctrlPr>
              </m:e>
            </m:d>
            <m:ctrlPr>
              <w:rPr>
                <w:rFonts w:ascii="Cambria Math" w:hAnsi="Cambria Math"/>
              </w:rPr>
            </m:ctrlPr>
          </m:e>
          <m:sup>
            <m:r>
              <m:rPr>
                <m:sty m:val="p"/>
              </m:rPr>
              <w:rPr>
                <w:rFonts w:ascii="Cambria Math" w:hAnsi="Cambria Math"/>
              </w:rPr>
              <m:t>2</m:t>
            </m:r>
            <m:ctrlPr>
              <w:rPr>
                <w:rFonts w:ascii="Cambria Math" w:hAnsi="Cambria Math"/>
              </w:rPr>
            </m:ctrlPr>
          </m:sup>
        </m:sSup>
        <m:r>
          <m:rPr>
            <m:sty m:val="p"/>
          </m:rPr>
          <w:rPr>
            <w:rFonts w:ascii="Cambria Math" w:hAnsi="Cambria Math"/>
          </w:rPr>
          <m:t xml:space="preserve">,    s.t. </m:t>
        </m:r>
        <m:d>
          <m:dPr>
            <m:ctrlPr>
              <w:rPr>
                <w:rFonts w:ascii="Cambria Math" w:hAnsi="Cambria Math"/>
              </w:rPr>
            </m:ctrlPr>
          </m:dPr>
          <m:e>
            <m:r>
              <m:rPr>
                <m:sty m:val="p"/>
              </m:rPr>
              <w:rPr>
                <w:rFonts w:ascii="Cambria Math" w:hAnsi="Cambria Math"/>
              </w:rPr>
              <m:t>4−3</m:t>
            </m:r>
            <m:ctrlPr>
              <w:rPr>
                <w:rFonts w:ascii="Cambria Math" w:hAnsi="Cambria Math"/>
              </w:rPr>
            </m:ctrlPr>
          </m:e>
        </m:d>
        <m:r>
          <m:rPr>
            <m:sty m:val="p"/>
          </m:rPr>
          <w:rPr>
            <w:rFonts w:ascii="Cambria Math" w:hAnsi="Cambria Math"/>
          </w:rPr>
          <m:t xml:space="preserve">, </m:t>
        </m:r>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a</m:t>
                </m:r>
                <m:ctrlPr>
                  <w:rPr>
                    <w:rFonts w:ascii="Cambria Math" w:hAnsi="Cambria Math"/>
                  </w:rPr>
                </m:ctrlPr>
              </m:e>
              <m:sub>
                <m:d>
                  <m:dPr>
                    <m:begChr m:val="{"/>
                    <m:endChr m:val="}"/>
                    <m:ctrlPr>
                      <w:rPr>
                        <w:rFonts w:ascii="Cambria Math" w:hAnsi="Cambria Math"/>
                      </w:rPr>
                    </m:ctrlPr>
                  </m:dPr>
                  <m:e>
                    <m:r>
                      <m:rPr>
                        <m:sty m:val="p"/>
                      </m:rPr>
                      <w:rPr>
                        <w:rFonts w:ascii="Cambria Math" w:hAnsi="Cambria Math"/>
                      </w:rPr>
                      <m:t>i,l</m:t>
                    </m:r>
                    <m:ctrlPr>
                      <w:rPr>
                        <w:rFonts w:ascii="Cambria Math" w:hAnsi="Cambria Math"/>
                      </w:rPr>
                    </m:ctrlPr>
                  </m:e>
                </m:d>
                <m:ctrlPr>
                  <w:rPr>
                    <w:rFonts w:ascii="Cambria Math" w:hAnsi="Cambria Math"/>
                  </w:rPr>
                </m:ctrlPr>
              </m:sub>
            </m:sSub>
            <m:ctrlPr>
              <w:rPr>
                <w:rFonts w:ascii="Cambria Math" w:hAnsi="Cambria Math"/>
              </w:rPr>
            </m:ctrlPr>
          </m:e>
        </m:d>
        <m:r>
          <m:rPr>
            <m:sty m:val="p"/>
          </m:rPr>
          <w:rPr>
            <w:rFonts w:ascii="Cambria Math" w:hAnsi="Cambria Math"/>
          </w:rPr>
          <m:t>≤4</m:t>
        </m:r>
      </m:oMath>
      <w:r>
        <w:rPr>
          <w:rFonts w:ascii="Times New Roman" w:hAnsi="Times New Roman" w:eastAsia="宋体" w:cs="Times New Roman"/>
          <w:color w:val="000000"/>
          <w:sz w:val="24"/>
        </w:rPr>
        <w:tab/>
      </w:r>
      <w:r>
        <w:rPr>
          <w:rFonts w:ascii="Times New Roman" w:hAnsi="Times New Roman" w:eastAsia="宋体" w:cs="Times New Roman"/>
          <w:color w:val="000000"/>
          <w:sz w:val="24"/>
        </w:rPr>
        <w:t>(4-6)</w:t>
      </w:r>
    </w:p>
    <w:p w14:paraId="60C5DAB3">
      <w:pPr>
        <w:pageBreakBefore w:val="0"/>
        <w:spacing w:before="0" w:after="0" w:line="360" w:lineRule="auto"/>
        <w:ind w:firstLine="480"/>
        <w:jc w:val="both"/>
      </w:pPr>
      <w:r>
        <w:rPr>
          <w:rFonts w:ascii="Times New Roman" w:hAnsi="Times New Roman" w:eastAsia="宋体" w:cs="Times New Roman"/>
          <w:color w:val="000000"/>
          <w:sz w:val="24"/>
        </w:rPr>
        <w:t>固定四轮顺序投影给出式（4-6）的实时近似解。为了向低层控制器提供连续参考，安全加速度与名义加速度之差经过带泄漏的离散积分生成速度和位置修正：</w:t>
      </w:r>
    </w:p>
    <w:p w14:paraId="2163E370">
      <w:pPr>
        <w:pageBreakBefore w:val="0"/>
        <w:tabs>
          <w:tab w:val="center" w:pos="4250"/>
          <w:tab w:val="right" w:pos="8500"/>
        </w:tabs>
        <w:spacing w:before="0" w:after="60"/>
        <w:ind w:firstLine="0"/>
        <w:jc w:val="left"/>
      </w:pPr>
      <w:r>
        <w:tab/>
      </w:r>
      <m:oMath>
        <m:r>
          <m:rPr>
            <m:sty m:val="p"/>
          </m:rPr>
          <w:rPr>
            <w:rFonts w:ascii="Cambria Math" w:hAnsi="Cambria Math"/>
          </w:rPr>
          <m:t>δ</m:t>
        </m:r>
        <m:sSub>
          <m:sSubPr>
            <m:ctrlPr>
              <w:rPr>
                <w:rFonts w:ascii="Cambria Math" w:hAnsi="Cambria Math"/>
              </w:rPr>
            </m:ctrlPr>
          </m:sSubPr>
          <m:e>
            <m:r>
              <m:rPr>
                <m:sty m:val="p"/>
              </m:rPr>
              <w:rPr>
                <w:rFonts w:ascii="Cambria Math" w:hAnsi="Cambria Math"/>
              </w:rPr>
              <m:t>v</m:t>
            </m:r>
            <m:ctrlPr>
              <w:rPr>
                <w:rFonts w:ascii="Cambria Math" w:hAnsi="Cambria Math"/>
              </w:rPr>
            </m:ctrlPr>
          </m:e>
          <m:sub>
            <m:d>
              <m:dPr>
                <m:begChr m:val="{"/>
                <m:endChr m:val="}"/>
                <m:ctrlPr>
                  <w:rPr>
                    <w:rFonts w:ascii="Cambria Math" w:hAnsi="Cambria Math"/>
                  </w:rPr>
                </m:ctrlPr>
              </m:dPr>
              <m:e>
                <m:r>
                  <m:rPr>
                    <m:sty m:val="p"/>
                  </m:rPr>
                  <w:rPr>
                    <w:rFonts w:ascii="Cambria Math" w:hAnsi="Cambria Math"/>
                  </w:rPr>
                  <m:t>k+1</m:t>
                </m:r>
                <m:ctrlPr>
                  <w:rPr>
                    <w:rFonts w:ascii="Cambria Math" w:hAnsi="Cambria Math"/>
                  </w:rPr>
                </m:ctrlPr>
              </m:e>
            </m:d>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sat</m:t>
            </m:r>
            <m:ctrlPr>
              <w:rPr>
                <w:rFonts w:ascii="Cambria Math" w:hAnsi="Cambria Math"/>
              </w:rPr>
            </m:ctrlPr>
          </m:e>
          <m:sub>
            <m:d>
              <m:dPr>
                <m:begChr m:val="{"/>
                <m:endChr m:val="}"/>
                <m:ctrlPr>
                  <w:rPr>
                    <w:rFonts w:ascii="Cambria Math" w:hAnsi="Cambria Math"/>
                  </w:rPr>
                </m:ctrlPr>
              </m:dPr>
              <m:e>
                <m:d>
                  <m:dPr>
                    <m:begChr m:val="["/>
                    <m:endChr m:val="]"/>
                    <m:ctrlPr>
                      <w:rPr>
                        <w:rFonts w:ascii="Cambria Math" w:hAnsi="Cambria Math"/>
                      </w:rPr>
                    </m:ctrlPr>
                  </m:dPr>
                  <m:e>
                    <m:r>
                      <m:rPr>
                        <m:sty m:val="p"/>
                      </m:rPr>
                      <w:rPr>
                        <w:rFonts w:ascii="Cambria Math" w:hAnsi="Cambria Math"/>
                      </w:rPr>
                      <m:t>−0.6,0.6</m:t>
                    </m:r>
                    <m:ctrlPr>
                      <w:rPr>
                        <w:rFonts w:ascii="Cambria Math" w:hAnsi="Cambria Math"/>
                      </w:rPr>
                    </m:ctrlPr>
                  </m:e>
                </m:d>
                <m:ctrlPr>
                  <w:rPr>
                    <w:rFonts w:ascii="Cambria Math" w:hAnsi="Cambria Math"/>
                  </w:rPr>
                </m:ctrlPr>
              </m:e>
            </m:d>
            <m:d>
              <m:dPr>
                <m:ctrlPr>
                  <w:rPr>
                    <w:rFonts w:ascii="Cambria Math" w:hAnsi="Cambria Math"/>
                  </w:rPr>
                </m:ctrlPr>
              </m:dPr>
              <m:e>
                <m:r>
                  <m:rPr>
                    <m:sty m:val="p"/>
                  </m:rPr>
                  <w:rPr>
                    <w:rFonts w:ascii="Cambria Math" w:hAnsi="Cambria Math"/>
                  </w:rPr>
                  <m:t>0.995δ</m:t>
                </m:r>
                <m:sSub>
                  <m:sSubPr>
                    <m:ctrlPr>
                      <w:rPr>
                        <w:rFonts w:ascii="Cambria Math" w:hAnsi="Cambria Math"/>
                      </w:rPr>
                    </m:ctrlPr>
                  </m:sSubPr>
                  <m:e>
                    <m:r>
                      <m:rPr>
                        <m:sty m:val="p"/>
                      </m:rPr>
                      <w:rPr>
                        <w:rFonts w:ascii="Cambria Math" w:hAnsi="Cambria Math"/>
                      </w:rPr>
                      <m:t>v</m:t>
                    </m:r>
                    <m:ctrlPr>
                      <w:rPr>
                        <w:rFonts w:ascii="Cambria Math" w:hAnsi="Cambria Math"/>
                      </w:rPr>
                    </m:ctrlPr>
                  </m:e>
                  <m:sub>
                    <m:r>
                      <m:rPr>
                        <m:sty m:val="p"/>
                      </m:rPr>
                      <w:rPr>
                        <w:rFonts w:ascii="Cambria Math" w:hAnsi="Cambria Math"/>
                      </w:rPr>
                      <m:t>k</m:t>
                    </m:r>
                    <m:ctrlPr>
                      <w:rPr>
                        <w:rFonts w:ascii="Cambria Math" w:hAnsi="Cambria Math"/>
                      </w:rPr>
                    </m:ctrlPr>
                  </m:sub>
                </m:sSub>
                <m:r>
                  <m:rPr>
                    <m:sty m:val="p"/>
                  </m:rPr>
                  <w:rPr>
                    <w:rFonts w:ascii="Cambria Math" w:hAnsi="Cambria Math"/>
                  </w:rPr>
                  <m:t>+0.01</m:t>
                </m:r>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a</m:t>
                        </m:r>
                        <m:ctrlPr>
                          <w:rPr>
                            <w:rFonts w:ascii="Cambria Math" w:hAnsi="Cambria Math"/>
                          </w:rPr>
                        </m:ctrlPr>
                      </m:e>
                      <m:sub>
                        <m:d>
                          <m:dPr>
                            <m:begChr m:val="{"/>
                            <m:endChr m:val="}"/>
                            <m:ctrlPr>
                              <w:rPr>
                                <w:rFonts w:ascii="Cambria Math" w:hAnsi="Cambria Math"/>
                              </w:rPr>
                            </m:ctrlPr>
                          </m:dPr>
                          <m:e>
                            <m:r>
                              <m:rPr>
                                <m:sty m:val="p"/>
                              </m:rPr>
                              <w:rPr>
                                <w:rFonts w:ascii="Cambria Math" w:hAnsi="Cambria Math"/>
                              </w:rPr>
                              <m:t>safe,k</m:t>
                            </m:r>
                            <m:ctrlPr>
                              <w:rPr>
                                <w:rFonts w:ascii="Cambria Math" w:hAnsi="Cambria Math"/>
                              </w:rPr>
                            </m:ctrlPr>
                          </m:e>
                        </m:d>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a</m:t>
                        </m:r>
                        <m:ctrlPr>
                          <w:rPr>
                            <w:rFonts w:ascii="Cambria Math" w:hAnsi="Cambria Math"/>
                          </w:rPr>
                        </m:ctrlPr>
                      </m:e>
                      <m:sub>
                        <m:d>
                          <m:dPr>
                            <m:begChr m:val="{"/>
                            <m:endChr m:val="}"/>
                            <m:ctrlPr>
                              <w:rPr>
                                <w:rFonts w:ascii="Cambria Math" w:hAnsi="Cambria Math"/>
                              </w:rPr>
                            </m:ctrlPr>
                          </m:dPr>
                          <m:e>
                            <m:r>
                              <m:rPr>
                                <m:sty m:val="p"/>
                              </m:rPr>
                              <w:rPr>
                                <w:rFonts w:ascii="Cambria Math" w:hAnsi="Cambria Math"/>
                              </w:rPr>
                              <m:t>nom,k</m:t>
                            </m:r>
                            <m:ctrlPr>
                              <w:rPr>
                                <w:rFonts w:ascii="Cambria Math" w:hAnsi="Cambria Math"/>
                              </w:rPr>
                            </m:ctrlPr>
                          </m:e>
                        </m:d>
                        <m:ctrlPr>
                          <w:rPr>
                            <w:rFonts w:ascii="Cambria Math" w:hAnsi="Cambria Math"/>
                          </w:rPr>
                        </m:ctrlPr>
                      </m:sub>
                    </m:sSub>
                    <m:ctrlPr>
                      <w:rPr>
                        <w:rFonts w:ascii="Cambria Math" w:hAnsi="Cambria Math"/>
                      </w:rPr>
                    </m:ctrlPr>
                  </m:e>
                </m:d>
                <m:ctrlPr>
                  <w:rPr>
                    <w:rFonts w:ascii="Cambria Math" w:hAnsi="Cambria Math"/>
                  </w:rPr>
                </m:ctrlPr>
              </m:e>
            </m:d>
            <m:ctrlPr>
              <w:rPr>
                <w:rFonts w:ascii="Cambria Math" w:hAnsi="Cambria Math"/>
              </w:rPr>
            </m:ctrlPr>
          </m:sub>
        </m:sSub>
      </m:oMath>
      <w:r>
        <w:rPr>
          <w:rFonts w:ascii="Times New Roman" w:hAnsi="Times New Roman" w:eastAsia="宋体" w:cs="Times New Roman"/>
          <w:color w:val="000000"/>
          <w:sz w:val="24"/>
        </w:rPr>
        <w:tab/>
      </w:r>
      <w:r>
        <w:rPr>
          <w:rFonts w:ascii="Times New Roman" w:hAnsi="Times New Roman" w:eastAsia="宋体" w:cs="Times New Roman"/>
          <w:color w:val="000000"/>
          <w:sz w:val="24"/>
        </w:rPr>
        <w:t>(4-7)</w:t>
      </w:r>
    </w:p>
    <w:p w14:paraId="1019146F">
      <w:pPr>
        <w:pageBreakBefore w:val="0"/>
        <w:tabs>
          <w:tab w:val="center" w:pos="4250"/>
          <w:tab w:val="right" w:pos="8500"/>
        </w:tabs>
        <w:spacing w:before="0" w:after="60"/>
        <w:ind w:firstLine="0"/>
        <w:jc w:val="left"/>
      </w:pPr>
      <w:r>
        <w:tab/>
      </w:r>
      <m:oMath>
        <m:r>
          <m:rPr>
            <m:sty m:val="p"/>
          </m:rPr>
          <w:rPr>
            <w:rFonts w:ascii="Cambria Math" w:hAnsi="Cambria Math"/>
          </w:rPr>
          <m:t>δ</m:t>
        </m:r>
        <m:sSub>
          <m:sSubPr>
            <m:ctrlPr>
              <w:rPr>
                <w:rFonts w:ascii="Cambria Math" w:hAnsi="Cambria Math"/>
              </w:rPr>
            </m:ctrlPr>
          </m:sSubPr>
          <m:e>
            <m:r>
              <m:rPr>
                <m:sty m:val="p"/>
              </m:rPr>
              <w:rPr>
                <w:rFonts w:ascii="Cambria Math" w:hAnsi="Cambria Math"/>
              </w:rPr>
              <m:t>p</m:t>
            </m:r>
            <m:ctrlPr>
              <w:rPr>
                <w:rFonts w:ascii="Cambria Math" w:hAnsi="Cambria Math"/>
              </w:rPr>
            </m:ctrlPr>
          </m:e>
          <m:sub>
            <m:d>
              <m:dPr>
                <m:begChr m:val="{"/>
                <m:endChr m:val="}"/>
                <m:ctrlPr>
                  <w:rPr>
                    <w:rFonts w:ascii="Cambria Math" w:hAnsi="Cambria Math"/>
                  </w:rPr>
                </m:ctrlPr>
              </m:dPr>
              <m:e>
                <m:r>
                  <m:rPr>
                    <m:sty m:val="p"/>
                  </m:rPr>
                  <w:rPr>
                    <w:rFonts w:ascii="Cambria Math" w:hAnsi="Cambria Math"/>
                  </w:rPr>
                  <m:t>k+1</m:t>
                </m:r>
                <m:ctrlPr>
                  <w:rPr>
                    <w:rFonts w:ascii="Cambria Math" w:hAnsi="Cambria Math"/>
                  </w:rPr>
                </m:ctrlPr>
              </m:e>
            </m:d>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sat</m:t>
            </m:r>
            <m:ctrlPr>
              <w:rPr>
                <w:rFonts w:ascii="Cambria Math" w:hAnsi="Cambria Math"/>
              </w:rPr>
            </m:ctrlPr>
          </m:e>
          <m:sub>
            <m:d>
              <m:dPr>
                <m:begChr m:val="{"/>
                <m:endChr m:val="}"/>
                <m:ctrlPr>
                  <w:rPr>
                    <w:rFonts w:ascii="Cambria Math" w:hAnsi="Cambria Math"/>
                  </w:rPr>
                </m:ctrlPr>
              </m:dPr>
              <m:e>
                <m:d>
                  <m:dPr>
                    <m:begChr m:val="["/>
                    <m:endChr m:val="]"/>
                    <m:ctrlPr>
                      <w:rPr>
                        <w:rFonts w:ascii="Cambria Math" w:hAnsi="Cambria Math"/>
                      </w:rPr>
                    </m:ctrlPr>
                  </m:dPr>
                  <m:e>
                    <m:r>
                      <m:rPr>
                        <m:sty m:val="p"/>
                      </m:rPr>
                      <w:rPr>
                        <w:rFonts w:ascii="Cambria Math" w:hAnsi="Cambria Math"/>
                      </w:rPr>
                      <m:t>−0.6,0.6</m:t>
                    </m:r>
                    <m:ctrlPr>
                      <w:rPr>
                        <w:rFonts w:ascii="Cambria Math" w:hAnsi="Cambria Math"/>
                      </w:rPr>
                    </m:ctrlPr>
                  </m:e>
                </m:d>
                <m:ctrlPr>
                  <w:rPr>
                    <w:rFonts w:ascii="Cambria Math" w:hAnsi="Cambria Math"/>
                  </w:rPr>
                </m:ctrlPr>
              </m:e>
            </m:d>
            <m:d>
              <m:dPr>
                <m:ctrlPr>
                  <w:rPr>
                    <w:rFonts w:ascii="Cambria Math" w:hAnsi="Cambria Math"/>
                  </w:rPr>
                </m:ctrlPr>
              </m:dPr>
              <m:e>
                <m:r>
                  <m:rPr>
                    <m:sty m:val="p"/>
                  </m:rPr>
                  <w:rPr>
                    <w:rFonts w:ascii="Cambria Math" w:hAnsi="Cambria Math"/>
                  </w:rPr>
                  <m:t>0.999δ</m:t>
                </m:r>
                <m:sSub>
                  <m:sSubPr>
                    <m:ctrlPr>
                      <w:rPr>
                        <w:rFonts w:ascii="Cambria Math" w:hAnsi="Cambria Math"/>
                      </w:rPr>
                    </m:ctrlPr>
                  </m:sSubPr>
                  <m:e>
                    <m:r>
                      <m:rPr>
                        <m:sty m:val="p"/>
                      </m:rPr>
                      <w:rPr>
                        <w:rFonts w:ascii="Cambria Math" w:hAnsi="Cambria Math"/>
                      </w:rPr>
                      <m:t>p</m:t>
                    </m:r>
                    <m:ctrlPr>
                      <w:rPr>
                        <w:rFonts w:ascii="Cambria Math" w:hAnsi="Cambria Math"/>
                      </w:rPr>
                    </m:ctrlPr>
                  </m:e>
                  <m:sub>
                    <m:r>
                      <m:rPr>
                        <m:sty m:val="p"/>
                      </m:rPr>
                      <w:rPr>
                        <w:rFonts w:ascii="Cambria Math" w:hAnsi="Cambria Math"/>
                      </w:rPr>
                      <m:t>k</m:t>
                    </m:r>
                    <m:ctrlPr>
                      <w:rPr>
                        <w:rFonts w:ascii="Cambria Math" w:hAnsi="Cambria Math"/>
                      </w:rPr>
                    </m:ctrlPr>
                  </m:sub>
                </m:sSub>
                <m:r>
                  <m:rPr>
                    <m:sty m:val="p"/>
                  </m:rPr>
                  <w:rPr>
                    <w:rFonts w:ascii="Cambria Math" w:hAnsi="Cambria Math"/>
                  </w:rPr>
                  <m:t>+0.01δ</m:t>
                </m:r>
                <m:sSub>
                  <m:sSubPr>
                    <m:ctrlPr>
                      <w:rPr>
                        <w:rFonts w:ascii="Cambria Math" w:hAnsi="Cambria Math"/>
                      </w:rPr>
                    </m:ctrlPr>
                  </m:sSubPr>
                  <m:e>
                    <m:r>
                      <m:rPr>
                        <m:sty m:val="p"/>
                      </m:rPr>
                      <w:rPr>
                        <w:rFonts w:ascii="Cambria Math" w:hAnsi="Cambria Math"/>
                      </w:rPr>
                      <m:t>v</m:t>
                    </m:r>
                    <m:ctrlPr>
                      <w:rPr>
                        <w:rFonts w:ascii="Cambria Math" w:hAnsi="Cambria Math"/>
                      </w:rPr>
                    </m:ctrlPr>
                  </m:e>
                  <m:sub>
                    <m:d>
                      <m:dPr>
                        <m:begChr m:val="{"/>
                        <m:endChr m:val="}"/>
                        <m:ctrlPr>
                          <w:rPr>
                            <w:rFonts w:ascii="Cambria Math" w:hAnsi="Cambria Math"/>
                          </w:rPr>
                        </m:ctrlPr>
                      </m:dPr>
                      <m:e>
                        <m:r>
                          <m:rPr>
                            <m:sty m:val="p"/>
                          </m:rPr>
                          <w:rPr>
                            <w:rFonts w:ascii="Cambria Math" w:hAnsi="Cambria Math"/>
                          </w:rPr>
                          <m:t>k+1</m:t>
                        </m:r>
                        <m:ctrlPr>
                          <w:rPr>
                            <w:rFonts w:ascii="Cambria Math" w:hAnsi="Cambria Math"/>
                          </w:rPr>
                        </m:ctrlPr>
                      </m:e>
                    </m:d>
                    <m:ctrlPr>
                      <w:rPr>
                        <w:rFonts w:ascii="Cambria Math" w:hAnsi="Cambria Math"/>
                      </w:rPr>
                    </m:ctrlPr>
                  </m:sub>
                </m:sSub>
                <m:ctrlPr>
                  <w:rPr>
                    <w:rFonts w:ascii="Cambria Math" w:hAnsi="Cambria Math"/>
                  </w:rPr>
                </m:ctrlPr>
              </m:e>
            </m:d>
            <m:ctrlPr>
              <w:rPr>
                <w:rFonts w:ascii="Cambria Math" w:hAnsi="Cambria Math"/>
              </w:rPr>
            </m:ctrlPr>
          </m:sub>
        </m:sSub>
      </m:oMath>
      <w:r>
        <w:rPr>
          <w:rFonts w:ascii="Times New Roman" w:hAnsi="Times New Roman" w:eastAsia="宋体" w:cs="Times New Roman"/>
          <w:color w:val="000000"/>
          <w:sz w:val="24"/>
        </w:rPr>
        <w:tab/>
      </w:r>
      <w:r>
        <w:rPr>
          <w:rFonts w:ascii="Times New Roman" w:hAnsi="Times New Roman" w:eastAsia="宋体" w:cs="Times New Roman"/>
          <w:color w:val="000000"/>
          <w:sz w:val="24"/>
        </w:rPr>
        <w:t>(4-8)</w:t>
      </w:r>
    </w:p>
    <w:p w14:paraId="2D31AA83">
      <w:pPr>
        <w:pageBreakBefore w:val="0"/>
        <w:spacing w:before="0" w:after="0" w:line="360" w:lineRule="auto"/>
        <w:ind w:firstLine="480"/>
        <w:jc w:val="both"/>
      </w:pPr>
      <w:r>
        <w:rPr>
          <w:rFonts w:ascii="Times New Roman" w:hAnsi="Times New Roman" w:eastAsia="宋体" w:cs="Times New Roman"/>
          <w:color w:val="000000"/>
          <w:sz w:val="24"/>
        </w:rPr>
        <w:t>安全位置与速度参考分别为pnom + δp和vnom + δv，速度范数进一步限制在1.5 m/s以内。泄漏项使风险解除后的修正逐步回零，限幅用于控制安全介入对原任务的影响。若三对约束审计的最小残差低于-10⁻⁶，不可行标志置位。正式8维外部诊断依次为最小距离、最小残差、最大队形误差、激活投影数、最大修正、不可行标志、预留量和最大参考速度。</w:t>
      </w:r>
    </w:p>
    <w:p w14:paraId="6567224E">
      <w:pPr>
        <w:pStyle w:val="4"/>
        <w:keepNext/>
        <w:pageBreakBefore w:val="0"/>
      </w:pPr>
      <w:r>
        <w:rPr>
          <w:rFonts w:ascii="Times New Roman" w:hAnsi="Times New Roman" w:eastAsia="宋体" w:cs="Times New Roman"/>
          <w:b/>
          <w:color w:val="000000"/>
          <w:sz w:val="21"/>
        </w:rPr>
        <w:t>表4-1 PP-CBF主要参数、诊断量与解释</w:t>
      </w:r>
    </w:p>
    <w:tbl>
      <w:tblPr>
        <w:tblStyle w:val="10"/>
        <w:tblW w:w="5000" w:type="pct"/>
        <w:jc w:val="center"/>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916"/>
        <w:gridCol w:w="5875"/>
        <w:gridCol w:w="2390"/>
      </w:tblGrid>
      <w:tr w14:paraId="48A42BED">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blHeader/>
          <w:jc w:val="center"/>
        </w:trPr>
        <w:tc>
          <w:tcPr>
            <w:tcW w:w="499" w:type="pct"/>
            <w:tcBorders>
              <w:top w:val="single" w:color="000000" w:sz="12" w:space="0"/>
              <w:bottom w:val="single" w:color="000000" w:sz="4" w:space="0"/>
              <w:tl2br w:val="nil"/>
            </w:tcBorders>
            <w:shd w:val="clear" w:color="auto" w:fill="FFFFFF"/>
            <w:tcMar>
              <w:top w:w="45" w:type="dxa"/>
              <w:left w:w="55" w:type="dxa"/>
              <w:bottom w:w="45" w:type="dxa"/>
              <w:right w:w="55" w:type="dxa"/>
            </w:tcMar>
            <w:vAlign w:val="center"/>
          </w:tcPr>
          <w:p w14:paraId="409BE573">
            <w:pPr>
              <w:spacing w:before="0" w:after="0" w:line="240" w:lineRule="auto"/>
              <w:ind w:firstLine="0"/>
              <w:jc w:val="center"/>
              <w:rPr>
                <w:b/>
                <w:bCs/>
              </w:rPr>
            </w:pPr>
            <w:r>
              <w:rPr>
                <w:rFonts w:ascii="Times New Roman" w:hAnsi="Times New Roman" w:eastAsia="宋体" w:cs="Times New Roman"/>
                <w:b/>
                <w:bCs/>
                <w:color w:val="000000"/>
                <w:sz w:val="19"/>
              </w:rPr>
              <w:t>类别</w:t>
            </w:r>
          </w:p>
        </w:tc>
        <w:tc>
          <w:tcPr>
            <w:tcW w:w="3198" w:type="pct"/>
            <w:tcBorders>
              <w:top w:val="single" w:color="000000" w:sz="12" w:space="0"/>
              <w:bottom w:val="single" w:color="000000" w:sz="4" w:space="0"/>
            </w:tcBorders>
            <w:shd w:val="clear" w:color="auto" w:fill="FFFFFF"/>
            <w:tcMar>
              <w:top w:w="45" w:type="dxa"/>
              <w:left w:w="55" w:type="dxa"/>
              <w:bottom w:w="45" w:type="dxa"/>
              <w:right w:w="55" w:type="dxa"/>
            </w:tcMar>
            <w:vAlign w:val="center"/>
          </w:tcPr>
          <w:p w14:paraId="37BE41D2">
            <w:pPr>
              <w:spacing w:before="0" w:after="0" w:line="240" w:lineRule="auto"/>
              <w:ind w:firstLine="0"/>
              <w:jc w:val="center"/>
              <w:rPr>
                <w:b/>
                <w:bCs/>
              </w:rPr>
            </w:pPr>
            <w:r>
              <w:rPr>
                <w:rFonts w:ascii="Times New Roman" w:hAnsi="Times New Roman" w:eastAsia="宋体" w:cs="Times New Roman"/>
                <w:b/>
                <w:bCs/>
                <w:color w:val="000000"/>
                <w:sz w:val="19"/>
              </w:rPr>
              <w:t>变量或数值</w:t>
            </w:r>
          </w:p>
        </w:tc>
        <w:tc>
          <w:tcPr>
            <w:tcW w:w="1301" w:type="pct"/>
            <w:tcBorders>
              <w:top w:val="single" w:color="000000" w:sz="12" w:space="0"/>
              <w:bottom w:val="single" w:color="000000" w:sz="4" w:space="0"/>
            </w:tcBorders>
            <w:shd w:val="clear" w:color="auto" w:fill="FFFFFF"/>
            <w:tcMar>
              <w:top w:w="45" w:type="dxa"/>
              <w:left w:w="55" w:type="dxa"/>
              <w:bottom w:w="45" w:type="dxa"/>
              <w:right w:w="55" w:type="dxa"/>
            </w:tcMar>
            <w:vAlign w:val="center"/>
          </w:tcPr>
          <w:p w14:paraId="18EFF55A">
            <w:pPr>
              <w:spacing w:before="0" w:after="0" w:line="240" w:lineRule="auto"/>
              <w:ind w:firstLine="0"/>
              <w:jc w:val="center"/>
              <w:rPr>
                <w:b/>
                <w:bCs/>
              </w:rPr>
            </w:pPr>
            <w:r>
              <w:rPr>
                <w:rFonts w:ascii="Times New Roman" w:hAnsi="Times New Roman" w:eastAsia="宋体" w:cs="Times New Roman"/>
                <w:b/>
                <w:bCs/>
                <w:color w:val="000000"/>
                <w:sz w:val="19"/>
              </w:rPr>
              <w:t>工程含义</w:t>
            </w:r>
          </w:p>
        </w:tc>
      </w:tr>
      <w:tr w14:paraId="09AE43F2">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499" w:type="pct"/>
            <w:tcBorders>
              <w:top w:val="single" w:color="000000" w:sz="4" w:space="0"/>
              <w:left w:val="nil"/>
              <w:bottom w:val="nil"/>
              <w:right w:val="nil"/>
            </w:tcBorders>
            <w:shd w:val="clear" w:color="auto" w:fill="FFFFFF"/>
            <w:tcMar>
              <w:top w:w="45" w:type="dxa"/>
              <w:left w:w="55" w:type="dxa"/>
              <w:bottom w:w="45" w:type="dxa"/>
              <w:right w:w="55" w:type="dxa"/>
            </w:tcMar>
            <w:vAlign w:val="center"/>
          </w:tcPr>
          <w:p w14:paraId="5D35FFB5">
            <w:pPr>
              <w:spacing w:before="0" w:after="0" w:line="240" w:lineRule="auto"/>
              <w:ind w:firstLine="0"/>
              <w:jc w:val="center"/>
              <w:rPr>
                <w:b w:val="0"/>
              </w:rPr>
            </w:pPr>
            <w:r>
              <w:rPr>
                <w:rFonts w:ascii="Times New Roman" w:hAnsi="Times New Roman" w:eastAsia="宋体" w:cs="Times New Roman"/>
                <w:b w:val="0"/>
                <w:color w:val="000000"/>
                <w:sz w:val="19"/>
              </w:rPr>
              <w:t>预测安全</w:t>
            </w:r>
          </w:p>
        </w:tc>
        <w:tc>
          <w:tcPr>
            <w:tcW w:w="3198" w:type="pct"/>
            <w:tcBorders>
              <w:top w:val="single" w:color="000000" w:sz="4" w:space="0"/>
              <w:left w:val="nil"/>
              <w:bottom w:val="nil"/>
              <w:right w:val="nil"/>
            </w:tcBorders>
            <w:shd w:val="clear" w:color="auto" w:fill="FFFFFF"/>
            <w:tcMar>
              <w:top w:w="45" w:type="dxa"/>
              <w:left w:w="55" w:type="dxa"/>
              <w:bottom w:w="45" w:type="dxa"/>
              <w:right w:w="55" w:type="dxa"/>
            </w:tcMar>
            <w:vAlign w:val="center"/>
          </w:tcPr>
          <w:p w14:paraId="7B9FB012">
            <w:pPr>
              <w:spacing w:before="0" w:after="0" w:line="240" w:lineRule="auto"/>
              <w:ind w:firstLine="0"/>
              <w:jc w:val="center"/>
              <w:rPr>
                <w:b w:val="0"/>
              </w:rPr>
            </w:pPr>
            <w:r>
              <w:rPr>
                <w:rFonts w:ascii="Times New Roman" w:hAnsi="Times New Roman" w:eastAsia="宋体" w:cs="Times New Roman"/>
                <w:b w:val="0"/>
                <w:color w:val="000000"/>
                <w:sz w:val="19"/>
              </w:rPr>
              <w:t>Tp = 0.08 s；d0 = 0.615 m；安全距离判定值0.60 m</w:t>
            </w:r>
          </w:p>
        </w:tc>
        <w:tc>
          <w:tcPr>
            <w:tcW w:w="1301" w:type="pct"/>
            <w:tcBorders>
              <w:top w:val="single" w:color="000000" w:sz="4" w:space="0"/>
              <w:left w:val="nil"/>
              <w:bottom w:val="nil"/>
              <w:right w:val="nil"/>
            </w:tcBorders>
            <w:shd w:val="clear" w:color="auto" w:fill="FFFFFF"/>
            <w:tcMar>
              <w:top w:w="45" w:type="dxa"/>
              <w:left w:w="55" w:type="dxa"/>
              <w:bottom w:w="45" w:type="dxa"/>
              <w:right w:w="55" w:type="dxa"/>
            </w:tcMar>
            <w:vAlign w:val="center"/>
          </w:tcPr>
          <w:p w14:paraId="3832A344">
            <w:pPr>
              <w:spacing w:before="0" w:after="0" w:line="240" w:lineRule="auto"/>
              <w:ind w:firstLine="0"/>
              <w:jc w:val="center"/>
              <w:rPr>
                <w:b w:val="0"/>
              </w:rPr>
            </w:pPr>
            <w:r>
              <w:rPr>
                <w:rFonts w:ascii="Times New Roman" w:hAnsi="Times New Roman" w:eastAsia="宋体" w:cs="Times New Roman"/>
                <w:b w:val="0"/>
                <w:color w:val="000000"/>
                <w:sz w:val="19"/>
              </w:rPr>
              <w:t>设计距离提供0.015 m提前介入裕量</w:t>
            </w:r>
          </w:p>
        </w:tc>
      </w:tr>
      <w:tr w14:paraId="76F489EE">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499" w:type="pct"/>
            <w:tcBorders>
              <w:top w:val="nil"/>
              <w:left w:val="nil"/>
              <w:bottom w:val="nil"/>
              <w:right w:val="nil"/>
            </w:tcBorders>
            <w:shd w:val="clear" w:color="auto" w:fill="FFFFFF"/>
            <w:tcMar>
              <w:top w:w="45" w:type="dxa"/>
              <w:left w:w="55" w:type="dxa"/>
              <w:bottom w:w="45" w:type="dxa"/>
              <w:right w:w="55" w:type="dxa"/>
            </w:tcMar>
            <w:vAlign w:val="center"/>
          </w:tcPr>
          <w:p w14:paraId="7D713F07">
            <w:pPr>
              <w:spacing w:before="0" w:after="0" w:line="240" w:lineRule="auto"/>
              <w:ind w:firstLine="0"/>
              <w:jc w:val="center"/>
              <w:rPr>
                <w:b w:val="0"/>
              </w:rPr>
            </w:pPr>
            <w:r>
              <w:rPr>
                <w:rFonts w:ascii="Times New Roman" w:hAnsi="Times New Roman" w:eastAsia="宋体" w:cs="Times New Roman"/>
                <w:b w:val="0"/>
                <w:color w:val="000000"/>
                <w:sz w:val="19"/>
              </w:rPr>
              <w:t>障碍参数</w:t>
            </w:r>
          </w:p>
        </w:tc>
        <w:tc>
          <w:tcPr>
            <w:tcW w:w="3198" w:type="pct"/>
            <w:tcBorders>
              <w:top w:val="nil"/>
              <w:left w:val="nil"/>
              <w:bottom w:val="nil"/>
              <w:right w:val="nil"/>
            </w:tcBorders>
            <w:shd w:val="clear" w:color="auto" w:fill="FFFFFF"/>
            <w:tcMar>
              <w:top w:w="45" w:type="dxa"/>
              <w:left w:w="55" w:type="dxa"/>
              <w:bottom w:w="45" w:type="dxa"/>
              <w:right w:w="55" w:type="dxa"/>
            </w:tcMar>
            <w:vAlign w:val="center"/>
          </w:tcPr>
          <w:p w14:paraId="7C8BDE82">
            <w:pPr>
              <w:spacing w:before="0" w:after="0" w:line="240" w:lineRule="auto"/>
              <w:ind w:firstLine="0"/>
              <w:jc w:val="center"/>
              <w:rPr>
                <w:b w:val="0"/>
              </w:rPr>
            </w:pPr>
            <w:r>
              <w:rPr>
                <w:rFonts w:ascii="Times New Roman" w:hAnsi="Times New Roman" w:eastAsia="宋体" w:cs="Times New Roman"/>
                <w:b w:val="0"/>
                <w:color w:val="000000"/>
                <w:sz w:val="19"/>
              </w:rPr>
              <w:t>速度项5；距离项3</w:t>
            </w:r>
          </w:p>
        </w:tc>
        <w:tc>
          <w:tcPr>
            <w:tcW w:w="1301" w:type="pct"/>
            <w:tcBorders>
              <w:top w:val="nil"/>
              <w:left w:val="nil"/>
              <w:bottom w:val="nil"/>
              <w:right w:val="nil"/>
            </w:tcBorders>
            <w:shd w:val="clear" w:color="auto" w:fill="FFFFFF"/>
            <w:tcMar>
              <w:top w:w="45" w:type="dxa"/>
              <w:left w:w="55" w:type="dxa"/>
              <w:bottom w:w="45" w:type="dxa"/>
              <w:right w:w="55" w:type="dxa"/>
            </w:tcMar>
            <w:vAlign w:val="center"/>
          </w:tcPr>
          <w:p w14:paraId="1CE421E2">
            <w:pPr>
              <w:spacing w:before="0" w:after="0" w:line="240" w:lineRule="auto"/>
              <w:ind w:firstLine="0"/>
              <w:jc w:val="center"/>
              <w:rPr>
                <w:b w:val="0"/>
              </w:rPr>
            </w:pPr>
            <w:r>
              <w:rPr>
                <w:rFonts w:ascii="Times New Roman" w:hAnsi="Times New Roman" w:eastAsia="宋体" w:cs="Times New Roman"/>
                <w:b w:val="0"/>
                <w:color w:val="000000"/>
                <w:sz w:val="19"/>
              </w:rPr>
              <w:t>调节接近与恢复</w:t>
            </w:r>
          </w:p>
        </w:tc>
      </w:tr>
      <w:tr w14:paraId="04E618A7">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499" w:type="pct"/>
            <w:tcBorders>
              <w:top w:val="nil"/>
              <w:left w:val="nil"/>
              <w:bottom w:val="nil"/>
              <w:right w:val="nil"/>
            </w:tcBorders>
            <w:shd w:val="clear" w:color="auto" w:fill="FFFFFF"/>
            <w:tcMar>
              <w:top w:w="45" w:type="dxa"/>
              <w:left w:w="55" w:type="dxa"/>
              <w:bottom w:w="45" w:type="dxa"/>
              <w:right w:w="55" w:type="dxa"/>
            </w:tcMar>
            <w:vAlign w:val="center"/>
          </w:tcPr>
          <w:p w14:paraId="1E5C5D75">
            <w:pPr>
              <w:spacing w:before="0" w:after="0" w:line="240" w:lineRule="auto"/>
              <w:ind w:firstLine="0"/>
              <w:jc w:val="center"/>
              <w:rPr>
                <w:b w:val="0"/>
              </w:rPr>
            </w:pPr>
            <w:r>
              <w:rPr>
                <w:rFonts w:ascii="Times New Roman" w:hAnsi="Times New Roman" w:eastAsia="宋体" w:cs="Times New Roman"/>
                <w:b w:val="0"/>
                <w:color w:val="000000"/>
                <w:sz w:val="19"/>
              </w:rPr>
              <w:t>顺序投影</w:t>
            </w:r>
          </w:p>
        </w:tc>
        <w:tc>
          <w:tcPr>
            <w:tcW w:w="3198" w:type="pct"/>
            <w:tcBorders>
              <w:top w:val="nil"/>
              <w:left w:val="nil"/>
              <w:bottom w:val="nil"/>
              <w:right w:val="nil"/>
            </w:tcBorders>
            <w:shd w:val="clear" w:color="auto" w:fill="FFFFFF"/>
            <w:tcMar>
              <w:top w:w="45" w:type="dxa"/>
              <w:left w:w="55" w:type="dxa"/>
              <w:bottom w:w="45" w:type="dxa"/>
              <w:right w:w="55" w:type="dxa"/>
            </w:tcMar>
            <w:vAlign w:val="center"/>
          </w:tcPr>
          <w:p w14:paraId="587A1DDB">
            <w:pPr>
              <w:spacing w:before="0" w:after="0" w:line="240" w:lineRule="auto"/>
              <w:ind w:firstLine="0"/>
              <w:jc w:val="center"/>
              <w:rPr>
                <w:b w:val="0"/>
              </w:rPr>
            </w:pPr>
            <w:r>
              <w:rPr>
                <w:rFonts w:ascii="Times New Roman" w:hAnsi="Times New Roman" w:eastAsia="宋体" w:cs="Times New Roman"/>
                <w:b w:val="0"/>
                <w:color w:val="000000"/>
                <w:sz w:val="19"/>
              </w:rPr>
              <w:t>三对 × 四轮 = 12次</w:t>
            </w:r>
          </w:p>
        </w:tc>
        <w:tc>
          <w:tcPr>
            <w:tcW w:w="1301" w:type="pct"/>
            <w:tcBorders>
              <w:top w:val="nil"/>
              <w:left w:val="nil"/>
              <w:bottom w:val="nil"/>
              <w:right w:val="nil"/>
            </w:tcBorders>
            <w:shd w:val="clear" w:color="auto" w:fill="FFFFFF"/>
            <w:tcMar>
              <w:top w:w="45" w:type="dxa"/>
              <w:left w:w="55" w:type="dxa"/>
              <w:bottom w:w="45" w:type="dxa"/>
              <w:right w:w="55" w:type="dxa"/>
            </w:tcMar>
            <w:vAlign w:val="center"/>
          </w:tcPr>
          <w:p w14:paraId="5FD837EB">
            <w:pPr>
              <w:spacing w:before="0" w:after="0" w:line="240" w:lineRule="auto"/>
              <w:ind w:firstLine="0"/>
              <w:jc w:val="center"/>
              <w:rPr>
                <w:b w:val="0"/>
              </w:rPr>
            </w:pPr>
            <w:r>
              <w:rPr>
                <w:rFonts w:ascii="Times New Roman" w:hAnsi="Times New Roman" w:eastAsia="宋体" w:cs="Times New Roman"/>
                <w:b w:val="0"/>
                <w:color w:val="000000"/>
                <w:sz w:val="19"/>
              </w:rPr>
              <w:t>逼近多约束可行集</w:t>
            </w:r>
          </w:p>
        </w:tc>
      </w:tr>
      <w:tr w14:paraId="2D19A80A">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499" w:type="pct"/>
            <w:tcBorders>
              <w:top w:val="nil"/>
              <w:left w:val="nil"/>
              <w:bottom w:val="nil"/>
              <w:right w:val="nil"/>
            </w:tcBorders>
            <w:shd w:val="clear" w:color="auto" w:fill="FFFFFF"/>
            <w:tcMar>
              <w:top w:w="45" w:type="dxa"/>
              <w:left w:w="55" w:type="dxa"/>
              <w:bottom w:w="45" w:type="dxa"/>
              <w:right w:w="55" w:type="dxa"/>
            </w:tcMar>
            <w:vAlign w:val="center"/>
          </w:tcPr>
          <w:p w14:paraId="0A4C6FD3">
            <w:pPr>
              <w:spacing w:before="0" w:after="0" w:line="240" w:lineRule="auto"/>
              <w:ind w:firstLine="0"/>
              <w:jc w:val="center"/>
              <w:rPr>
                <w:b w:val="0"/>
              </w:rPr>
            </w:pPr>
            <w:r>
              <w:rPr>
                <w:rFonts w:ascii="Times New Roman" w:hAnsi="Times New Roman" w:eastAsia="宋体" w:cs="Times New Roman"/>
                <w:b w:val="0"/>
                <w:color w:val="000000"/>
                <w:sz w:val="19"/>
              </w:rPr>
              <w:t>输出限制</w:t>
            </w:r>
          </w:p>
        </w:tc>
        <w:tc>
          <w:tcPr>
            <w:tcW w:w="3198" w:type="pct"/>
            <w:tcBorders>
              <w:top w:val="nil"/>
              <w:left w:val="nil"/>
              <w:bottom w:val="nil"/>
              <w:right w:val="nil"/>
            </w:tcBorders>
            <w:shd w:val="clear" w:color="auto" w:fill="FFFFFF"/>
            <w:tcMar>
              <w:top w:w="45" w:type="dxa"/>
              <w:left w:w="55" w:type="dxa"/>
              <w:bottom w:w="45" w:type="dxa"/>
              <w:right w:w="55" w:type="dxa"/>
            </w:tcMar>
            <w:vAlign w:val="center"/>
          </w:tcPr>
          <w:p w14:paraId="316AAB20">
            <w:pPr>
              <w:spacing w:before="0" w:after="0" w:line="240" w:lineRule="auto"/>
              <w:ind w:firstLine="0"/>
              <w:jc w:val="center"/>
              <w:rPr>
                <w:b w:val="0"/>
              </w:rPr>
            </w:pPr>
            <w:r>
              <w:rPr>
                <w:rFonts w:ascii="Times New Roman" w:hAnsi="Times New Roman" w:eastAsia="宋体" w:cs="Times New Roman"/>
                <w:b w:val="0"/>
                <w:color w:val="000000"/>
                <w:sz w:val="19"/>
              </w:rPr>
              <w:t>加速度±4；修正±0.6；速度≤1.5</w:t>
            </w:r>
          </w:p>
        </w:tc>
        <w:tc>
          <w:tcPr>
            <w:tcW w:w="1301" w:type="pct"/>
            <w:tcBorders>
              <w:top w:val="nil"/>
              <w:left w:val="nil"/>
              <w:bottom w:val="nil"/>
              <w:right w:val="nil"/>
            </w:tcBorders>
            <w:shd w:val="clear" w:color="auto" w:fill="FFFFFF"/>
            <w:tcMar>
              <w:top w:w="45" w:type="dxa"/>
              <w:left w:w="55" w:type="dxa"/>
              <w:bottom w:w="45" w:type="dxa"/>
              <w:right w:w="55" w:type="dxa"/>
            </w:tcMar>
            <w:vAlign w:val="center"/>
          </w:tcPr>
          <w:p w14:paraId="6433AA50">
            <w:pPr>
              <w:spacing w:before="0" w:after="0" w:line="240" w:lineRule="auto"/>
              <w:ind w:firstLine="0"/>
              <w:jc w:val="center"/>
              <w:rPr>
                <w:b w:val="0"/>
              </w:rPr>
            </w:pPr>
            <w:r>
              <w:rPr>
                <w:rFonts w:ascii="Times New Roman" w:hAnsi="Times New Roman" w:eastAsia="宋体" w:cs="Times New Roman"/>
                <w:b w:val="0"/>
                <w:color w:val="000000"/>
                <w:sz w:val="19"/>
              </w:rPr>
              <w:t>限制安全介入幅度</w:t>
            </w:r>
          </w:p>
        </w:tc>
      </w:tr>
      <w:tr w14:paraId="320904D3">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499" w:type="pct"/>
            <w:tcBorders>
              <w:top w:val="nil"/>
              <w:left w:val="nil"/>
              <w:bottom w:val="single" w:color="000000" w:sz="12" w:space="0"/>
              <w:right w:val="nil"/>
            </w:tcBorders>
            <w:shd w:val="clear" w:color="auto" w:fill="FFFFFF"/>
            <w:tcMar>
              <w:top w:w="45" w:type="dxa"/>
              <w:left w:w="55" w:type="dxa"/>
              <w:bottom w:w="45" w:type="dxa"/>
              <w:right w:w="55" w:type="dxa"/>
            </w:tcMar>
            <w:vAlign w:val="center"/>
          </w:tcPr>
          <w:p w14:paraId="4C504D77">
            <w:pPr>
              <w:spacing w:before="0" w:after="0" w:line="240" w:lineRule="auto"/>
              <w:ind w:firstLine="0"/>
              <w:jc w:val="center"/>
              <w:rPr>
                <w:b w:val="0"/>
              </w:rPr>
            </w:pPr>
            <w:r>
              <w:rPr>
                <w:rFonts w:ascii="Times New Roman" w:hAnsi="Times New Roman" w:eastAsia="宋体" w:cs="Times New Roman"/>
                <w:b w:val="0"/>
                <w:color w:val="000000"/>
                <w:sz w:val="19"/>
              </w:rPr>
              <w:t>8维诊断</w:t>
            </w:r>
          </w:p>
        </w:tc>
        <w:tc>
          <w:tcPr>
            <w:tcW w:w="3198" w:type="pct"/>
            <w:tcBorders>
              <w:top w:val="nil"/>
              <w:left w:val="nil"/>
              <w:bottom w:val="single" w:color="000000" w:sz="12" w:space="0"/>
              <w:right w:val="nil"/>
            </w:tcBorders>
            <w:shd w:val="clear" w:color="auto" w:fill="FFFFFF"/>
            <w:tcMar>
              <w:top w:w="45" w:type="dxa"/>
              <w:left w:w="55" w:type="dxa"/>
              <w:bottom w:w="45" w:type="dxa"/>
              <w:right w:w="55" w:type="dxa"/>
            </w:tcMar>
            <w:vAlign w:val="center"/>
          </w:tcPr>
          <w:p w14:paraId="3FB8B329">
            <w:pPr>
              <w:spacing w:before="0" w:after="0" w:line="240" w:lineRule="auto"/>
              <w:ind w:firstLine="0"/>
              <w:jc w:val="center"/>
              <w:rPr>
                <w:b w:val="0"/>
              </w:rPr>
            </w:pPr>
            <w:r>
              <w:rPr>
                <w:rFonts w:ascii="Times New Roman" w:hAnsi="Times New Roman" w:eastAsia="宋体" w:cs="Times New Roman"/>
                <w:b w:val="0"/>
                <w:color w:val="000000"/>
                <w:sz w:val="19"/>
              </w:rPr>
              <w:t>最小距离、最小残差、最大队形误差、激活投影数、最大修正、不可行标志、预留量、最大参考速度</w:t>
            </w:r>
          </w:p>
        </w:tc>
        <w:tc>
          <w:tcPr>
            <w:tcW w:w="1301" w:type="pct"/>
            <w:tcBorders>
              <w:top w:val="nil"/>
              <w:left w:val="nil"/>
              <w:bottom w:val="single" w:color="000000" w:sz="12" w:space="0"/>
              <w:right w:val="nil"/>
            </w:tcBorders>
            <w:shd w:val="clear" w:color="auto" w:fill="FFFFFF"/>
            <w:tcMar>
              <w:top w:w="45" w:type="dxa"/>
              <w:left w:w="55" w:type="dxa"/>
              <w:bottom w:w="45" w:type="dxa"/>
              <w:right w:w="55" w:type="dxa"/>
            </w:tcMar>
            <w:vAlign w:val="center"/>
          </w:tcPr>
          <w:p w14:paraId="2BBDF912">
            <w:pPr>
              <w:spacing w:before="0" w:after="0" w:line="240" w:lineRule="auto"/>
              <w:ind w:firstLine="0"/>
              <w:jc w:val="center"/>
              <w:rPr>
                <w:b w:val="0"/>
              </w:rPr>
            </w:pPr>
            <w:r>
              <w:rPr>
                <w:rFonts w:ascii="Times New Roman" w:hAnsi="Times New Roman" w:eastAsia="宋体" w:cs="Times New Roman"/>
                <w:b w:val="0"/>
                <w:color w:val="000000"/>
                <w:sz w:val="19"/>
              </w:rPr>
              <w:t>对应PP-CBF的8维诊断输出</w:t>
            </w:r>
          </w:p>
        </w:tc>
      </w:tr>
    </w:tbl>
    <w:p w14:paraId="1F0AF1F7">
      <w:pPr>
        <w:pageBreakBefore w:val="0"/>
      </w:pPr>
    </w:p>
    <w:p w14:paraId="2AAC7200">
      <w:pPr>
        <w:pageBreakBefore w:val="0"/>
        <w:spacing w:before="0" w:after="0" w:line="360" w:lineRule="auto"/>
        <w:ind w:firstLine="480"/>
        <w:jc w:val="both"/>
        <w:rPr>
          <w:rFonts w:ascii="Times New Roman" w:hAnsi="Times New Roman" w:eastAsia="宋体" w:cs="Times New Roman"/>
          <w:color w:val="000000"/>
          <w:sz w:val="24"/>
        </w:rPr>
      </w:pPr>
      <w:r>
        <w:rPr>
          <w:rFonts w:ascii="Times New Roman" w:hAnsi="Times New Roman" w:eastAsia="宋体" w:cs="Times New Roman"/>
          <w:color w:val="000000"/>
          <w:sz w:val="24"/>
        </w:rPr>
        <w:t>PP-CBF的安全结论适用于固定三机、0.01 s采样周期、给定加速度范围和本文测试的初始条件。顺序投影提供可复现的实时近似求解。编队结果通过监督器关闭和开启两种状态进行比较，并同时报告最小机间距离、跟踪误差和安全修正量。</w:t>
      </w:r>
      <w:bookmarkStart w:id="23" w:name="_Toc20609"/>
    </w:p>
    <w:p w14:paraId="70DDB6FF">
      <w:pPr>
        <w:pageBreakBefore w:val="0"/>
        <w:spacing w:before="0" w:after="0" w:line="360" w:lineRule="auto"/>
        <w:ind w:left="0" w:leftChars="0" w:firstLine="0" w:firstLineChars="0"/>
        <w:jc w:val="center"/>
        <w:rPr>
          <w:rFonts w:ascii="Times New Roman" w:hAnsi="Times New Roman" w:eastAsia="宋体" w:cs="Times New Roman"/>
          <w:color w:val="000000"/>
          <w:sz w:val="24"/>
        </w:rPr>
      </w:pPr>
    </w:p>
    <w:p w14:paraId="0D18C808">
      <w:pPr>
        <w:pageBreakBefore w:val="0"/>
        <w:spacing w:before="0" w:after="0" w:line="360" w:lineRule="auto"/>
        <w:ind w:left="0" w:leftChars="0" w:firstLine="0" w:firstLineChars="0"/>
        <w:jc w:val="center"/>
      </w:pPr>
      <w:r>
        <w:rPr>
          <w:rFonts w:ascii="Times New Roman" w:hAnsi="Times New Roman" w:eastAsia="黑体" w:cs="Times New Roman"/>
          <w:b/>
          <w:color w:val="000000"/>
          <w:sz w:val="32"/>
        </w:rPr>
        <w:t>第5章 实验设计与评价方法</w:t>
      </w:r>
      <w:bookmarkEnd w:id="23"/>
    </w:p>
    <w:p w14:paraId="75E55E1B">
      <w:pPr>
        <w:spacing w:before="0" w:after="0" w:line="360" w:lineRule="auto"/>
        <w:ind w:firstLine="480"/>
        <w:jc w:val="both"/>
      </w:pPr>
      <w:r>
        <w:rPr>
          <w:rFonts w:ascii="Times New Roman" w:hAnsi="Times New Roman" w:eastAsia="宋体" w:cs="Times New Roman"/>
          <w:color w:val="000000"/>
          <w:sz w:val="24"/>
        </w:rPr>
        <w:t>本章说明后续性能比较采用的实验设置与评价方法。为保证结果可比，各算法使用相同的四旋翼模型、参考输入、初始条件、求解设置和评价区间，并按统一方法计算评价指标。第6章的单机性能比较和第7章的编队安全验证均遵循这些设置。</w:t>
      </w:r>
    </w:p>
    <w:p w14:paraId="6F61B418">
      <w:pPr>
        <w:pStyle w:val="3"/>
      </w:pPr>
      <w:bookmarkStart w:id="24" w:name="_Toc8806"/>
      <w:r>
        <w:rPr>
          <w:rFonts w:ascii="Times New Roman" w:hAnsi="Times New Roman" w:eastAsia="黑体" w:cs="Times New Roman"/>
          <w:b/>
          <w:color w:val="000000"/>
          <w:sz w:val="26"/>
        </w:rPr>
        <w:t>5.1  对比条件与场景设计</w:t>
      </w:r>
      <w:bookmarkEnd w:id="24"/>
    </w:p>
    <w:p w14:paraId="4EA6E795">
      <w:pPr>
        <w:spacing w:before="0" w:after="0" w:line="360" w:lineRule="auto"/>
        <w:ind w:firstLine="480"/>
        <w:jc w:val="both"/>
      </w:pPr>
      <w:r>
        <w:rPr>
          <w:rFonts w:ascii="Times New Roman" w:hAnsi="Times New Roman" w:eastAsia="宋体" w:cs="Times New Roman"/>
          <w:color w:val="000000"/>
          <w:sz w:val="24"/>
        </w:rPr>
        <w:t>单机实验比较五种方法。PID是赛题给出的基线，RA-GCA/Base是几何控制基础方案，RA-GCA-CGHTE为本文方案；CAP-ADRC和CP-INDI分别代表主动扰动抑制和增量动态逆方法。</w:t>
      </w:r>
    </w:p>
    <w:p w14:paraId="5C9C6D0E">
      <w:pPr>
        <w:spacing w:before="0" w:after="0" w:line="360" w:lineRule="auto"/>
        <w:ind w:firstLine="480"/>
        <w:jc w:val="both"/>
      </w:pPr>
      <w:r>
        <w:rPr>
          <w:rFonts w:ascii="Times New Roman" w:hAnsi="Times New Roman" w:eastAsia="宋体" w:cs="Times New Roman"/>
          <w:color w:val="000000"/>
          <w:sz w:val="24"/>
        </w:rPr>
        <w:t>编队实验在三套RA-GCA-CGHTE控制器之上加入PP-CBF，用于比较安全监督开启前后的距离、跟踪误差和控制修正。PP-CBF不参与五种单机方法比较。</w:t>
      </w:r>
    </w:p>
    <w:p w14:paraId="4A3038B7">
      <w:pPr>
        <w:spacing w:before="0" w:after="0" w:line="360" w:lineRule="auto"/>
        <w:ind w:firstLine="480"/>
        <w:jc w:val="both"/>
      </w:pPr>
      <w:r>
        <w:rPr>
          <w:rFonts w:ascii="Times New Roman" w:hAnsi="Times New Roman" w:eastAsia="宋体" w:cs="Times New Roman"/>
          <w:color w:val="000000"/>
          <w:sz w:val="24"/>
        </w:rPr>
        <w:t>RA-GCA-CGHTE实验采用第3章给出的控制参数，控制周期为0.01 s。</w:t>
      </w:r>
    </w:p>
    <w:p w14:paraId="0BC1B7A4">
      <w:pPr>
        <w:spacing w:before="0" w:after="0" w:line="360" w:lineRule="auto"/>
        <w:ind w:firstLine="480"/>
        <w:jc w:val="both"/>
      </w:pPr>
      <w:r>
        <w:rPr>
          <w:rFonts w:ascii="Times New Roman" w:hAnsi="Times New Roman" w:eastAsia="宋体" w:cs="Times New Roman"/>
          <w:color w:val="000000"/>
          <w:sz w:val="24"/>
        </w:rPr>
        <w:t>实验分为四组：PID与RA-GCA-CGHTE比较赛题基线和本文方案；五种方法比较不同控制思路；RA-GCA/Base与RA-GCA-CGHTE比较几何控制增强效果；PP-CBF关闭与开启比较编队安全监督作用。</w:t>
      </w:r>
    </w:p>
    <w:p w14:paraId="7BC37714">
      <w:pPr>
        <w:spacing w:before="0" w:after="0" w:line="360" w:lineRule="auto"/>
        <w:ind w:firstLine="480"/>
        <w:jc w:val="both"/>
      </w:pPr>
      <w:r>
        <w:rPr>
          <w:rFonts w:ascii="Times New Roman" w:hAnsi="Times New Roman" w:eastAsia="宋体" w:cs="Times New Roman"/>
          <w:color w:val="000000"/>
          <w:sz w:val="24"/>
        </w:rPr>
        <w:t>同组实验固定使用赛题QuadrotorModel，各方法采用相同物理参数、参考输入和初始状态。PID为优化前基线，RA-GCA-CGHTE为主算法。实验在MWORKS 2026a环境中完成，Sysplorer负责模型求解，Sysblock实现控制器，Syslab计算指标；统一采用DASSL求解器、1×10⁻⁴求解容差和0.01 s控制/输出周期。</w:t>
      </w:r>
    </w:p>
    <w:p w14:paraId="447C271B">
      <w:pPr>
        <w:spacing w:before="0" w:after="0" w:line="360" w:lineRule="auto"/>
        <w:ind w:firstLine="480"/>
        <w:jc w:val="both"/>
      </w:pPr>
      <w:r>
        <w:rPr>
          <w:rFonts w:ascii="Times New Roman" w:hAnsi="Times New Roman" w:eastAsia="宋体" w:cs="Times New Roman"/>
          <w:color w:val="000000"/>
          <w:sz w:val="24"/>
        </w:rPr>
        <w:t>表5-1概括五种单机控制方法的基本思路和比较作用。</w:t>
      </w:r>
    </w:p>
    <w:p w14:paraId="7BAF42E6">
      <w:pPr>
        <w:pStyle w:val="4"/>
        <w:keepNext/>
      </w:pPr>
      <w:r>
        <w:rPr>
          <w:rFonts w:ascii="Times New Roman" w:hAnsi="Times New Roman" w:eastAsia="宋体" w:cs="Times New Roman"/>
          <w:b/>
          <w:color w:val="000000"/>
          <w:sz w:val="21"/>
        </w:rPr>
        <w:t>表5-1  五种单机控制方法及比较作用</w:t>
      </w:r>
    </w:p>
    <w:tbl>
      <w:tblPr>
        <w:tblStyle w:val="10"/>
        <w:tblW w:w="0" w:type="auto"/>
        <w:jc w:val="center"/>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555"/>
        <w:gridCol w:w="3170"/>
        <w:gridCol w:w="1650"/>
      </w:tblGrid>
      <w:tr w14:paraId="7895F622">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blHeader/>
          <w:jc w:val="center"/>
        </w:trPr>
        <w:tc>
          <w:tcPr>
            <w:tcW w:w="0" w:type="auto"/>
            <w:tcBorders>
              <w:bottom w:val="single" w:color="000000" w:sz="4" w:space="0"/>
            </w:tcBorders>
            <w:tcMar>
              <w:top w:w="50" w:type="dxa"/>
              <w:left w:w="65" w:type="dxa"/>
              <w:bottom w:w="50" w:type="dxa"/>
              <w:right w:w="65" w:type="dxa"/>
            </w:tcMar>
            <w:vAlign w:val="center"/>
          </w:tcPr>
          <w:p w14:paraId="106A777F">
            <w:pPr>
              <w:spacing w:before="0" w:after="0" w:line="240" w:lineRule="auto"/>
              <w:ind w:firstLine="0"/>
              <w:jc w:val="center"/>
            </w:pPr>
            <w:r>
              <w:rPr>
                <w:rFonts w:ascii="Times New Roman" w:hAnsi="Times New Roman" w:eastAsia="宋体" w:cs="Times New Roman"/>
                <w:b/>
                <w:color w:val="000000"/>
                <w:sz w:val="19"/>
              </w:rPr>
              <w:t>方法</w:t>
            </w:r>
          </w:p>
        </w:tc>
        <w:tc>
          <w:tcPr>
            <w:tcW w:w="0" w:type="auto"/>
            <w:tcBorders>
              <w:bottom w:val="single" w:color="000000" w:sz="4" w:space="0"/>
            </w:tcBorders>
            <w:tcMar>
              <w:top w:w="50" w:type="dxa"/>
              <w:left w:w="65" w:type="dxa"/>
              <w:bottom w:w="50" w:type="dxa"/>
              <w:right w:w="65" w:type="dxa"/>
            </w:tcMar>
            <w:vAlign w:val="center"/>
          </w:tcPr>
          <w:p w14:paraId="4E0C4066">
            <w:pPr>
              <w:spacing w:before="0" w:after="0" w:line="240" w:lineRule="auto"/>
              <w:ind w:firstLine="0"/>
              <w:jc w:val="center"/>
            </w:pPr>
            <w:r>
              <w:rPr>
                <w:rFonts w:ascii="Times New Roman" w:hAnsi="Times New Roman" w:eastAsia="宋体" w:cs="Times New Roman"/>
                <w:b/>
                <w:color w:val="000000"/>
                <w:sz w:val="19"/>
              </w:rPr>
              <w:t>控制思路</w:t>
            </w:r>
          </w:p>
        </w:tc>
        <w:tc>
          <w:tcPr>
            <w:tcW w:w="0" w:type="auto"/>
            <w:tcBorders>
              <w:bottom w:val="single" w:color="000000" w:sz="4" w:space="0"/>
            </w:tcBorders>
            <w:tcMar>
              <w:top w:w="50" w:type="dxa"/>
              <w:left w:w="65" w:type="dxa"/>
              <w:bottom w:w="50" w:type="dxa"/>
              <w:right w:w="65" w:type="dxa"/>
            </w:tcMar>
            <w:vAlign w:val="center"/>
          </w:tcPr>
          <w:p w14:paraId="6B628B24">
            <w:pPr>
              <w:spacing w:before="0" w:after="0" w:line="240" w:lineRule="auto"/>
              <w:ind w:firstLine="0"/>
              <w:jc w:val="center"/>
            </w:pPr>
            <w:r>
              <w:rPr>
                <w:rFonts w:ascii="Times New Roman" w:hAnsi="Times New Roman" w:eastAsia="宋体" w:cs="Times New Roman"/>
                <w:b/>
                <w:color w:val="000000"/>
                <w:sz w:val="19"/>
              </w:rPr>
              <w:t>比较作用</w:t>
            </w:r>
          </w:p>
        </w:tc>
      </w:tr>
      <w:tr w14:paraId="750D0670">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0" w:type="auto"/>
            <w:tcMar>
              <w:top w:w="50" w:type="dxa"/>
              <w:left w:w="65" w:type="dxa"/>
              <w:bottom w:w="50" w:type="dxa"/>
              <w:right w:w="65" w:type="dxa"/>
            </w:tcMar>
            <w:vAlign w:val="center"/>
          </w:tcPr>
          <w:p w14:paraId="567F8044">
            <w:pPr>
              <w:spacing w:before="0" w:after="0" w:line="240" w:lineRule="auto"/>
              <w:ind w:firstLine="0"/>
              <w:jc w:val="center"/>
            </w:pPr>
            <w:r>
              <w:rPr>
                <w:rFonts w:ascii="Times New Roman" w:hAnsi="Times New Roman" w:eastAsia="宋体" w:cs="Times New Roman"/>
                <w:b w:val="0"/>
                <w:color w:val="000000"/>
                <w:sz w:val="19"/>
              </w:rPr>
              <w:t>PID</w:t>
            </w:r>
          </w:p>
        </w:tc>
        <w:tc>
          <w:tcPr>
            <w:tcW w:w="0" w:type="auto"/>
            <w:tcMar>
              <w:top w:w="50" w:type="dxa"/>
              <w:left w:w="65" w:type="dxa"/>
              <w:bottom w:w="50" w:type="dxa"/>
              <w:right w:w="65" w:type="dxa"/>
            </w:tcMar>
            <w:vAlign w:val="center"/>
          </w:tcPr>
          <w:p w14:paraId="51FA90E2">
            <w:pPr>
              <w:spacing w:before="0" w:after="0" w:line="240" w:lineRule="auto"/>
              <w:ind w:firstLine="0"/>
              <w:jc w:val="center"/>
            </w:pPr>
            <w:r>
              <w:rPr>
                <w:rFonts w:ascii="Times New Roman" w:hAnsi="Times New Roman" w:eastAsia="宋体" w:cs="Times New Roman"/>
                <w:b w:val="0"/>
                <w:color w:val="000000"/>
                <w:sz w:val="19"/>
              </w:rPr>
              <w:t>级联比例-积分-微分控制</w:t>
            </w:r>
          </w:p>
        </w:tc>
        <w:tc>
          <w:tcPr>
            <w:tcW w:w="0" w:type="auto"/>
            <w:tcMar>
              <w:top w:w="50" w:type="dxa"/>
              <w:left w:w="65" w:type="dxa"/>
              <w:bottom w:w="50" w:type="dxa"/>
              <w:right w:w="65" w:type="dxa"/>
            </w:tcMar>
            <w:vAlign w:val="center"/>
          </w:tcPr>
          <w:p w14:paraId="664B7F0A">
            <w:pPr>
              <w:spacing w:before="0" w:after="0" w:line="240" w:lineRule="auto"/>
              <w:ind w:firstLine="0"/>
              <w:jc w:val="center"/>
            </w:pPr>
            <w:r>
              <w:rPr>
                <w:rFonts w:ascii="Times New Roman" w:hAnsi="Times New Roman" w:eastAsia="宋体" w:cs="Times New Roman"/>
                <w:b w:val="0"/>
                <w:color w:val="000000"/>
                <w:sz w:val="19"/>
              </w:rPr>
              <w:t>赛题基线</w:t>
            </w:r>
          </w:p>
        </w:tc>
      </w:tr>
      <w:tr w14:paraId="58A06A65">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0" w:type="auto"/>
            <w:tcMar>
              <w:top w:w="50" w:type="dxa"/>
              <w:left w:w="65" w:type="dxa"/>
              <w:bottom w:w="50" w:type="dxa"/>
              <w:right w:w="65" w:type="dxa"/>
            </w:tcMar>
            <w:vAlign w:val="center"/>
          </w:tcPr>
          <w:p w14:paraId="38876A93">
            <w:pPr>
              <w:spacing w:before="0" w:after="0" w:line="240" w:lineRule="auto"/>
              <w:ind w:firstLine="0"/>
              <w:jc w:val="center"/>
            </w:pPr>
            <w:r>
              <w:rPr>
                <w:rFonts w:ascii="Times New Roman" w:hAnsi="Times New Roman" w:eastAsia="宋体" w:cs="Times New Roman"/>
                <w:b w:val="0"/>
                <w:color w:val="000000"/>
                <w:sz w:val="19"/>
              </w:rPr>
              <w:t>RA-GCA/Base</w:t>
            </w:r>
          </w:p>
        </w:tc>
        <w:tc>
          <w:tcPr>
            <w:tcW w:w="0" w:type="auto"/>
            <w:tcMar>
              <w:top w:w="50" w:type="dxa"/>
              <w:left w:w="65" w:type="dxa"/>
              <w:bottom w:w="50" w:type="dxa"/>
              <w:right w:w="65" w:type="dxa"/>
            </w:tcMar>
            <w:vAlign w:val="center"/>
          </w:tcPr>
          <w:p w14:paraId="5B12B85B">
            <w:pPr>
              <w:spacing w:before="0" w:after="0" w:line="240" w:lineRule="auto"/>
              <w:ind w:firstLine="0"/>
              <w:jc w:val="center"/>
            </w:pPr>
            <w:r>
              <w:rPr>
                <w:rFonts w:ascii="Times New Roman" w:hAnsi="Times New Roman" w:eastAsia="宋体" w:cs="Times New Roman"/>
                <w:b w:val="0"/>
                <w:color w:val="000000"/>
                <w:sz w:val="19"/>
              </w:rPr>
              <w:t>约化姿态几何控制</w:t>
            </w:r>
          </w:p>
        </w:tc>
        <w:tc>
          <w:tcPr>
            <w:tcW w:w="0" w:type="auto"/>
            <w:tcMar>
              <w:top w:w="50" w:type="dxa"/>
              <w:left w:w="65" w:type="dxa"/>
              <w:bottom w:w="50" w:type="dxa"/>
              <w:right w:w="65" w:type="dxa"/>
            </w:tcMar>
            <w:vAlign w:val="center"/>
          </w:tcPr>
          <w:p w14:paraId="5FDDCC49">
            <w:pPr>
              <w:spacing w:before="0" w:after="0" w:line="240" w:lineRule="auto"/>
              <w:ind w:firstLine="0"/>
              <w:jc w:val="center"/>
            </w:pPr>
            <w:r>
              <w:rPr>
                <w:rFonts w:ascii="Times New Roman" w:hAnsi="Times New Roman" w:eastAsia="宋体" w:cs="Times New Roman"/>
                <w:b w:val="0"/>
                <w:color w:val="000000"/>
                <w:sz w:val="19"/>
              </w:rPr>
              <w:t>几何控制基础方案</w:t>
            </w:r>
          </w:p>
        </w:tc>
      </w:tr>
      <w:tr w14:paraId="77D43BBD">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0" w:type="auto"/>
            <w:tcMar>
              <w:top w:w="50" w:type="dxa"/>
              <w:left w:w="65" w:type="dxa"/>
              <w:bottom w:w="50" w:type="dxa"/>
              <w:right w:w="65" w:type="dxa"/>
            </w:tcMar>
            <w:vAlign w:val="center"/>
          </w:tcPr>
          <w:p w14:paraId="2492FEDB">
            <w:pPr>
              <w:spacing w:before="0" w:after="0" w:line="240" w:lineRule="auto"/>
              <w:ind w:firstLine="0"/>
              <w:jc w:val="center"/>
            </w:pPr>
            <w:r>
              <w:rPr>
                <w:rFonts w:ascii="Times New Roman" w:hAnsi="Times New Roman" w:eastAsia="宋体" w:cs="Times New Roman"/>
                <w:b w:val="0"/>
                <w:color w:val="000000"/>
                <w:sz w:val="19"/>
              </w:rPr>
              <w:t>RA-GCA-CGHTE</w:t>
            </w:r>
          </w:p>
        </w:tc>
        <w:tc>
          <w:tcPr>
            <w:tcW w:w="0" w:type="auto"/>
            <w:tcMar>
              <w:top w:w="50" w:type="dxa"/>
              <w:left w:w="65" w:type="dxa"/>
              <w:bottom w:w="50" w:type="dxa"/>
              <w:right w:w="65" w:type="dxa"/>
            </w:tcMar>
            <w:vAlign w:val="center"/>
          </w:tcPr>
          <w:p w14:paraId="198E2FAA">
            <w:pPr>
              <w:spacing w:before="0" w:after="0" w:line="240" w:lineRule="auto"/>
              <w:ind w:firstLine="0"/>
              <w:jc w:val="center"/>
            </w:pPr>
            <w:r>
              <w:rPr>
                <w:rFonts w:ascii="Times New Roman" w:hAnsi="Times New Roman" w:eastAsia="宋体" w:cs="Times New Roman"/>
                <w:b w:val="0"/>
                <w:color w:val="000000"/>
                <w:sz w:val="19"/>
              </w:rPr>
              <w:t>几何控制、推力估计与约束感知分配</w:t>
            </w:r>
          </w:p>
        </w:tc>
        <w:tc>
          <w:tcPr>
            <w:tcW w:w="0" w:type="auto"/>
            <w:tcMar>
              <w:top w:w="50" w:type="dxa"/>
              <w:left w:w="65" w:type="dxa"/>
              <w:bottom w:w="50" w:type="dxa"/>
              <w:right w:w="65" w:type="dxa"/>
            </w:tcMar>
            <w:vAlign w:val="center"/>
          </w:tcPr>
          <w:p w14:paraId="778B2647">
            <w:pPr>
              <w:spacing w:before="0" w:after="0" w:line="240" w:lineRule="auto"/>
              <w:ind w:firstLine="0"/>
              <w:jc w:val="center"/>
            </w:pPr>
            <w:r>
              <w:rPr>
                <w:rFonts w:ascii="Times New Roman" w:hAnsi="Times New Roman" w:eastAsia="宋体" w:cs="Times New Roman"/>
                <w:b w:val="0"/>
                <w:color w:val="000000"/>
                <w:sz w:val="19"/>
              </w:rPr>
              <w:t>本文方案</w:t>
            </w:r>
          </w:p>
        </w:tc>
      </w:tr>
      <w:tr w14:paraId="01DB2B2A">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0" w:type="auto"/>
            <w:tcMar>
              <w:top w:w="50" w:type="dxa"/>
              <w:left w:w="65" w:type="dxa"/>
              <w:bottom w:w="50" w:type="dxa"/>
              <w:right w:w="65" w:type="dxa"/>
            </w:tcMar>
            <w:vAlign w:val="center"/>
          </w:tcPr>
          <w:p w14:paraId="1DC6949D">
            <w:pPr>
              <w:spacing w:before="0" w:after="0" w:line="240" w:lineRule="auto"/>
              <w:ind w:firstLine="0"/>
              <w:jc w:val="center"/>
            </w:pPr>
            <w:r>
              <w:rPr>
                <w:rFonts w:ascii="Times New Roman" w:hAnsi="Times New Roman" w:eastAsia="宋体" w:cs="Times New Roman"/>
                <w:b w:val="0"/>
                <w:color w:val="000000"/>
                <w:sz w:val="19"/>
              </w:rPr>
              <w:t>CAP-ADRC</w:t>
            </w:r>
          </w:p>
        </w:tc>
        <w:tc>
          <w:tcPr>
            <w:tcW w:w="0" w:type="auto"/>
            <w:tcMar>
              <w:top w:w="50" w:type="dxa"/>
              <w:left w:w="65" w:type="dxa"/>
              <w:bottom w:w="50" w:type="dxa"/>
              <w:right w:w="65" w:type="dxa"/>
            </w:tcMar>
            <w:vAlign w:val="center"/>
          </w:tcPr>
          <w:p w14:paraId="2519DA45">
            <w:pPr>
              <w:spacing w:before="0" w:after="0" w:line="240" w:lineRule="auto"/>
              <w:ind w:firstLine="0"/>
              <w:jc w:val="center"/>
            </w:pPr>
            <w:r>
              <w:rPr>
                <w:rFonts w:ascii="Times New Roman" w:hAnsi="Times New Roman" w:eastAsia="宋体" w:cs="Times New Roman"/>
                <w:b w:val="0"/>
                <w:color w:val="000000"/>
                <w:sz w:val="19"/>
              </w:rPr>
              <w:t>主动扰动抑制</w:t>
            </w:r>
          </w:p>
        </w:tc>
        <w:tc>
          <w:tcPr>
            <w:tcW w:w="0" w:type="auto"/>
            <w:tcMar>
              <w:top w:w="50" w:type="dxa"/>
              <w:left w:w="65" w:type="dxa"/>
              <w:bottom w:w="50" w:type="dxa"/>
              <w:right w:w="65" w:type="dxa"/>
            </w:tcMar>
            <w:vAlign w:val="center"/>
          </w:tcPr>
          <w:p w14:paraId="584381AF">
            <w:pPr>
              <w:spacing w:before="0" w:after="0" w:line="240" w:lineRule="auto"/>
              <w:ind w:firstLine="0"/>
              <w:jc w:val="center"/>
            </w:pPr>
            <w:r>
              <w:rPr>
                <w:rFonts w:ascii="Times New Roman" w:hAnsi="Times New Roman" w:eastAsia="宋体" w:cs="Times New Roman"/>
                <w:b w:val="0"/>
                <w:color w:val="000000"/>
                <w:sz w:val="19"/>
              </w:rPr>
              <w:t>抗扰方法对照</w:t>
            </w:r>
          </w:p>
        </w:tc>
      </w:tr>
      <w:tr w14:paraId="20DF6F4B">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0" w:type="auto"/>
            <w:tcMar>
              <w:top w:w="50" w:type="dxa"/>
              <w:left w:w="65" w:type="dxa"/>
              <w:bottom w:w="50" w:type="dxa"/>
              <w:right w:w="65" w:type="dxa"/>
            </w:tcMar>
            <w:vAlign w:val="center"/>
          </w:tcPr>
          <w:p w14:paraId="07C81162">
            <w:pPr>
              <w:spacing w:before="0" w:after="0" w:line="240" w:lineRule="auto"/>
              <w:ind w:firstLine="0"/>
              <w:jc w:val="center"/>
            </w:pPr>
            <w:r>
              <w:rPr>
                <w:rFonts w:ascii="Times New Roman" w:hAnsi="Times New Roman" w:eastAsia="宋体" w:cs="Times New Roman"/>
                <w:b w:val="0"/>
                <w:color w:val="000000"/>
                <w:sz w:val="19"/>
              </w:rPr>
              <w:t>CP-INDI</w:t>
            </w:r>
          </w:p>
        </w:tc>
        <w:tc>
          <w:tcPr>
            <w:tcW w:w="0" w:type="auto"/>
            <w:tcMar>
              <w:top w:w="50" w:type="dxa"/>
              <w:left w:w="65" w:type="dxa"/>
              <w:bottom w:w="50" w:type="dxa"/>
              <w:right w:w="65" w:type="dxa"/>
            </w:tcMar>
            <w:vAlign w:val="center"/>
          </w:tcPr>
          <w:p w14:paraId="2386E9B5">
            <w:pPr>
              <w:spacing w:before="0" w:after="0" w:line="240" w:lineRule="auto"/>
              <w:ind w:firstLine="0"/>
              <w:jc w:val="center"/>
            </w:pPr>
            <w:r>
              <w:rPr>
                <w:rFonts w:ascii="Times New Roman" w:hAnsi="Times New Roman" w:eastAsia="宋体" w:cs="Times New Roman"/>
                <w:b w:val="0"/>
                <w:color w:val="000000"/>
                <w:sz w:val="19"/>
              </w:rPr>
              <w:t>增量非线性动态逆</w:t>
            </w:r>
          </w:p>
        </w:tc>
        <w:tc>
          <w:tcPr>
            <w:tcW w:w="0" w:type="auto"/>
            <w:tcMar>
              <w:top w:w="50" w:type="dxa"/>
              <w:left w:w="65" w:type="dxa"/>
              <w:bottom w:w="50" w:type="dxa"/>
              <w:right w:w="65" w:type="dxa"/>
            </w:tcMar>
            <w:vAlign w:val="center"/>
          </w:tcPr>
          <w:p w14:paraId="0D97D999">
            <w:pPr>
              <w:spacing w:before="0" w:after="0" w:line="240" w:lineRule="auto"/>
              <w:ind w:firstLine="0"/>
              <w:jc w:val="center"/>
            </w:pPr>
            <w:r>
              <w:rPr>
                <w:rFonts w:ascii="Times New Roman" w:hAnsi="Times New Roman" w:eastAsia="宋体" w:cs="Times New Roman"/>
                <w:b w:val="0"/>
                <w:color w:val="000000"/>
                <w:sz w:val="19"/>
              </w:rPr>
              <w:t>动态逆方法对照</w:t>
            </w:r>
          </w:p>
        </w:tc>
      </w:tr>
    </w:tbl>
    <w:p w14:paraId="74822EA9">
      <w:pPr>
        <w:spacing w:before="0" w:after="0" w:line="360" w:lineRule="auto"/>
        <w:ind w:firstLine="480"/>
        <w:jc w:val="both"/>
        <w:rPr>
          <w:rFonts w:ascii="Times New Roman" w:hAnsi="Times New Roman" w:eastAsia="宋体" w:cs="Times New Roman"/>
          <w:color w:val="000000"/>
          <w:sz w:val="24"/>
        </w:rPr>
      </w:pPr>
      <w:r>
        <w:rPr>
          <w:rFonts w:ascii="Times New Roman" w:hAnsi="Times New Roman" w:eastAsia="宋体" w:cs="Times New Roman"/>
          <w:color w:val="000000"/>
          <w:sz w:val="24"/>
        </w:rPr>
        <w:t>表5-2列出四类比较及其使用的场景，分别展示相对PID的改进、不同控制思路、几何控制增强和编队安全监督。</w:t>
      </w:r>
    </w:p>
    <w:p w14:paraId="2F4A8E64">
      <w:pPr>
        <w:spacing w:before="0" w:after="0" w:line="360" w:lineRule="auto"/>
        <w:ind w:left="0" w:leftChars="0" w:firstLine="0" w:firstLineChars="0"/>
        <w:jc w:val="center"/>
      </w:pPr>
      <w:r>
        <w:rPr>
          <w:rFonts w:ascii="Times New Roman" w:hAnsi="Times New Roman" w:eastAsia="宋体" w:cs="Times New Roman"/>
          <w:b/>
          <w:color w:val="000000"/>
          <w:sz w:val="21"/>
        </w:rPr>
        <w:t>表5-2  四类比较安排与适用范围</w:t>
      </w:r>
    </w:p>
    <w:tbl>
      <w:tblPr>
        <w:tblStyle w:val="10"/>
        <w:tblW w:w="0" w:type="auto"/>
        <w:jc w:val="center"/>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1871"/>
        <w:gridCol w:w="3458"/>
        <w:gridCol w:w="3402"/>
      </w:tblGrid>
      <w:tr w14:paraId="6F3094C7">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PrEx>
        <w:trPr>
          <w:cantSplit/>
          <w:tblHeader/>
          <w:jc w:val="center"/>
        </w:trPr>
        <w:tc>
          <w:tcPr>
            <w:tcW w:w="2929" w:type="dxa"/>
            <w:tcBorders>
              <w:bottom w:val="single" w:color="000000" w:sz="4" w:space="0"/>
            </w:tcBorders>
            <w:tcMar>
              <w:top w:w="50" w:type="dxa"/>
              <w:left w:w="65" w:type="dxa"/>
              <w:bottom w:w="50" w:type="dxa"/>
              <w:right w:w="65" w:type="dxa"/>
            </w:tcMar>
            <w:vAlign w:val="center"/>
          </w:tcPr>
          <w:p w14:paraId="533F5916">
            <w:pPr>
              <w:spacing w:before="0" w:after="0" w:line="240" w:lineRule="auto"/>
              <w:ind w:firstLine="0"/>
              <w:jc w:val="center"/>
            </w:pPr>
            <w:r>
              <w:rPr>
                <w:rFonts w:ascii="Times New Roman" w:hAnsi="Times New Roman" w:eastAsia="宋体" w:cs="Times New Roman"/>
                <w:b/>
                <w:color w:val="000000"/>
                <w:sz w:val="19"/>
              </w:rPr>
              <w:t>比较内容</w:t>
            </w:r>
          </w:p>
        </w:tc>
        <w:tc>
          <w:tcPr>
            <w:tcW w:w="2929" w:type="dxa"/>
            <w:tcBorders>
              <w:bottom w:val="single" w:color="000000" w:sz="4" w:space="0"/>
            </w:tcBorders>
            <w:tcMar>
              <w:top w:w="50" w:type="dxa"/>
              <w:left w:w="65" w:type="dxa"/>
              <w:bottom w:w="50" w:type="dxa"/>
              <w:right w:w="65" w:type="dxa"/>
            </w:tcMar>
            <w:vAlign w:val="center"/>
          </w:tcPr>
          <w:p w14:paraId="57266ED4">
            <w:pPr>
              <w:spacing w:before="0" w:after="0" w:line="240" w:lineRule="auto"/>
              <w:ind w:firstLine="0"/>
              <w:jc w:val="center"/>
            </w:pPr>
            <w:r>
              <w:rPr>
                <w:rFonts w:ascii="Times New Roman" w:hAnsi="Times New Roman" w:eastAsia="宋体" w:cs="Times New Roman"/>
                <w:b/>
                <w:color w:val="000000"/>
                <w:sz w:val="19"/>
              </w:rPr>
              <w:t>方法</w:t>
            </w:r>
          </w:p>
        </w:tc>
        <w:tc>
          <w:tcPr>
            <w:tcW w:w="2929" w:type="dxa"/>
            <w:tcBorders>
              <w:bottom w:val="single" w:color="000000" w:sz="4" w:space="0"/>
            </w:tcBorders>
            <w:tcMar>
              <w:top w:w="50" w:type="dxa"/>
              <w:left w:w="65" w:type="dxa"/>
              <w:bottom w:w="50" w:type="dxa"/>
              <w:right w:w="65" w:type="dxa"/>
            </w:tcMar>
            <w:vAlign w:val="center"/>
          </w:tcPr>
          <w:p w14:paraId="6E44A400">
            <w:pPr>
              <w:spacing w:before="0" w:after="0" w:line="240" w:lineRule="auto"/>
              <w:ind w:firstLine="0"/>
              <w:jc w:val="center"/>
            </w:pPr>
            <w:r>
              <w:rPr>
                <w:rFonts w:ascii="Times New Roman" w:hAnsi="Times New Roman" w:eastAsia="宋体" w:cs="Times New Roman"/>
                <w:b/>
                <w:color w:val="000000"/>
                <w:sz w:val="19"/>
              </w:rPr>
              <w:t>场景</w:t>
            </w:r>
          </w:p>
        </w:tc>
      </w:tr>
      <w:tr w14:paraId="247DF0A8">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871" w:type="dxa"/>
            <w:tcMar>
              <w:top w:w="50" w:type="dxa"/>
              <w:left w:w="65" w:type="dxa"/>
              <w:bottom w:w="50" w:type="dxa"/>
              <w:right w:w="65" w:type="dxa"/>
            </w:tcMar>
            <w:vAlign w:val="center"/>
          </w:tcPr>
          <w:p w14:paraId="610BDA3A">
            <w:pPr>
              <w:spacing w:before="0" w:after="0" w:line="240" w:lineRule="auto"/>
              <w:ind w:firstLine="0"/>
              <w:jc w:val="left"/>
            </w:pPr>
            <w:r>
              <w:rPr>
                <w:rFonts w:ascii="Times New Roman" w:hAnsi="Times New Roman" w:eastAsia="宋体" w:cs="Times New Roman"/>
                <w:b w:val="0"/>
                <w:color w:val="000000"/>
                <w:sz w:val="19"/>
              </w:rPr>
              <w:t>赛题基线比较</w:t>
            </w:r>
          </w:p>
        </w:tc>
        <w:tc>
          <w:tcPr>
            <w:tcW w:w="3458" w:type="dxa"/>
            <w:tcMar>
              <w:top w:w="50" w:type="dxa"/>
              <w:left w:w="65" w:type="dxa"/>
              <w:bottom w:w="50" w:type="dxa"/>
              <w:right w:w="65" w:type="dxa"/>
            </w:tcMar>
            <w:vAlign w:val="center"/>
          </w:tcPr>
          <w:p w14:paraId="5B8CCEAF">
            <w:pPr>
              <w:spacing w:before="0" w:after="0" w:line="240" w:lineRule="auto"/>
              <w:ind w:firstLine="0"/>
              <w:jc w:val="left"/>
            </w:pPr>
            <w:r>
              <w:rPr>
                <w:rFonts w:ascii="Times New Roman" w:hAnsi="Times New Roman" w:eastAsia="宋体" w:cs="Times New Roman"/>
                <w:b w:val="0"/>
                <w:color w:val="000000"/>
                <w:sz w:val="19"/>
              </w:rPr>
              <w:t>PID、RA-GCA-CGHTE</w:t>
            </w:r>
          </w:p>
        </w:tc>
        <w:tc>
          <w:tcPr>
            <w:tcW w:w="3402" w:type="dxa"/>
            <w:tcMar>
              <w:top w:w="50" w:type="dxa"/>
              <w:left w:w="65" w:type="dxa"/>
              <w:bottom w:w="50" w:type="dxa"/>
              <w:right w:w="65" w:type="dxa"/>
            </w:tcMar>
            <w:vAlign w:val="center"/>
          </w:tcPr>
          <w:p w14:paraId="51A15888">
            <w:pPr>
              <w:spacing w:before="0" w:after="0" w:line="240" w:lineRule="auto"/>
              <w:ind w:firstLine="0"/>
              <w:jc w:val="left"/>
            </w:pPr>
            <w:r>
              <w:rPr>
                <w:rFonts w:ascii="Times New Roman" w:hAnsi="Times New Roman" w:eastAsia="宋体" w:cs="Times New Roman"/>
                <w:b w:val="0"/>
                <w:color w:val="000000"/>
                <w:sz w:val="19"/>
              </w:rPr>
              <w:t>三轴阶跃、典型轨迹、定点悬停和外力扰动</w:t>
            </w:r>
          </w:p>
        </w:tc>
      </w:tr>
      <w:tr w14:paraId="4418E84D">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871" w:type="dxa"/>
            <w:tcMar>
              <w:top w:w="50" w:type="dxa"/>
              <w:left w:w="65" w:type="dxa"/>
              <w:bottom w:w="50" w:type="dxa"/>
              <w:right w:w="65" w:type="dxa"/>
            </w:tcMar>
            <w:vAlign w:val="center"/>
          </w:tcPr>
          <w:p w14:paraId="6C8E9DB3">
            <w:pPr>
              <w:spacing w:before="0" w:after="0" w:line="240" w:lineRule="auto"/>
              <w:ind w:firstLine="0"/>
              <w:jc w:val="left"/>
            </w:pPr>
            <w:r>
              <w:rPr>
                <w:rFonts w:ascii="Times New Roman" w:hAnsi="Times New Roman" w:eastAsia="宋体" w:cs="Times New Roman"/>
                <w:b w:val="0"/>
                <w:color w:val="000000"/>
                <w:sz w:val="19"/>
              </w:rPr>
              <w:t>五种方法比较</w:t>
            </w:r>
          </w:p>
        </w:tc>
        <w:tc>
          <w:tcPr>
            <w:tcW w:w="3458" w:type="dxa"/>
            <w:tcMar>
              <w:top w:w="50" w:type="dxa"/>
              <w:left w:w="65" w:type="dxa"/>
              <w:bottom w:w="50" w:type="dxa"/>
              <w:right w:w="65" w:type="dxa"/>
            </w:tcMar>
            <w:vAlign w:val="center"/>
          </w:tcPr>
          <w:p w14:paraId="697C3A61">
            <w:pPr>
              <w:spacing w:before="0" w:after="0" w:line="240" w:lineRule="auto"/>
              <w:ind w:firstLine="0"/>
              <w:jc w:val="left"/>
            </w:pPr>
            <w:r>
              <w:rPr>
                <w:rFonts w:ascii="Times New Roman" w:hAnsi="Times New Roman" w:eastAsia="宋体" w:cs="Times New Roman"/>
                <w:b w:val="0"/>
                <w:color w:val="000000"/>
                <w:sz w:val="19"/>
              </w:rPr>
              <w:t>PID、RA-GCA/Base、RA-GCA-CGHTE、CAP-ADRC、CP-INDI</w:t>
            </w:r>
          </w:p>
        </w:tc>
        <w:tc>
          <w:tcPr>
            <w:tcW w:w="3402" w:type="dxa"/>
            <w:tcMar>
              <w:top w:w="50" w:type="dxa"/>
              <w:left w:w="65" w:type="dxa"/>
              <w:bottom w:w="50" w:type="dxa"/>
              <w:right w:w="65" w:type="dxa"/>
            </w:tcMar>
            <w:vAlign w:val="center"/>
          </w:tcPr>
          <w:p w14:paraId="24C4A8B7">
            <w:pPr>
              <w:spacing w:before="0" w:after="0" w:line="240" w:lineRule="auto"/>
              <w:ind w:firstLine="0"/>
              <w:jc w:val="left"/>
            </w:pPr>
            <w:r>
              <w:rPr>
                <w:rFonts w:ascii="Times New Roman" w:hAnsi="Times New Roman" w:eastAsia="宋体" w:cs="Times New Roman"/>
                <w:b w:val="0"/>
                <w:color w:val="000000"/>
                <w:sz w:val="19"/>
              </w:rPr>
              <w:t>分段爬升、8字轨迹、定点悬停和三事件外扰</w:t>
            </w:r>
          </w:p>
        </w:tc>
      </w:tr>
      <w:tr w14:paraId="528E3002">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871" w:type="dxa"/>
            <w:tcMar>
              <w:top w:w="50" w:type="dxa"/>
              <w:left w:w="65" w:type="dxa"/>
              <w:bottom w:w="50" w:type="dxa"/>
              <w:right w:w="65" w:type="dxa"/>
            </w:tcMar>
            <w:vAlign w:val="center"/>
          </w:tcPr>
          <w:p w14:paraId="083CE182">
            <w:pPr>
              <w:spacing w:before="0" w:after="0" w:line="240" w:lineRule="auto"/>
              <w:ind w:firstLine="0"/>
              <w:jc w:val="left"/>
            </w:pPr>
            <w:r>
              <w:rPr>
                <w:rFonts w:ascii="Times New Roman" w:hAnsi="Times New Roman" w:eastAsia="宋体" w:cs="Times New Roman"/>
                <w:b w:val="0"/>
                <w:color w:val="000000"/>
                <w:sz w:val="19"/>
              </w:rPr>
              <w:t>几何控制增强</w:t>
            </w:r>
          </w:p>
        </w:tc>
        <w:tc>
          <w:tcPr>
            <w:tcW w:w="3458" w:type="dxa"/>
            <w:tcMar>
              <w:top w:w="50" w:type="dxa"/>
              <w:left w:w="65" w:type="dxa"/>
              <w:bottom w:w="50" w:type="dxa"/>
              <w:right w:w="65" w:type="dxa"/>
            </w:tcMar>
            <w:vAlign w:val="center"/>
          </w:tcPr>
          <w:p w14:paraId="1261C90B">
            <w:pPr>
              <w:spacing w:before="0" w:after="0" w:line="240" w:lineRule="auto"/>
              <w:ind w:firstLine="0"/>
              <w:jc w:val="left"/>
            </w:pPr>
            <w:r>
              <w:rPr>
                <w:rFonts w:ascii="Times New Roman" w:hAnsi="Times New Roman" w:eastAsia="宋体" w:cs="Times New Roman"/>
                <w:b w:val="0"/>
                <w:color w:val="000000"/>
                <w:sz w:val="19"/>
              </w:rPr>
              <w:t>RA-GCA/Base、RA-GCA-CGHTE</w:t>
            </w:r>
          </w:p>
        </w:tc>
        <w:tc>
          <w:tcPr>
            <w:tcW w:w="3402" w:type="dxa"/>
            <w:tcMar>
              <w:top w:w="50" w:type="dxa"/>
              <w:left w:w="65" w:type="dxa"/>
              <w:bottom w:w="50" w:type="dxa"/>
              <w:right w:w="65" w:type="dxa"/>
            </w:tcMar>
            <w:vAlign w:val="center"/>
          </w:tcPr>
          <w:p w14:paraId="3A72E93E">
            <w:pPr>
              <w:spacing w:before="0" w:after="0" w:line="240" w:lineRule="auto"/>
              <w:ind w:firstLine="0"/>
              <w:jc w:val="left"/>
            </w:pPr>
            <w:r>
              <w:rPr>
                <w:rFonts w:ascii="Times New Roman" w:hAnsi="Times New Roman" w:eastAsia="宋体" w:cs="Times New Roman"/>
                <w:b w:val="0"/>
                <w:color w:val="000000"/>
                <w:sz w:val="19"/>
              </w:rPr>
              <w:t>分段爬升、8字轨迹、定点悬停和三事件外扰</w:t>
            </w:r>
          </w:p>
        </w:tc>
      </w:tr>
      <w:tr w14:paraId="2B5A9B10">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871" w:type="dxa"/>
            <w:tcMar>
              <w:top w:w="50" w:type="dxa"/>
              <w:left w:w="65" w:type="dxa"/>
              <w:bottom w:w="50" w:type="dxa"/>
              <w:right w:w="65" w:type="dxa"/>
            </w:tcMar>
            <w:vAlign w:val="center"/>
          </w:tcPr>
          <w:p w14:paraId="676D6101">
            <w:pPr>
              <w:spacing w:before="0" w:after="0" w:line="240" w:lineRule="auto"/>
              <w:ind w:firstLine="0"/>
              <w:jc w:val="left"/>
            </w:pPr>
            <w:r>
              <w:rPr>
                <w:rFonts w:ascii="Times New Roman" w:hAnsi="Times New Roman" w:eastAsia="宋体" w:cs="Times New Roman"/>
                <w:b w:val="0"/>
                <w:color w:val="000000"/>
                <w:sz w:val="19"/>
              </w:rPr>
              <w:t>编队安全比较</w:t>
            </w:r>
          </w:p>
        </w:tc>
        <w:tc>
          <w:tcPr>
            <w:tcW w:w="3458" w:type="dxa"/>
            <w:tcMar>
              <w:top w:w="50" w:type="dxa"/>
              <w:left w:w="65" w:type="dxa"/>
              <w:bottom w:w="50" w:type="dxa"/>
              <w:right w:w="65" w:type="dxa"/>
            </w:tcMar>
            <w:vAlign w:val="center"/>
          </w:tcPr>
          <w:p w14:paraId="20E9170A">
            <w:pPr>
              <w:spacing w:before="0" w:after="0" w:line="240" w:lineRule="auto"/>
              <w:ind w:firstLine="0"/>
              <w:jc w:val="left"/>
            </w:pPr>
            <w:r>
              <w:rPr>
                <w:rFonts w:ascii="Times New Roman" w:hAnsi="Times New Roman" w:eastAsia="宋体" w:cs="Times New Roman"/>
                <w:b w:val="0"/>
                <w:color w:val="000000"/>
                <w:sz w:val="19"/>
              </w:rPr>
              <w:t>RA-GCA-CGHTE、PP-CBF关闭/开启</w:t>
            </w:r>
          </w:p>
        </w:tc>
        <w:tc>
          <w:tcPr>
            <w:tcW w:w="3402" w:type="dxa"/>
            <w:tcMar>
              <w:top w:w="50" w:type="dxa"/>
              <w:left w:w="65" w:type="dxa"/>
              <w:bottom w:w="50" w:type="dxa"/>
              <w:right w:w="65" w:type="dxa"/>
            </w:tcMar>
            <w:vAlign w:val="center"/>
          </w:tcPr>
          <w:p w14:paraId="1440D7A4">
            <w:pPr>
              <w:spacing w:before="0" w:after="0" w:line="240" w:lineRule="auto"/>
              <w:ind w:firstLine="0"/>
              <w:jc w:val="left"/>
            </w:pPr>
            <w:r>
              <w:rPr>
                <w:rFonts w:ascii="Times New Roman" w:hAnsi="Times New Roman" w:eastAsia="宋体" w:cs="Times New Roman"/>
                <w:b w:val="0"/>
                <w:color w:val="000000"/>
                <w:sz w:val="19"/>
              </w:rPr>
              <w:t>三机近距离交汇</w:t>
            </w:r>
          </w:p>
        </w:tc>
      </w:tr>
    </w:tbl>
    <w:p w14:paraId="29E4768A">
      <w:pPr>
        <w:spacing w:before="0" w:after="0" w:line="360" w:lineRule="auto"/>
        <w:ind w:firstLine="480"/>
        <w:jc w:val="both"/>
      </w:pPr>
      <w:r>
        <w:rPr>
          <w:rFonts w:ascii="Times New Roman" w:hAnsi="Times New Roman" w:eastAsia="宋体" w:cs="Times New Roman"/>
          <w:color w:val="000000"/>
          <w:sz w:val="24"/>
        </w:rPr>
        <w:t>其余实验包括螺旋爬升、五相位风场、五工况传感器退化、三机编队保持与换位，用于分别考察三维轨迹、环境扰动、观测误差和协同飞行。跨方法比较只使用实验条件相同的结果。</w:t>
      </w:r>
    </w:p>
    <w:p w14:paraId="79209C7F">
      <w:pPr>
        <w:spacing w:before="0" w:after="0" w:line="360" w:lineRule="auto"/>
        <w:ind w:firstLine="480"/>
        <w:jc w:val="both"/>
      </w:pPr>
      <w:r>
        <w:rPr>
          <w:rFonts w:ascii="Times New Roman" w:hAnsi="Times New Roman" w:eastAsia="宋体" w:cs="Times New Roman"/>
          <w:color w:val="000000"/>
          <w:sz w:val="24"/>
        </w:rPr>
        <w:t>图5-1集中展示三轴独立标准阶跃、阶梯爬升、螺旋爬升和8字轨迹的参考输入。四类任务由单轴瞬态逐步扩展到多事件升降和三维耦合轨迹，用于观察不同控制器在响应速度、连续跟踪、转弯爬升和方向反转条件下的表现。</w:t>
      </w:r>
    </w:p>
    <w:p w14:paraId="59355564">
      <w:pPr>
        <w:keepNext/>
        <w:keepLines/>
        <w:spacing w:before="0" w:after="60"/>
        <w:ind w:firstLine="0"/>
        <w:jc w:val="center"/>
      </w:pPr>
      <w:r>
        <w:drawing>
          <wp:inline distT="0" distB="0" distL="114300" distR="114300">
            <wp:extent cx="5543550" cy="3891915"/>
            <wp:effectExtent l="0" t="0" r="0" b="13335"/>
            <wp:docPr id="9" name="Picture 1" descr="图5-1代表性任务参考：三轴独立标准阶跃、阶梯爬升、螺旋爬升和8字轨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descr="图5-1代表性任务参考：三轴独立标准阶跃、阶梯爬升、螺旋爬升和8字轨迹"/>
                    <pic:cNvPicPr>
                      <a:picLocks noChangeAspect="1"/>
                    </pic:cNvPicPr>
                  </pic:nvPicPr>
                  <pic:blipFill>
                    <a:blip r:embed="rId20"/>
                    <a:stretch>
                      <a:fillRect/>
                    </a:stretch>
                  </pic:blipFill>
                  <pic:spPr>
                    <a:xfrm>
                      <a:off x="0" y="0"/>
                      <a:ext cx="5544000" cy="3892056"/>
                    </a:xfrm>
                    <a:prstGeom prst="rect">
                      <a:avLst/>
                    </a:prstGeom>
                  </pic:spPr>
                </pic:pic>
              </a:graphicData>
            </a:graphic>
          </wp:inline>
        </w:drawing>
      </w:r>
    </w:p>
    <w:p w14:paraId="7B2F324E">
      <w:pPr>
        <w:pStyle w:val="4"/>
      </w:pPr>
      <w:r>
        <w:rPr>
          <w:rFonts w:ascii="Times New Roman" w:hAnsi="Times New Roman" w:eastAsia="宋体" w:cs="Times New Roman"/>
          <w:b/>
          <w:color w:val="000000"/>
          <w:sz w:val="21"/>
        </w:rPr>
        <w:t>图5-1  代表性任务的参考输入</w:t>
      </w:r>
    </w:p>
    <w:p w14:paraId="6753A25F">
      <w:pPr>
        <w:pStyle w:val="21"/>
      </w:pPr>
      <w:r>
        <w:rPr>
          <w:rFonts w:ascii="Times New Roman" w:hAnsi="Times New Roman" w:eastAsia="宋体" w:cs="Times New Roman"/>
          <w:color w:val="000000"/>
          <w:sz w:val="18"/>
        </w:rPr>
        <w:t>资料来源：根据各实验场景的参考输入整理。</w:t>
      </w:r>
    </w:p>
    <w:p w14:paraId="3124B570">
      <w:pPr>
        <w:spacing w:before="0" w:after="0" w:line="360" w:lineRule="auto"/>
        <w:ind w:firstLine="480"/>
        <w:jc w:val="both"/>
      </w:pPr>
      <w:r>
        <w:rPr>
          <w:rFonts w:ascii="Times New Roman" w:hAnsi="Times New Roman" w:eastAsia="宋体" w:cs="Times New Roman"/>
          <w:color w:val="000000"/>
          <w:sz w:val="24"/>
        </w:rPr>
        <w:t>标准阶跃便于分离各轴的瞬态特征；阶梯爬升增加多个高度变化事件；螺旋和8字轨迹分别引入三维耦合、重复转弯和方向反转。统一参考输入使不同控制器能够在相同任务条件下比较。</w:t>
      </w:r>
    </w:p>
    <w:p w14:paraId="389E115D">
      <w:pPr>
        <w:spacing w:before="0" w:after="0" w:line="360" w:lineRule="auto"/>
        <w:ind w:firstLine="480"/>
        <w:jc w:val="both"/>
      </w:pPr>
      <w:r>
        <w:rPr>
          <w:rFonts w:ascii="Times New Roman" w:hAnsi="Times New Roman" w:eastAsia="宋体" w:cs="Times New Roman"/>
          <w:color w:val="000000"/>
          <w:sz w:val="24"/>
        </w:rPr>
        <w:t>图5-2给出参数变化设计点和三次外力事件。参数场景同时覆盖质量、升力系数和惯量变化；外力场景在四个扰动作用点同步施加X向力，右图只绘制单个作用点的输入，避免重复显示四条完全相同的曲线。</w:t>
      </w:r>
    </w:p>
    <w:p w14:paraId="4CAD2D81">
      <w:pPr>
        <w:keepNext/>
        <w:keepLines/>
        <w:spacing w:before="0" w:after="60"/>
        <w:ind w:firstLine="0"/>
        <w:jc w:val="center"/>
      </w:pPr>
      <w:r>
        <w:drawing>
          <wp:inline distT="0" distB="0" distL="114300" distR="114300">
            <wp:extent cx="5543550" cy="2708910"/>
            <wp:effectExtent l="0" t="0" r="0" b="15240"/>
            <wp:docPr id="10" name="Picture 2" descr="图5-2参数变化和外力输入：八角点组合、重点工况、名义参数以及三次单旋翼X向外力事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 descr="图5-2参数变化和外力输入：八角点组合、重点工况、名义参数以及三次单旋翼X向外力事件"/>
                    <pic:cNvPicPr>
                      <a:picLocks noChangeAspect="1"/>
                    </pic:cNvPicPr>
                  </pic:nvPicPr>
                  <pic:blipFill>
                    <a:blip r:embed="rId21"/>
                    <a:stretch>
                      <a:fillRect/>
                    </a:stretch>
                  </pic:blipFill>
                  <pic:spPr>
                    <a:xfrm>
                      <a:off x="0" y="0"/>
                      <a:ext cx="5544000" cy="2708982"/>
                    </a:xfrm>
                    <a:prstGeom prst="rect">
                      <a:avLst/>
                    </a:prstGeom>
                  </pic:spPr>
                </pic:pic>
              </a:graphicData>
            </a:graphic>
          </wp:inline>
        </w:drawing>
      </w:r>
    </w:p>
    <w:p w14:paraId="354C4FF8">
      <w:pPr>
        <w:pStyle w:val="4"/>
      </w:pPr>
      <w:r>
        <w:rPr>
          <w:rFonts w:ascii="Times New Roman" w:hAnsi="Times New Roman" w:eastAsia="宋体" w:cs="Times New Roman"/>
          <w:b/>
          <w:color w:val="000000"/>
          <w:sz w:val="21"/>
        </w:rPr>
        <w:t>图5-2  参数变化设计点与三事件单旋翼外力输入</w:t>
      </w:r>
    </w:p>
    <w:p w14:paraId="71555583">
      <w:pPr>
        <w:pStyle w:val="21"/>
      </w:pPr>
      <w:r>
        <w:rPr>
          <w:rFonts w:ascii="Times New Roman" w:hAnsi="Times New Roman" w:eastAsia="宋体" w:cs="Times New Roman"/>
          <w:color w:val="000000"/>
          <w:sz w:val="18"/>
        </w:rPr>
        <w:t>资料来源：根据正式场景配置和三事件外力仿真数据整理。</w:t>
      </w:r>
    </w:p>
    <w:p w14:paraId="7B1C0B1C">
      <w:pPr>
        <w:spacing w:before="0" w:after="0" w:line="360" w:lineRule="auto"/>
        <w:ind w:firstLine="480"/>
        <w:jc w:val="both"/>
      </w:pPr>
      <w:r>
        <w:rPr>
          <w:rFonts w:ascii="Times New Roman" w:hAnsi="Times New Roman" w:eastAsia="宋体" w:cs="Times New Roman"/>
          <w:color w:val="000000"/>
          <w:sz w:val="24"/>
        </w:rPr>
        <w:t>参数图由八个参数组合、两个重点工况和名义参数构成，可区分单一因素与组合变化；外力输入包含三个持续时间和幅值不同的事件。两幅图均描述预先设定的实验条件，不包含控制器响应或性能结论。</w:t>
      </w:r>
    </w:p>
    <w:p w14:paraId="0C5BBEE8">
      <w:pPr>
        <w:spacing w:before="0" w:after="0" w:line="360" w:lineRule="auto"/>
        <w:ind w:firstLine="480"/>
        <w:jc w:val="both"/>
      </w:pPr>
      <w:r>
        <w:rPr>
          <w:rFonts w:ascii="Times New Roman" w:hAnsi="Times New Roman" w:eastAsia="宋体" w:cs="Times New Roman"/>
          <w:color w:val="000000"/>
          <w:sz w:val="24"/>
        </w:rPr>
        <w:t>同一场景中的各方法采用相同模型、参考输入和评价区间。</w:t>
      </w:r>
    </w:p>
    <w:p w14:paraId="22ED86A2">
      <w:pPr>
        <w:pStyle w:val="3"/>
      </w:pPr>
      <w:bookmarkStart w:id="25" w:name="_Toc3087"/>
      <w:r>
        <w:rPr>
          <w:rFonts w:ascii="Times New Roman" w:hAnsi="Times New Roman" w:eastAsia="黑体" w:cs="Times New Roman"/>
          <w:b/>
          <w:color w:val="000000"/>
          <w:sz w:val="26"/>
        </w:rPr>
        <w:t>5.2  赛题要求指标</w:t>
      </w:r>
      <w:bookmarkEnd w:id="25"/>
    </w:p>
    <w:p w14:paraId="50428B5E">
      <w:pPr>
        <w:spacing w:before="0" w:after="0" w:line="360" w:lineRule="auto"/>
        <w:ind w:firstLine="480"/>
        <w:jc w:val="both"/>
      </w:pPr>
      <w:r>
        <w:rPr>
          <w:rFonts w:ascii="Times New Roman" w:hAnsi="Times New Roman" w:eastAsia="宋体" w:cs="Times New Roman"/>
          <w:i w:val="0"/>
          <w:color w:val="000000"/>
          <w:sz w:val="24"/>
        </w:rPr>
        <w:t xml:space="preserve">赛题要求使用超调量、调节时间、稳态误差和均方根误差（Root Mean Square Error, RMSE）定量评价优化前后的控制性能。为保证计算方法一致，本文采用以下离散定义。设阶跃时刻为 </w:t>
      </w:r>
      <w:r>
        <w:rPr>
          <w:rFonts w:ascii="Times New Roman" w:hAnsi="Times New Roman" w:eastAsia="宋体" w:cs="Times New Roman"/>
          <w:i/>
          <w:color w:val="000000"/>
          <w:sz w:val="24"/>
        </w:rPr>
        <w:t>t₀</w:t>
      </w:r>
      <w:r>
        <w:rPr>
          <w:rFonts w:ascii="Times New Roman" w:hAnsi="Times New Roman" w:eastAsia="宋体" w:cs="Times New Roman"/>
          <w:i w:val="0"/>
          <w:color w:val="000000"/>
          <w:sz w:val="24"/>
        </w:rPr>
        <w:t xml:space="preserve">，阶跃幅值为 </w:t>
      </w:r>
      <w:r>
        <w:rPr>
          <w:rFonts w:ascii="Times New Roman" w:hAnsi="Times New Roman" w:eastAsia="宋体" w:cs="Times New Roman"/>
          <w:i/>
          <w:color w:val="000000"/>
          <w:sz w:val="24"/>
        </w:rPr>
        <w:t>Δr</w:t>
      </w:r>
      <w:r>
        <w:rPr>
          <w:rFonts w:ascii="Times New Roman" w:hAnsi="Times New Roman" w:eastAsia="宋体" w:cs="Times New Roman"/>
          <w:i w:val="0"/>
          <w:color w:val="000000"/>
          <w:sz w:val="24"/>
        </w:rPr>
        <w:t xml:space="preserve">，最终目标为 </w:t>
      </w:r>
      <w:r>
        <w:rPr>
          <w:rFonts w:ascii="Times New Roman" w:hAnsi="Times New Roman" w:eastAsia="宋体" w:cs="Times New Roman"/>
          <w:i/>
          <w:color w:val="000000"/>
          <w:sz w:val="24"/>
        </w:rPr>
        <w:t>r</w:t>
      </w:r>
      <w:r>
        <w:rPr>
          <w:rFonts w:ascii="Times New Roman" w:hAnsi="Times New Roman" w:eastAsia="宋体" w:cs="Times New Roman"/>
          <w:i/>
          <w:color w:val="000000"/>
          <w:sz w:val="24"/>
          <w:vertAlign w:val="subscript"/>
        </w:rPr>
        <w:t>f</w:t>
      </w:r>
      <w:r>
        <w:rPr>
          <w:rFonts w:ascii="Times New Roman" w:hAnsi="Times New Roman" w:eastAsia="宋体" w:cs="Times New Roman"/>
          <w:i w:val="0"/>
          <w:color w:val="000000"/>
          <w:sz w:val="24"/>
        </w:rPr>
        <w:t xml:space="preserve">，方向符号 </w:t>
      </w:r>
      <w:r>
        <w:rPr>
          <w:rFonts w:ascii="Times New Roman" w:hAnsi="Times New Roman" w:eastAsia="宋体" w:cs="Times New Roman"/>
          <w:i/>
          <w:color w:val="000000"/>
          <w:sz w:val="24"/>
        </w:rPr>
        <w:t>s = sign(Δr)</w:t>
      </w:r>
      <w:r>
        <w:rPr>
          <w:rFonts w:ascii="Times New Roman" w:hAnsi="Times New Roman" w:eastAsia="宋体" w:cs="Times New Roman"/>
          <w:i w:val="0"/>
          <w:color w:val="000000"/>
          <w:sz w:val="24"/>
        </w:rPr>
        <w:t xml:space="preserve">，响应序列为 </w:t>
      </w:r>
      <w:r>
        <w:rPr>
          <w:rFonts w:ascii="Times New Roman" w:hAnsi="Times New Roman" w:eastAsia="宋体" w:cs="Times New Roman"/>
          <w:i/>
          <w:color w:val="000000"/>
          <w:sz w:val="24"/>
        </w:rPr>
        <w:t>yₖ</w:t>
      </w:r>
      <w:r>
        <w:rPr>
          <w:rFonts w:ascii="Times New Roman" w:hAnsi="Times New Roman" w:eastAsia="宋体" w:cs="Times New Roman"/>
          <w:i w:val="0"/>
          <w:color w:val="000000"/>
          <w:sz w:val="24"/>
        </w:rPr>
        <w:t xml:space="preserve">，正部算子为 </w:t>
      </w:r>
      <w:r>
        <w:rPr>
          <w:rFonts w:ascii="Times New Roman" w:hAnsi="Times New Roman" w:eastAsia="宋体" w:cs="Times New Roman"/>
          <w:i/>
          <w:color w:val="000000"/>
          <w:sz w:val="24"/>
        </w:rPr>
        <w:t>[x]₊ = max(x, 0)</w:t>
      </w:r>
      <w:r>
        <w:rPr>
          <w:rFonts w:ascii="Times New Roman" w:hAnsi="Times New Roman" w:eastAsia="宋体" w:cs="Times New Roman"/>
          <w:i w:val="0"/>
          <w:color w:val="000000"/>
          <w:sz w:val="24"/>
        </w:rPr>
        <w:t>。百分比超调量定义为</w:t>
      </w:r>
    </w:p>
    <w:tbl>
      <w:tblPr>
        <w:tblStyle w:val="10"/>
        <w:tblW w:w="0" w:type="auto"/>
        <w:jc w:val="center"/>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7540"/>
        <w:gridCol w:w="1134"/>
      </w:tblGrid>
      <w:tr w14:paraId="30A99F40">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blHeader/>
          <w:jc w:val="center"/>
        </w:trPr>
        <w:tc>
          <w:tcPr>
            <w:tcW w:w="7540" w:type="dxa"/>
            <w:tcBorders>
              <w:bottom w:val="single" w:color="000000" w:sz="4" w:space="0"/>
            </w:tcBorders>
            <w:vAlign w:val="center"/>
          </w:tcPr>
          <w:p w14:paraId="06B14684">
            <w:pPr>
              <w:spacing w:before="0" w:after="60"/>
              <w:ind w:left="1134" w:firstLine="0"/>
              <w:jc w:val="center"/>
            </w:pPr>
            <m:oMathPara>
              <m:oMath>
                <m:sSub>
                  <m:sSubPr/>
                  <m:e>
                    <m:r>
                      <m:rPr/>
                      <m:t>M</m:t>
                    </m:r>
                  </m:e>
                  <m:sub>
                    <m:r>
                      <m:rPr/>
                      <m:t>p</m:t>
                    </m:r>
                  </m:sub>
                </m:sSub>
                <m:r>
                  <m:rPr/>
                  <m:t>=100·</m:t>
                </m:r>
                <m:f>
                  <m:fPr/>
                  <m:num>
                    <m:limLow>
                      <m:limLowPr/>
                      <m:e>
                        <m:r>
                          <m:rPr/>
                          <m:t>max</m:t>
                        </m:r>
                      </m:e>
                      <m:lim>
                        <m:r>
                          <m:rPr/>
                          <m:t>k≥</m:t>
                        </m:r>
                        <m:sSub>
                          <m:sSubPr/>
                          <m:e>
                            <m:r>
                              <m:rPr/>
                              <m:t>k</m:t>
                            </m:r>
                          </m:e>
                          <m:sub>
                            <m:r>
                              <m:rPr/>
                              <m:t>0</m:t>
                            </m:r>
                          </m:sub>
                        </m:sSub>
                      </m:lim>
                    </m:limLow>
                    <m:sSub>
                      <m:sSubPr/>
                      <m:e>
                        <m:d>
                          <m:dPr>
                            <m:begChr m:val="["/>
                            <m:sepChr m:val=""/>
                            <m:endChr m:val="]"/>
                          </m:dPr>
                          <m:e>
                            <m:r>
                              <m:rPr/>
                              <m:t>s(</m:t>
                            </m:r>
                            <m:sSub>
                              <m:sSubPr/>
                              <m:e>
                                <m:r>
                                  <m:rPr/>
                                  <m:t>y</m:t>
                                </m:r>
                              </m:e>
                              <m:sub>
                                <m:r>
                                  <m:rPr/>
                                  <m:t>k</m:t>
                                </m:r>
                              </m:sub>
                            </m:sSub>
                            <m:r>
                              <m:rPr/>
                              <m:t>−</m:t>
                            </m:r>
                            <m:sSub>
                              <m:sSubPr/>
                              <m:e>
                                <m:r>
                                  <m:rPr/>
                                  <m:t>r</m:t>
                                </m:r>
                              </m:e>
                              <m:sub>
                                <m:r>
                                  <m:rPr/>
                                  <m:t>f</m:t>
                                </m:r>
                              </m:sub>
                            </m:sSub>
                            <m:r>
                              <m:rPr/>
                              <m:t>)</m:t>
                            </m:r>
                          </m:e>
                        </m:d>
                      </m:e>
                      <m:sub>
                        <m:r>
                          <m:rPr/>
                          <m:t>+</m:t>
                        </m:r>
                      </m:sub>
                    </m:sSub>
                  </m:num>
                  <m:den>
                    <m:d>
                      <m:dPr>
                        <m:begChr m:val="|"/>
                        <m:sepChr m:val=""/>
                        <m:endChr m:val="|"/>
                      </m:dPr>
                      <m:e>
                        <m:r>
                          <m:rPr>
                            <m:sty m:val="p"/>
                          </m:rPr>
                          <m:t>Δr</m:t>
                        </m:r>
                      </m:e>
                    </m:d>
                  </m:den>
                </m:f>
              </m:oMath>
            </m:oMathPara>
          </w:p>
        </w:tc>
        <w:tc>
          <w:tcPr>
            <w:tcW w:w="1134" w:type="dxa"/>
            <w:tcBorders>
              <w:bottom w:val="single" w:color="000000" w:sz="4" w:space="0"/>
            </w:tcBorders>
            <w:vAlign w:val="center"/>
          </w:tcPr>
          <w:p w14:paraId="004725B4">
            <w:pPr>
              <w:spacing w:before="0" w:after="0" w:line="240" w:lineRule="auto"/>
              <w:ind w:firstLine="0"/>
              <w:jc w:val="right"/>
            </w:pPr>
            <w:r>
              <w:rPr>
                <w:rFonts w:ascii="Times New Roman" w:hAnsi="Times New Roman" w:eastAsia="宋体" w:cs="Times New Roman"/>
                <w:color w:val="000000"/>
                <w:sz w:val="19"/>
              </w:rPr>
              <w:t>（5-1）</w:t>
            </w:r>
          </w:p>
        </w:tc>
      </w:tr>
    </w:tbl>
    <w:p w14:paraId="454F5864">
      <w:pPr>
        <w:spacing w:before="0" w:after="0" w:line="360" w:lineRule="auto"/>
        <w:ind w:firstLine="480"/>
        <w:jc w:val="both"/>
      </w:pPr>
      <w:r>
        <w:rPr>
          <w:rFonts w:ascii="Times New Roman" w:hAnsi="Times New Roman" w:eastAsia="宋体" w:cs="Times New Roman"/>
          <w:i w:val="0"/>
          <w:color w:val="000000"/>
          <w:sz w:val="24"/>
        </w:rPr>
        <w:t xml:space="preserve">三轴独立标准阶跃在10 s触发，幅值为1 m。调节带取 </w:t>
      </w:r>
      <w:r>
        <w:rPr>
          <w:rFonts w:ascii="Times New Roman" w:hAnsi="Times New Roman" w:eastAsia="宋体" w:cs="Times New Roman"/>
          <w:i/>
          <w:color w:val="000000"/>
          <w:sz w:val="24"/>
        </w:rPr>
        <w:t>δ = max(0.02|Δr|, 0.02 m)</w:t>
      </w:r>
      <w:r>
        <w:rPr>
          <w:rFonts w:ascii="Times New Roman" w:hAnsi="Times New Roman" w:eastAsia="宋体" w:cs="Times New Roman"/>
          <w:i w:val="0"/>
          <w:color w:val="000000"/>
          <w:sz w:val="24"/>
        </w:rPr>
        <w:t xml:space="preserve">，响应进入调节带后需连续保持 </w:t>
      </w:r>
      <w:r>
        <w:rPr>
          <w:rFonts w:ascii="Times New Roman" w:hAnsi="Times New Roman" w:eastAsia="宋体" w:cs="Times New Roman"/>
          <w:i/>
          <w:color w:val="000000"/>
          <w:sz w:val="24"/>
        </w:rPr>
        <w:t>T</w:t>
      </w:r>
      <w:r>
        <w:rPr>
          <w:rFonts w:ascii="Times New Roman" w:hAnsi="Times New Roman" w:eastAsia="宋体" w:cs="Times New Roman"/>
          <w:i/>
          <w:color w:val="000000"/>
          <w:sz w:val="24"/>
          <w:vertAlign w:val="subscript"/>
        </w:rPr>
        <w:t>h</w:t>
      </w:r>
      <w:r>
        <w:rPr>
          <w:rFonts w:ascii="Times New Roman" w:hAnsi="Times New Roman" w:eastAsia="宋体" w:cs="Times New Roman"/>
          <w:i/>
          <w:color w:val="000000"/>
          <w:sz w:val="24"/>
        </w:rPr>
        <w:t xml:space="preserve"> = 2 s</w:t>
      </w:r>
      <w:r>
        <w:rPr>
          <w:rFonts w:ascii="Times New Roman" w:hAnsi="Times New Roman" w:eastAsia="宋体" w:cs="Times New Roman"/>
          <w:i w:val="0"/>
          <w:color w:val="000000"/>
          <w:sz w:val="24"/>
        </w:rPr>
        <w:t>。调节时间取满足持续保持条件的最早时刻与阶跃时刻之差：</w:t>
      </w:r>
    </w:p>
    <w:tbl>
      <w:tblPr>
        <w:tblStyle w:val="10"/>
        <w:tblW w:w="0" w:type="auto"/>
        <w:jc w:val="center"/>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7540"/>
        <w:gridCol w:w="1134"/>
      </w:tblGrid>
      <w:tr w14:paraId="4C176466">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PrEx>
        <w:trPr>
          <w:cantSplit/>
          <w:tblHeader/>
          <w:jc w:val="center"/>
        </w:trPr>
        <w:tc>
          <w:tcPr>
            <w:tcW w:w="7540" w:type="dxa"/>
            <w:tcBorders>
              <w:bottom w:val="single" w:color="000000" w:sz="4" w:space="0"/>
            </w:tcBorders>
            <w:vAlign w:val="center"/>
          </w:tcPr>
          <w:p w14:paraId="48216CC1">
            <w:pPr>
              <w:spacing w:before="0" w:after="60"/>
              <w:ind w:left="1134" w:firstLine="0"/>
              <w:jc w:val="center"/>
            </w:pPr>
            <m:oMathPara>
              <m:oMath>
                <m:sSub>
                  <m:sSubPr/>
                  <m:e>
                    <m:r>
                      <m:rPr/>
                      <m:t>t</m:t>
                    </m:r>
                  </m:e>
                  <m:sub>
                    <m:r>
                      <m:rPr/>
                      <m:t>s</m:t>
                    </m:r>
                  </m:sub>
                </m:sSub>
                <m:r>
                  <m:rPr/>
                  <m:t>=</m:t>
                </m:r>
                <m:r>
                  <m:rPr>
                    <m:sty m:val="p"/>
                  </m:rPr>
                  <m:t>min</m:t>
                </m:r>
                <m:r>
                  <m:rPr/>
                  <m:t>{</m:t>
                </m:r>
                <m:sSub>
                  <m:sSubPr/>
                  <m:e>
                    <m:r>
                      <m:rPr/>
                      <m:t>t</m:t>
                    </m:r>
                  </m:e>
                  <m:sub>
                    <m:r>
                      <m:rPr/>
                      <m:t>k</m:t>
                    </m:r>
                  </m:sub>
                </m:sSub>
                <m:r>
                  <m:rPr/>
                  <m:t>−</m:t>
                </m:r>
                <m:sSub>
                  <m:sSubPr/>
                  <m:e>
                    <m:r>
                      <m:rPr/>
                      <m:t>t</m:t>
                    </m:r>
                  </m:e>
                  <m:sub>
                    <m:r>
                      <m:rPr/>
                      <m:t>0</m:t>
                    </m:r>
                  </m:sub>
                </m:sSub>
                <m:r>
                  <m:rPr/>
                  <m:t>:|</m:t>
                </m:r>
                <m:sSub>
                  <m:sSubPr/>
                  <m:e>
                    <m:r>
                      <m:rPr/>
                      <m:t>y</m:t>
                    </m:r>
                  </m:e>
                  <m:sub>
                    <m:r>
                      <m:rPr/>
                      <m:t>j</m:t>
                    </m:r>
                  </m:sub>
                </m:sSub>
                <m:r>
                  <m:rPr/>
                  <m:t>−</m:t>
                </m:r>
                <m:sSub>
                  <m:sSubPr/>
                  <m:e>
                    <m:r>
                      <m:rPr/>
                      <m:t>r</m:t>
                    </m:r>
                  </m:e>
                  <m:sub>
                    <m:r>
                      <m:rPr/>
                      <m:t>f</m:t>
                    </m:r>
                  </m:sub>
                </m:sSub>
                <m:r>
                  <m:rPr/>
                  <m:t>|≤δ,∀</m:t>
                </m:r>
                <m:sSub>
                  <m:sSubPr/>
                  <m:e>
                    <m:r>
                      <m:rPr/>
                      <m:t>t</m:t>
                    </m:r>
                  </m:e>
                  <m:sub>
                    <m:r>
                      <m:rPr/>
                      <m:t>j</m:t>
                    </m:r>
                  </m:sub>
                </m:sSub>
                <m:r>
                  <m:rPr/>
                  <m:t>∈[</m:t>
                </m:r>
                <m:sSub>
                  <m:sSubPr/>
                  <m:e>
                    <m:r>
                      <m:rPr/>
                      <m:t>t</m:t>
                    </m:r>
                  </m:e>
                  <m:sub>
                    <m:r>
                      <m:rPr/>
                      <m:t>k</m:t>
                    </m:r>
                  </m:sub>
                </m:sSub>
                <m:r>
                  <m:rPr/>
                  <m:t>,</m:t>
                </m:r>
                <m:sSub>
                  <m:sSubPr/>
                  <m:e>
                    <m:r>
                      <m:rPr/>
                      <m:t>t</m:t>
                    </m:r>
                  </m:e>
                  <m:sub>
                    <m:r>
                      <m:rPr/>
                      <m:t>k</m:t>
                    </m:r>
                  </m:sub>
                </m:sSub>
                <m:r>
                  <m:rPr/>
                  <m:t>+</m:t>
                </m:r>
                <m:sSub>
                  <m:sSubPr/>
                  <m:e>
                    <m:r>
                      <m:rPr/>
                      <m:t>T</m:t>
                    </m:r>
                  </m:e>
                  <m:sub>
                    <m:r>
                      <m:rPr/>
                      <m:t>h</m:t>
                    </m:r>
                  </m:sub>
                </m:sSub>
                <m:r>
                  <m:rPr/>
                  <m:t>]}</m:t>
                </m:r>
              </m:oMath>
            </m:oMathPara>
          </w:p>
        </w:tc>
        <w:tc>
          <w:tcPr>
            <w:tcW w:w="1134" w:type="dxa"/>
            <w:tcBorders>
              <w:bottom w:val="single" w:color="000000" w:sz="4" w:space="0"/>
            </w:tcBorders>
            <w:vAlign w:val="center"/>
          </w:tcPr>
          <w:p w14:paraId="145613CF">
            <w:pPr>
              <w:spacing w:before="0" w:after="0" w:line="240" w:lineRule="auto"/>
              <w:ind w:firstLine="0"/>
              <w:jc w:val="right"/>
            </w:pPr>
            <w:r>
              <w:rPr>
                <w:rFonts w:ascii="Times New Roman" w:hAnsi="Times New Roman" w:eastAsia="宋体" w:cs="Times New Roman"/>
                <w:color w:val="000000"/>
                <w:sz w:val="19"/>
              </w:rPr>
              <w:t>（5-2）</w:t>
            </w:r>
          </w:p>
        </w:tc>
      </w:tr>
    </w:tbl>
    <w:p w14:paraId="5021168A">
      <w:pPr>
        <w:spacing w:before="0" w:after="0" w:line="360" w:lineRule="auto"/>
        <w:ind w:firstLine="480"/>
        <w:jc w:val="both"/>
      </w:pPr>
      <w:r>
        <w:rPr>
          <w:rFonts w:ascii="Times New Roman" w:hAnsi="Times New Roman" w:eastAsia="宋体" w:cs="Times New Roman"/>
          <w:color w:val="000000"/>
          <w:sz w:val="24"/>
        </w:rPr>
        <w:t>稳态误差使用阶跃后末段20%样本，既保留有符号均值用于判断偏差方向，也计算绝对均值用于算法比较。正文主要报告稳态绝对误差：</w:t>
      </w:r>
    </w:p>
    <w:tbl>
      <w:tblPr>
        <w:tblStyle w:val="10"/>
        <w:tblW w:w="0" w:type="auto"/>
        <w:jc w:val="center"/>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7540"/>
        <w:gridCol w:w="1134"/>
      </w:tblGrid>
      <w:tr w14:paraId="560934F8">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blHeader/>
          <w:jc w:val="center"/>
        </w:trPr>
        <w:tc>
          <w:tcPr>
            <w:tcW w:w="7540" w:type="dxa"/>
            <w:tcBorders>
              <w:bottom w:val="single" w:color="000000" w:sz="4" w:space="0"/>
            </w:tcBorders>
            <w:vAlign w:val="center"/>
          </w:tcPr>
          <w:p w14:paraId="0F600CC2">
            <w:pPr>
              <w:spacing w:before="0" w:after="60"/>
              <w:ind w:left="1134" w:firstLine="0"/>
              <w:jc w:val="center"/>
            </w:pPr>
            <m:oMathPara>
              <m:oMath>
                <m:sSub>
                  <m:sSubPr/>
                  <m:e>
                    <m:r>
                      <m:rPr/>
                      <m:t>e</m:t>
                    </m:r>
                  </m:e>
                  <m:sub>
                    <m:r>
                      <m:rPr/>
                      <m:t>ss</m:t>
                    </m:r>
                  </m:sub>
                </m:sSub>
                <m:r>
                  <m:rPr/>
                  <m:t>=</m:t>
                </m:r>
                <m:f>
                  <m:fPr/>
                  <m:num>
                    <m:r>
                      <m:rPr/>
                      <m:t>1</m:t>
                    </m:r>
                  </m:num>
                  <m:den>
                    <m:sSub>
                      <m:sSubPr/>
                      <m:e>
                        <m:r>
                          <m:rPr/>
                          <m:t>N</m:t>
                        </m:r>
                      </m:e>
                      <m:sub>
                        <m:r>
                          <m:rPr/>
                          <m:t>s</m:t>
                        </m:r>
                      </m:sub>
                    </m:sSub>
                  </m:den>
                </m:f>
                <m:nary>
                  <m:naryPr>
                    <m:chr m:val="∑"/>
                    <m:grow m:val="1"/>
                    <m:limLoc m:val="undOvr"/>
                    <m:supHide m:val="1"/>
                  </m:naryPr>
                  <m:sub>
                    <m:r>
                      <m:rPr/>
                      <m:t>k∈</m:t>
                    </m:r>
                    <m:sSub>
                      <m:sSubPr/>
                      <m:e>
                        <m:r>
                          <m:rPr/>
                          <m:t>W</m:t>
                        </m:r>
                      </m:e>
                      <m:sub>
                        <m:r>
                          <m:rPr/>
                          <m:t>s</m:t>
                        </m:r>
                      </m:sub>
                    </m:sSub>
                  </m:sub>
                  <m:sup/>
                  <m:e>
                    <m:r>
                      <m:rPr/>
                      <m:t>|</m:t>
                    </m:r>
                  </m:e>
                </m:nary>
                <m:sSub>
                  <m:sSubPr/>
                  <m:e>
                    <m:r>
                      <m:rPr/>
                      <m:t>r</m:t>
                    </m:r>
                  </m:e>
                  <m:sub>
                    <m:r>
                      <m:rPr/>
                      <m:t>f</m:t>
                    </m:r>
                  </m:sub>
                </m:sSub>
                <m:r>
                  <m:rPr/>
                  <m:t>−</m:t>
                </m:r>
                <m:sSub>
                  <m:sSubPr/>
                  <m:e>
                    <m:r>
                      <m:rPr/>
                      <m:t>y</m:t>
                    </m:r>
                  </m:e>
                  <m:sub>
                    <m:r>
                      <m:rPr/>
                      <m:t>k</m:t>
                    </m:r>
                  </m:sub>
                </m:sSub>
                <m:r>
                  <m:rPr/>
                  <m:t>|</m:t>
                </m:r>
              </m:oMath>
            </m:oMathPara>
          </w:p>
        </w:tc>
        <w:tc>
          <w:tcPr>
            <w:tcW w:w="1134" w:type="dxa"/>
            <w:tcBorders>
              <w:bottom w:val="single" w:color="000000" w:sz="4" w:space="0"/>
            </w:tcBorders>
            <w:vAlign w:val="center"/>
          </w:tcPr>
          <w:p w14:paraId="59E7F5D5">
            <w:pPr>
              <w:spacing w:before="0" w:after="0" w:line="240" w:lineRule="auto"/>
              <w:ind w:firstLine="0"/>
              <w:jc w:val="right"/>
            </w:pPr>
            <w:r>
              <w:rPr>
                <w:rFonts w:ascii="Times New Roman" w:hAnsi="Times New Roman" w:eastAsia="宋体" w:cs="Times New Roman"/>
                <w:color w:val="000000"/>
                <w:sz w:val="19"/>
              </w:rPr>
              <w:t>（5-3）</w:t>
            </w:r>
          </w:p>
        </w:tc>
      </w:tr>
    </w:tbl>
    <w:p w14:paraId="6119299F">
      <w:pPr>
        <w:spacing w:before="0" w:after="0" w:line="360" w:lineRule="auto"/>
        <w:ind w:firstLine="480"/>
        <w:jc w:val="both"/>
      </w:pPr>
      <w:r>
        <w:rPr>
          <w:rFonts w:ascii="Times New Roman" w:hAnsi="Times New Roman" w:eastAsia="宋体" w:cs="Times New Roman"/>
          <w:i w:val="0"/>
          <w:color w:val="000000"/>
          <w:sz w:val="24"/>
        </w:rPr>
        <w:t xml:space="preserve">轨迹任务采用三维位置误差 </w:t>
      </w:r>
      <w:r>
        <w:rPr>
          <w:rFonts w:ascii="Times New Roman" w:hAnsi="Times New Roman" w:eastAsia="宋体" w:cs="Times New Roman"/>
          <w:i/>
          <w:color w:val="000000"/>
          <w:sz w:val="24"/>
        </w:rPr>
        <w:t>eₖ = p</w:t>
      </w:r>
      <w:r>
        <w:rPr>
          <w:rFonts w:ascii="Times New Roman" w:hAnsi="Times New Roman" w:eastAsia="宋体" w:cs="Times New Roman"/>
          <w:i/>
          <w:color w:val="000000"/>
          <w:sz w:val="24"/>
          <w:vertAlign w:val="subscript"/>
        </w:rPr>
        <w:t>d,k</w:t>
      </w:r>
      <w:r>
        <w:rPr>
          <w:rFonts w:ascii="Times New Roman" w:hAnsi="Times New Roman" w:eastAsia="宋体" w:cs="Times New Roman"/>
          <w:i/>
          <w:color w:val="000000"/>
          <w:sz w:val="24"/>
        </w:rPr>
        <w:t xml:space="preserve"> - pₖ</w:t>
      </w:r>
      <w:r>
        <w:rPr>
          <w:rFonts w:ascii="Times New Roman" w:hAnsi="Times New Roman" w:eastAsia="宋体" w:cs="Times New Roman"/>
          <w:i w:val="0"/>
          <w:color w:val="000000"/>
          <w:sz w:val="24"/>
        </w:rPr>
        <w:t>。全程RMSE同时反映三个方向的跟踪偏差，避免只选取表现较好的单轴：</w:t>
      </w:r>
    </w:p>
    <w:tbl>
      <w:tblPr>
        <w:tblStyle w:val="10"/>
        <w:tblW w:w="0" w:type="auto"/>
        <w:jc w:val="center"/>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7540"/>
        <w:gridCol w:w="1134"/>
      </w:tblGrid>
      <w:tr w14:paraId="2EBC0FB8">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blHeader/>
          <w:jc w:val="center"/>
        </w:trPr>
        <w:tc>
          <w:tcPr>
            <w:tcW w:w="7540" w:type="dxa"/>
            <w:tcBorders>
              <w:bottom w:val="single" w:color="000000" w:sz="4" w:space="0"/>
            </w:tcBorders>
            <w:vAlign w:val="center"/>
          </w:tcPr>
          <w:p w14:paraId="08B071AB">
            <w:pPr>
              <w:spacing w:before="0" w:after="60"/>
              <w:ind w:left="1134" w:firstLine="0"/>
              <w:jc w:val="center"/>
            </w:pPr>
            <m:oMathPara>
              <m:oMath>
                <m:r>
                  <m:rPr>
                    <m:sty m:val="p"/>
                  </m:rPr>
                  <m:t>RMSE</m:t>
                </m:r>
                <m:r>
                  <m:rPr/>
                  <m:t>=</m:t>
                </m:r>
                <m:rad>
                  <m:radPr>
                    <m:degHide m:val="1"/>
                  </m:radPr>
                  <m:deg/>
                  <m:e>
                    <m:f>
                      <m:fPr/>
                      <m:num>
                        <m:r>
                          <m:rPr/>
                          <m:t>1</m:t>
                        </m:r>
                      </m:num>
                      <m:den>
                        <m:r>
                          <m:rPr/>
                          <m:t>N</m:t>
                        </m:r>
                      </m:den>
                    </m:f>
                    <m:nary>
                      <m:naryPr>
                        <m:chr m:val="∑"/>
                        <m:grow m:val="1"/>
                        <m:limLoc m:val="undOvr"/>
                      </m:naryPr>
                      <m:sub>
                        <m:r>
                          <m:rPr/>
                          <m:t>k=1</m:t>
                        </m:r>
                      </m:sub>
                      <m:sup>
                        <m:r>
                          <m:rPr/>
                          <m:t>N</m:t>
                        </m:r>
                      </m:sup>
                      <m:e>
                        <m:sSup>
                          <m:sSupPr/>
                          <m:e>
                            <m:r>
                              <m:rPr/>
                              <m:t>∥</m:t>
                            </m:r>
                            <m:sSub>
                              <m:sSubPr/>
                              <m:e>
                                <m:r>
                                  <m:rPr/>
                                  <m:t>p</m:t>
                                </m:r>
                              </m:e>
                              <m:sub>
                                <m:r>
                                  <m:rPr/>
                                  <m:t>d,k</m:t>
                                </m:r>
                              </m:sub>
                            </m:sSub>
                            <m:r>
                              <m:rPr/>
                              <m:t>−</m:t>
                            </m:r>
                            <m:sSub>
                              <m:sSubPr/>
                              <m:e>
                                <m:r>
                                  <m:rPr/>
                                  <m:t>p</m:t>
                                </m:r>
                              </m:e>
                              <m:sub>
                                <m:r>
                                  <m:rPr/>
                                  <m:t>k</m:t>
                                </m:r>
                              </m:sub>
                            </m:sSub>
                            <m:r>
                              <m:rPr/>
                              <m:t>∥</m:t>
                            </m:r>
                          </m:e>
                          <m:sup>
                            <m:r>
                              <m:rPr/>
                              <m:t>2</m:t>
                            </m:r>
                          </m:sup>
                        </m:sSup>
                      </m:e>
                    </m:nary>
                  </m:e>
                </m:rad>
              </m:oMath>
            </m:oMathPara>
          </w:p>
        </w:tc>
        <w:tc>
          <w:tcPr>
            <w:tcW w:w="1134" w:type="dxa"/>
            <w:tcBorders>
              <w:bottom w:val="single" w:color="000000" w:sz="4" w:space="0"/>
            </w:tcBorders>
            <w:vAlign w:val="center"/>
          </w:tcPr>
          <w:p w14:paraId="064703B8">
            <w:pPr>
              <w:spacing w:before="0" w:after="0" w:line="240" w:lineRule="auto"/>
              <w:ind w:firstLine="0"/>
              <w:jc w:val="right"/>
            </w:pPr>
            <w:r>
              <w:rPr>
                <w:rFonts w:ascii="Times New Roman" w:hAnsi="Times New Roman" w:eastAsia="宋体" w:cs="Times New Roman"/>
                <w:color w:val="000000"/>
                <w:sz w:val="19"/>
              </w:rPr>
              <w:t>（5-4）</w:t>
            </w:r>
          </w:p>
        </w:tc>
      </w:tr>
    </w:tbl>
    <w:p w14:paraId="69FDD29A">
      <w:pPr>
        <w:spacing w:before="0" w:after="0" w:line="360" w:lineRule="auto"/>
        <w:ind w:firstLine="480"/>
        <w:jc w:val="both"/>
      </w:pPr>
      <w:r>
        <w:rPr>
          <w:rFonts w:ascii="Times New Roman" w:hAnsi="Times New Roman" w:eastAsia="宋体" w:cs="Times New Roman"/>
          <w:color w:val="000000"/>
          <w:sz w:val="24"/>
        </w:rPr>
        <w:t>式（5-1）至式（5-4）给出统一计算方法。2%调节带、0.02 m绝对带、2 s持续时间和末段20%数据为本文采用的计算约定，用于保证不同控制器之间的结果可比；这些数值并非赛题规定的阈值。</w:t>
      </w:r>
    </w:p>
    <w:p w14:paraId="340A746A">
      <w:pPr>
        <w:pStyle w:val="3"/>
      </w:pPr>
      <w:bookmarkStart w:id="26" w:name="_Toc7035"/>
      <w:r>
        <w:rPr>
          <w:rFonts w:ascii="Times New Roman" w:hAnsi="Times New Roman" w:eastAsia="黑体" w:cs="Times New Roman"/>
          <w:b/>
          <w:color w:val="000000"/>
          <w:sz w:val="26"/>
        </w:rPr>
        <w:t>5.3  补充指标与判断条件</w:t>
      </w:r>
      <w:bookmarkEnd w:id="26"/>
    </w:p>
    <w:p w14:paraId="2A2F3581">
      <w:pPr>
        <w:spacing w:before="0" w:after="0" w:line="360" w:lineRule="auto"/>
        <w:ind w:firstLine="480"/>
        <w:jc w:val="both"/>
      </w:pPr>
      <w:r>
        <w:rPr>
          <w:rFonts w:ascii="Times New Roman" w:hAnsi="Times New Roman" w:eastAsia="宋体" w:cs="Times New Roman"/>
          <w:color w:val="000000"/>
          <w:sz w:val="24"/>
        </w:rPr>
        <w:t>四项赛题要求指标主要反映位置跟踪性能。复杂场景还需考察误差累积、恢复速度、电机指令变化、姿态状态和编队安全。表5-3按七类问题列出补充指标。控制分配残差和电机变化率反映电机指令是否平滑、期望控制量能否实现（Johansen &amp; Fossen, 2013）；最小间距、违规时间和修正能量用于比较安全监督开启前后的安全性及任务影响（Ames et al., 2017）。</w:t>
      </w:r>
    </w:p>
    <w:p w14:paraId="0DCDB6D9">
      <w:pPr>
        <w:pStyle w:val="4"/>
        <w:keepNext/>
      </w:pPr>
      <w:r>
        <w:rPr>
          <w:rFonts w:ascii="Times New Roman" w:hAnsi="Times New Roman" w:eastAsia="宋体" w:cs="Times New Roman"/>
          <w:b/>
          <w:color w:val="000000"/>
          <w:sz w:val="21"/>
        </w:rPr>
        <w:t>表5-3  赛题要求指标与补充指标</w:t>
      </w:r>
    </w:p>
    <w:tbl>
      <w:tblPr>
        <w:tblStyle w:val="10"/>
        <w:tblW w:w="0" w:type="auto"/>
        <w:jc w:val="center"/>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080"/>
        <w:gridCol w:w="3978"/>
      </w:tblGrid>
      <w:tr w14:paraId="7EBFAC77">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blHeader/>
          <w:jc w:val="center"/>
        </w:trPr>
        <w:tc>
          <w:tcPr>
            <w:tcW w:w="0" w:type="auto"/>
            <w:tcBorders>
              <w:top w:val="single" w:color="000000" w:sz="12" w:space="0"/>
              <w:bottom w:val="single" w:color="000000" w:sz="4" w:space="0"/>
              <w:tl2br w:val="nil"/>
            </w:tcBorders>
            <w:shd w:val="clear" w:color="auto" w:fill="FFFFFF"/>
            <w:tcMar>
              <w:top w:w="50" w:type="dxa"/>
              <w:left w:w="65" w:type="dxa"/>
              <w:bottom w:w="50" w:type="dxa"/>
              <w:right w:w="65" w:type="dxa"/>
            </w:tcMar>
            <w:vAlign w:val="center"/>
          </w:tcPr>
          <w:p w14:paraId="01547EA9">
            <w:pPr>
              <w:spacing w:before="0" w:after="0" w:line="240" w:lineRule="auto"/>
              <w:ind w:firstLine="0"/>
              <w:jc w:val="center"/>
              <w:rPr>
                <w:b w:val="0"/>
              </w:rPr>
            </w:pPr>
            <w:r>
              <w:rPr>
                <w:rFonts w:ascii="Times New Roman" w:hAnsi="Times New Roman" w:eastAsia="宋体" w:cs="Times New Roman"/>
                <w:b w:val="0"/>
                <w:color w:val="000000"/>
                <w:sz w:val="19"/>
              </w:rPr>
              <w:t>评价问题</w:t>
            </w:r>
          </w:p>
        </w:tc>
        <w:tc>
          <w:tcPr>
            <w:tcW w:w="0" w:type="auto"/>
            <w:tcBorders>
              <w:top w:val="single" w:color="000000" w:sz="12" w:space="0"/>
              <w:bottom w:val="single" w:color="000000" w:sz="4" w:space="0"/>
            </w:tcBorders>
            <w:shd w:val="clear" w:color="auto" w:fill="FFFFFF"/>
            <w:tcMar>
              <w:top w:w="50" w:type="dxa"/>
              <w:left w:w="65" w:type="dxa"/>
              <w:bottom w:w="50" w:type="dxa"/>
              <w:right w:w="65" w:type="dxa"/>
            </w:tcMar>
            <w:vAlign w:val="center"/>
          </w:tcPr>
          <w:p w14:paraId="7DAAA3AF">
            <w:pPr>
              <w:spacing w:before="0" w:after="0" w:line="240" w:lineRule="auto"/>
              <w:ind w:firstLine="0"/>
              <w:jc w:val="center"/>
              <w:rPr>
                <w:b w:val="0"/>
              </w:rPr>
            </w:pPr>
            <w:r>
              <w:rPr>
                <w:rFonts w:ascii="Times New Roman" w:hAnsi="Times New Roman" w:eastAsia="宋体" w:cs="Times New Roman"/>
                <w:b w:val="0"/>
                <w:color w:val="000000"/>
                <w:sz w:val="19"/>
              </w:rPr>
              <w:t>指标及单位</w:t>
            </w:r>
          </w:p>
        </w:tc>
      </w:tr>
      <w:tr w14:paraId="66E92FC4">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0" w:type="auto"/>
            <w:tcBorders>
              <w:top w:val="single" w:color="000000" w:sz="4" w:space="0"/>
            </w:tcBorders>
            <w:shd w:val="clear" w:color="auto" w:fill="FFFFFF"/>
            <w:tcMar>
              <w:top w:w="50" w:type="dxa"/>
              <w:left w:w="65" w:type="dxa"/>
              <w:bottom w:w="50" w:type="dxa"/>
              <w:right w:w="65" w:type="dxa"/>
            </w:tcMar>
            <w:vAlign w:val="center"/>
          </w:tcPr>
          <w:p w14:paraId="5B4E8B07">
            <w:pPr>
              <w:spacing w:before="0" w:after="0" w:line="240" w:lineRule="auto"/>
              <w:ind w:firstLine="0"/>
              <w:jc w:val="center"/>
              <w:rPr>
                <w:b w:val="0"/>
              </w:rPr>
            </w:pPr>
            <w:r>
              <w:rPr>
                <w:rFonts w:ascii="Times New Roman" w:hAnsi="Times New Roman" w:eastAsia="宋体" w:cs="Times New Roman"/>
                <w:b w:val="0"/>
                <w:color w:val="000000"/>
                <w:sz w:val="19"/>
              </w:rPr>
              <w:t>阶跃响应</w:t>
            </w:r>
          </w:p>
        </w:tc>
        <w:tc>
          <w:tcPr>
            <w:tcW w:w="0" w:type="auto"/>
            <w:tcBorders>
              <w:top w:val="single" w:color="000000" w:sz="4" w:space="0"/>
            </w:tcBorders>
            <w:shd w:val="clear" w:color="auto" w:fill="FFFFFF"/>
            <w:tcMar>
              <w:top w:w="50" w:type="dxa"/>
              <w:left w:w="65" w:type="dxa"/>
              <w:bottom w:w="50" w:type="dxa"/>
              <w:right w:w="65" w:type="dxa"/>
            </w:tcMar>
            <w:vAlign w:val="center"/>
          </w:tcPr>
          <w:p w14:paraId="4F8A19B1">
            <w:pPr>
              <w:spacing w:before="0" w:after="0" w:line="240" w:lineRule="auto"/>
              <w:ind w:firstLine="0"/>
              <w:jc w:val="center"/>
              <w:rPr>
                <w:b w:val="0"/>
              </w:rPr>
            </w:pPr>
            <w:r>
              <w:rPr>
                <w:rFonts w:ascii="Times New Roman" w:hAnsi="Times New Roman" w:eastAsia="宋体" w:cs="Times New Roman"/>
                <w:b w:val="0"/>
                <w:color w:val="000000"/>
                <w:sz w:val="19"/>
              </w:rPr>
              <w:t>Mₚ / %；tₛ / s；eₛₛ / m</w:t>
            </w:r>
          </w:p>
        </w:tc>
      </w:tr>
      <w:tr w14:paraId="753ECEE4">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0" w:type="auto"/>
            <w:shd w:val="clear" w:color="auto" w:fill="FFFFFF"/>
            <w:tcMar>
              <w:top w:w="50" w:type="dxa"/>
              <w:left w:w="65" w:type="dxa"/>
              <w:bottom w:w="50" w:type="dxa"/>
              <w:right w:w="65" w:type="dxa"/>
            </w:tcMar>
            <w:vAlign w:val="center"/>
          </w:tcPr>
          <w:p w14:paraId="3DAE4A35">
            <w:pPr>
              <w:spacing w:before="0" w:after="0" w:line="240" w:lineRule="auto"/>
              <w:ind w:firstLine="0"/>
              <w:jc w:val="center"/>
              <w:rPr>
                <w:b w:val="0"/>
              </w:rPr>
            </w:pPr>
            <w:r>
              <w:rPr>
                <w:rFonts w:ascii="Times New Roman" w:hAnsi="Times New Roman" w:eastAsia="宋体" w:cs="Times New Roman"/>
                <w:b w:val="0"/>
                <w:color w:val="000000"/>
                <w:sz w:val="19"/>
              </w:rPr>
              <w:t>轨迹跟踪</w:t>
            </w:r>
          </w:p>
        </w:tc>
        <w:tc>
          <w:tcPr>
            <w:tcW w:w="0" w:type="auto"/>
            <w:shd w:val="clear" w:color="auto" w:fill="FFFFFF"/>
            <w:tcMar>
              <w:top w:w="50" w:type="dxa"/>
              <w:left w:w="65" w:type="dxa"/>
              <w:bottom w:w="50" w:type="dxa"/>
              <w:right w:w="65" w:type="dxa"/>
            </w:tcMar>
            <w:vAlign w:val="center"/>
          </w:tcPr>
          <w:p w14:paraId="34C89EBD">
            <w:pPr>
              <w:spacing w:before="0" w:after="0" w:line="240" w:lineRule="auto"/>
              <w:ind w:firstLine="0"/>
              <w:jc w:val="center"/>
              <w:rPr>
                <w:b w:val="0"/>
              </w:rPr>
            </w:pPr>
            <w:r>
              <w:rPr>
                <w:rFonts w:ascii="Times New Roman" w:hAnsi="Times New Roman" w:eastAsia="宋体" w:cs="Times New Roman"/>
                <w:b w:val="0"/>
                <w:color w:val="000000"/>
                <w:sz w:val="19"/>
              </w:rPr>
              <w:t>RMSE、IAE、ISE、P95、峰值</w:t>
            </w:r>
          </w:p>
        </w:tc>
      </w:tr>
      <w:tr w14:paraId="2799E392">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0" w:type="auto"/>
            <w:shd w:val="clear" w:color="auto" w:fill="FFFFFF"/>
            <w:tcMar>
              <w:top w:w="50" w:type="dxa"/>
              <w:left w:w="65" w:type="dxa"/>
              <w:bottom w:w="50" w:type="dxa"/>
              <w:right w:w="65" w:type="dxa"/>
            </w:tcMar>
            <w:vAlign w:val="center"/>
          </w:tcPr>
          <w:p w14:paraId="74FC76BC">
            <w:pPr>
              <w:spacing w:before="0" w:after="0" w:line="240" w:lineRule="auto"/>
              <w:ind w:firstLine="0"/>
              <w:jc w:val="center"/>
              <w:rPr>
                <w:b w:val="0"/>
              </w:rPr>
            </w:pPr>
            <w:r>
              <w:rPr>
                <w:rFonts w:ascii="Times New Roman" w:hAnsi="Times New Roman" w:eastAsia="宋体" w:cs="Times New Roman"/>
                <w:b w:val="0"/>
                <w:color w:val="000000"/>
                <w:sz w:val="19"/>
              </w:rPr>
              <w:t>参数变化</w:t>
            </w:r>
          </w:p>
        </w:tc>
        <w:tc>
          <w:tcPr>
            <w:tcW w:w="0" w:type="auto"/>
            <w:shd w:val="clear" w:color="auto" w:fill="FFFFFF"/>
            <w:tcMar>
              <w:top w:w="50" w:type="dxa"/>
              <w:left w:w="65" w:type="dxa"/>
              <w:bottom w:w="50" w:type="dxa"/>
              <w:right w:w="65" w:type="dxa"/>
            </w:tcMar>
            <w:vAlign w:val="center"/>
          </w:tcPr>
          <w:p w14:paraId="4D755EE7">
            <w:pPr>
              <w:spacing w:before="0" w:after="0" w:line="240" w:lineRule="auto"/>
              <w:ind w:firstLine="0"/>
              <w:jc w:val="center"/>
              <w:rPr>
                <w:b w:val="0"/>
              </w:rPr>
            </w:pPr>
            <w:r>
              <w:rPr>
                <w:rFonts w:ascii="Times New Roman" w:hAnsi="Times New Roman" w:eastAsia="宋体" w:cs="Times New Roman"/>
                <w:b w:val="0"/>
                <w:color w:val="000000"/>
                <w:sz w:val="19"/>
              </w:rPr>
              <w:t>RMSE保持比ρ</w:t>
            </w:r>
          </w:p>
        </w:tc>
      </w:tr>
      <w:tr w14:paraId="178E2078">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0" w:type="auto"/>
            <w:shd w:val="clear" w:color="auto" w:fill="FFFFFF"/>
            <w:tcMar>
              <w:top w:w="50" w:type="dxa"/>
              <w:left w:w="65" w:type="dxa"/>
              <w:bottom w:w="50" w:type="dxa"/>
              <w:right w:w="65" w:type="dxa"/>
            </w:tcMar>
            <w:vAlign w:val="center"/>
          </w:tcPr>
          <w:p w14:paraId="6B547B9C">
            <w:pPr>
              <w:spacing w:before="0" w:after="0" w:line="240" w:lineRule="auto"/>
              <w:ind w:firstLine="0"/>
              <w:jc w:val="center"/>
              <w:rPr>
                <w:b w:val="0"/>
              </w:rPr>
            </w:pPr>
            <w:r>
              <w:rPr>
                <w:rFonts w:ascii="Times New Roman" w:hAnsi="Times New Roman" w:eastAsia="宋体" w:cs="Times New Roman"/>
                <w:b w:val="0"/>
                <w:color w:val="000000"/>
                <w:sz w:val="19"/>
              </w:rPr>
              <w:t>扰动恢复</w:t>
            </w:r>
          </w:p>
        </w:tc>
        <w:tc>
          <w:tcPr>
            <w:tcW w:w="0" w:type="auto"/>
            <w:shd w:val="clear" w:color="auto" w:fill="FFFFFF"/>
            <w:tcMar>
              <w:top w:w="50" w:type="dxa"/>
              <w:left w:w="65" w:type="dxa"/>
              <w:bottom w:w="50" w:type="dxa"/>
              <w:right w:w="65" w:type="dxa"/>
            </w:tcMar>
            <w:vAlign w:val="center"/>
          </w:tcPr>
          <w:p w14:paraId="44881654">
            <w:pPr>
              <w:spacing w:before="0" w:after="0" w:line="240" w:lineRule="auto"/>
              <w:ind w:firstLine="0"/>
              <w:jc w:val="center"/>
              <w:rPr>
                <w:b w:val="0"/>
              </w:rPr>
            </w:pPr>
            <w:r>
              <w:rPr>
                <w:rFonts w:ascii="Times New Roman" w:hAnsi="Times New Roman" w:eastAsia="宋体" w:cs="Times New Roman"/>
                <w:b w:val="0"/>
                <w:color w:val="000000"/>
                <w:sz w:val="19"/>
              </w:rPr>
              <w:t>恢复时间 / s；末段误差 / m</w:t>
            </w:r>
          </w:p>
        </w:tc>
      </w:tr>
      <w:tr w14:paraId="70C219E8">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0" w:type="auto"/>
            <w:shd w:val="clear" w:color="auto" w:fill="FFFFFF"/>
            <w:tcMar>
              <w:top w:w="50" w:type="dxa"/>
              <w:left w:w="65" w:type="dxa"/>
              <w:bottom w:w="50" w:type="dxa"/>
              <w:right w:w="65" w:type="dxa"/>
            </w:tcMar>
            <w:vAlign w:val="center"/>
          </w:tcPr>
          <w:p w14:paraId="24A8C2DF">
            <w:pPr>
              <w:spacing w:before="0" w:after="0" w:line="240" w:lineRule="auto"/>
              <w:ind w:firstLine="0"/>
              <w:jc w:val="center"/>
              <w:rPr>
                <w:b w:val="0"/>
              </w:rPr>
            </w:pPr>
            <w:r>
              <w:rPr>
                <w:rFonts w:ascii="Times New Roman" w:hAnsi="Times New Roman" w:eastAsia="宋体" w:cs="Times New Roman"/>
                <w:b w:val="0"/>
                <w:color w:val="000000"/>
                <w:sz w:val="19"/>
              </w:rPr>
              <w:t>控制输入</w:t>
            </w:r>
          </w:p>
        </w:tc>
        <w:tc>
          <w:tcPr>
            <w:tcW w:w="0" w:type="auto"/>
            <w:shd w:val="clear" w:color="auto" w:fill="FFFFFF"/>
            <w:tcMar>
              <w:top w:w="50" w:type="dxa"/>
              <w:left w:w="65" w:type="dxa"/>
              <w:bottom w:w="50" w:type="dxa"/>
              <w:right w:w="65" w:type="dxa"/>
            </w:tcMar>
            <w:vAlign w:val="center"/>
          </w:tcPr>
          <w:p w14:paraId="08B29B66">
            <w:pPr>
              <w:spacing w:before="0" w:after="0" w:line="240" w:lineRule="auto"/>
              <w:ind w:firstLine="0"/>
              <w:jc w:val="center"/>
              <w:rPr>
                <w:b w:val="0"/>
              </w:rPr>
            </w:pPr>
            <w:r>
              <w:rPr>
                <w:rFonts w:ascii="Times New Roman" w:hAnsi="Times New Roman" w:eastAsia="宋体" w:cs="Times New Roman"/>
                <w:b w:val="0"/>
                <w:color w:val="000000"/>
                <w:sz w:val="19"/>
              </w:rPr>
              <w:t>电机总变差、变化率、分配残差</w:t>
            </w:r>
          </w:p>
        </w:tc>
      </w:tr>
      <w:tr w14:paraId="0FCBB55C">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0" w:type="auto"/>
            <w:shd w:val="clear" w:color="auto" w:fill="FFFFFF"/>
            <w:tcMar>
              <w:top w:w="50" w:type="dxa"/>
              <w:left w:w="65" w:type="dxa"/>
              <w:bottom w:w="50" w:type="dxa"/>
              <w:right w:w="65" w:type="dxa"/>
            </w:tcMar>
            <w:vAlign w:val="center"/>
          </w:tcPr>
          <w:p w14:paraId="0FE8407E">
            <w:pPr>
              <w:spacing w:before="0" w:after="0" w:line="240" w:lineRule="auto"/>
              <w:ind w:firstLine="0"/>
              <w:jc w:val="center"/>
              <w:rPr>
                <w:b w:val="0"/>
              </w:rPr>
            </w:pPr>
            <w:r>
              <w:rPr>
                <w:rFonts w:ascii="Times New Roman" w:hAnsi="Times New Roman" w:eastAsia="宋体" w:cs="Times New Roman"/>
                <w:b w:val="0"/>
                <w:color w:val="000000"/>
                <w:sz w:val="19"/>
              </w:rPr>
              <w:t>姿态与运动</w:t>
            </w:r>
          </w:p>
        </w:tc>
        <w:tc>
          <w:tcPr>
            <w:tcW w:w="0" w:type="auto"/>
            <w:shd w:val="clear" w:color="auto" w:fill="FFFFFF"/>
            <w:tcMar>
              <w:top w:w="50" w:type="dxa"/>
              <w:left w:w="65" w:type="dxa"/>
              <w:bottom w:w="50" w:type="dxa"/>
              <w:right w:w="65" w:type="dxa"/>
            </w:tcMar>
            <w:vAlign w:val="center"/>
          </w:tcPr>
          <w:p w14:paraId="239AF1BC">
            <w:pPr>
              <w:spacing w:before="0" w:after="0" w:line="240" w:lineRule="auto"/>
              <w:ind w:firstLine="0"/>
              <w:jc w:val="center"/>
              <w:rPr>
                <w:b w:val="0"/>
              </w:rPr>
            </w:pPr>
            <w:r>
              <w:rPr>
                <w:rFonts w:ascii="Times New Roman" w:hAnsi="Times New Roman" w:eastAsia="宋体" w:cs="Times New Roman"/>
                <w:b w:val="0"/>
                <w:color w:val="000000"/>
                <w:sz w:val="19"/>
              </w:rPr>
              <w:t>倾角、角速度、旋转矩阵质量</w:t>
            </w:r>
          </w:p>
        </w:tc>
      </w:tr>
      <w:tr w14:paraId="2278162F">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0" w:type="auto"/>
            <w:tcBorders>
              <w:bottom w:val="single" w:color="000000" w:sz="12" w:space="0"/>
            </w:tcBorders>
            <w:shd w:val="clear" w:color="auto" w:fill="FFFFFF"/>
            <w:tcMar>
              <w:top w:w="50" w:type="dxa"/>
              <w:left w:w="65" w:type="dxa"/>
              <w:bottom w:w="50" w:type="dxa"/>
              <w:right w:w="65" w:type="dxa"/>
            </w:tcMar>
            <w:vAlign w:val="center"/>
          </w:tcPr>
          <w:p w14:paraId="2B73A39A">
            <w:pPr>
              <w:spacing w:before="0" w:after="0" w:line="240" w:lineRule="auto"/>
              <w:ind w:firstLine="0"/>
              <w:jc w:val="center"/>
              <w:rPr>
                <w:b w:val="0"/>
              </w:rPr>
            </w:pPr>
            <w:r>
              <w:rPr>
                <w:rFonts w:ascii="Times New Roman" w:hAnsi="Times New Roman" w:eastAsia="宋体" w:cs="Times New Roman"/>
                <w:b w:val="0"/>
                <w:color w:val="000000"/>
                <w:sz w:val="19"/>
              </w:rPr>
              <w:t>编队与安全</w:t>
            </w:r>
          </w:p>
        </w:tc>
        <w:tc>
          <w:tcPr>
            <w:tcW w:w="0" w:type="auto"/>
            <w:tcBorders>
              <w:bottom w:val="single" w:color="000000" w:sz="12" w:space="0"/>
            </w:tcBorders>
            <w:shd w:val="clear" w:color="auto" w:fill="FFFFFF"/>
            <w:tcMar>
              <w:top w:w="50" w:type="dxa"/>
              <w:left w:w="65" w:type="dxa"/>
              <w:bottom w:w="50" w:type="dxa"/>
              <w:right w:w="65" w:type="dxa"/>
            </w:tcMar>
            <w:vAlign w:val="center"/>
          </w:tcPr>
          <w:p w14:paraId="31487DD3">
            <w:pPr>
              <w:spacing w:before="0" w:after="0" w:line="240" w:lineRule="auto"/>
              <w:ind w:firstLine="0"/>
              <w:jc w:val="center"/>
              <w:rPr>
                <w:b w:val="0"/>
              </w:rPr>
            </w:pPr>
            <w:r>
              <w:rPr>
                <w:rFonts w:ascii="Times New Roman" w:hAnsi="Times New Roman" w:eastAsia="宋体" w:cs="Times New Roman"/>
                <w:b w:val="0"/>
                <w:color w:val="000000"/>
                <w:sz w:val="19"/>
              </w:rPr>
              <w:t>质心/队形RMSE、间距、违规时间、修正能量</w:t>
            </w:r>
          </w:p>
        </w:tc>
      </w:tr>
    </w:tbl>
    <w:p w14:paraId="6E82D5D5">
      <w:pPr>
        <w:spacing w:before="0" w:after="0" w:line="360" w:lineRule="auto"/>
        <w:ind w:firstLine="480"/>
        <w:jc w:val="both"/>
      </w:pPr>
      <w:r>
        <w:rPr>
          <w:rFonts w:ascii="Times New Roman" w:hAnsi="Times New Roman" w:eastAsia="宋体" w:cs="Times New Roman"/>
          <w:color w:val="000000"/>
          <w:sz w:val="24"/>
        </w:rPr>
        <w:t>除四项赛题要求指标外，本文同时检查姿态变化和执行器限制，避免只依据位置误差判断控制效果。标准阶跃采用10%超调量和0.02 m稳态绝对误差作为性能参考；参数变化使用RMSE保持比、峰值误差和稳态误差；外力扰动报告恢复时间和末段误差；编队实验以0.60 m作为最小安全距离参考。这些数值用于统一本文的实验评价，并非赛题规定的阈值。</w:t>
      </w:r>
    </w:p>
    <w:p w14:paraId="35B6AAD5">
      <w:pPr>
        <w:spacing w:before="0" w:after="0" w:line="360" w:lineRule="auto"/>
        <w:ind w:firstLine="480"/>
        <w:jc w:val="both"/>
      </w:pPr>
      <w:r>
        <w:rPr>
          <w:rFonts w:ascii="Times New Roman" w:hAnsi="Times New Roman" w:eastAsia="宋体" w:cs="Times New Roman"/>
          <w:color w:val="000000"/>
          <w:sz w:val="24"/>
        </w:rPr>
        <w:t>五相位风场和五种传感器退化均采用预先设定的确定性工况。报告给出各工况指标，并使用均值、样本标准差和范围汇总差异。样本标准差只反映这些预设工况之间的变化，不代表随机总体的置信区间；因此，单次确定性仿真不进行显著性检验。</w:t>
      </w:r>
    </w:p>
    <w:p w14:paraId="7B9D0538">
      <w:pPr>
        <w:pStyle w:val="3"/>
      </w:pPr>
      <w:bookmarkStart w:id="27" w:name="_Toc2220"/>
      <w:r>
        <w:rPr>
          <w:rFonts w:ascii="Times New Roman" w:hAnsi="Times New Roman" w:eastAsia="黑体" w:cs="Times New Roman"/>
          <w:b/>
          <w:color w:val="000000"/>
          <w:sz w:val="26"/>
        </w:rPr>
        <w:t>5.4  仿真数据处理方法</w:t>
      </w:r>
      <w:bookmarkEnd w:id="27"/>
    </w:p>
    <w:p w14:paraId="08AC2799">
      <w:pPr>
        <w:spacing w:before="0" w:after="0" w:line="360" w:lineRule="auto"/>
        <w:ind w:firstLine="480"/>
        <w:jc w:val="both"/>
      </w:pPr>
      <w:r>
        <w:rPr>
          <w:rFonts w:ascii="Times New Roman" w:hAnsi="Times New Roman" w:eastAsia="宋体" w:cs="Times New Roman"/>
          <w:color w:val="000000"/>
          <w:sz w:val="24"/>
        </w:rPr>
        <w:t>图5-3概括仿真数据的处理过程。各方法先在相同的模型、初始条件、参考输入和求解设置下通过Sysplorer运行，导出参考轨迹、状态、执行器和诊断数据；随后使用Syslab检查字段与单位，确定评价区间，并按第5.2节和第5.3节的方法计算指标。</w:t>
      </w:r>
    </w:p>
    <w:p w14:paraId="2AC74AD8">
      <w:pPr>
        <w:keepNext/>
        <w:keepLines/>
        <w:spacing w:before="0" w:after="60"/>
        <w:ind w:firstLine="0"/>
        <w:jc w:val="center"/>
      </w:pPr>
      <w:r>
        <w:drawing>
          <wp:inline distT="0" distB="0" distL="114300" distR="114300">
            <wp:extent cx="5543550" cy="1524635"/>
            <wp:effectExtent l="0" t="0" r="0" b="18415"/>
            <wp:docPr id="11" name="Picture 3" descr="图5-3仿真数据处理与结果分析：实验设置、Sysplorer仿真、数据检查、Syslab分析和结果展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 descr="图5-3仿真数据处理与结果分析：实验设置、Sysplorer仿真、数据检查、Syslab分析和结果展示"/>
                    <pic:cNvPicPr>
                      <a:picLocks noChangeAspect="1"/>
                    </pic:cNvPicPr>
                  </pic:nvPicPr>
                  <pic:blipFill>
                    <a:blip r:embed="rId22"/>
                    <a:stretch>
                      <a:fillRect/>
                    </a:stretch>
                  </pic:blipFill>
                  <pic:spPr>
                    <a:xfrm>
                      <a:off x="0" y="0"/>
                      <a:ext cx="5544000" cy="1525185"/>
                    </a:xfrm>
                    <a:prstGeom prst="rect">
                      <a:avLst/>
                    </a:prstGeom>
                  </pic:spPr>
                </pic:pic>
              </a:graphicData>
            </a:graphic>
          </wp:inline>
        </w:drawing>
      </w:r>
    </w:p>
    <w:p w14:paraId="4A69AB86">
      <w:pPr>
        <w:pStyle w:val="4"/>
      </w:pPr>
      <w:r>
        <w:rPr>
          <w:rFonts w:ascii="Times New Roman" w:hAnsi="Times New Roman" w:eastAsia="宋体" w:cs="Times New Roman"/>
          <w:b/>
          <w:color w:val="000000"/>
          <w:sz w:val="21"/>
        </w:rPr>
        <w:t>图5-3  仿真数据处理与结果分析流程</w:t>
      </w:r>
    </w:p>
    <w:p w14:paraId="629E5EAC">
      <w:pPr>
        <w:pStyle w:val="21"/>
      </w:pPr>
      <w:r>
        <w:rPr>
          <w:rFonts w:ascii="Times New Roman" w:hAnsi="Times New Roman" w:eastAsia="宋体" w:cs="Times New Roman"/>
          <w:color w:val="000000"/>
          <w:sz w:val="18"/>
        </w:rPr>
        <w:t>资料来源：根据本项目的Sysplorer仿真和Syslab数据分析过程整理。</w:t>
      </w:r>
    </w:p>
    <w:p w14:paraId="1D861E71">
      <w:pPr>
        <w:spacing w:before="0" w:after="0" w:line="360" w:lineRule="auto"/>
        <w:ind w:firstLine="480"/>
        <w:jc w:val="both"/>
      </w:pPr>
      <w:r>
        <w:rPr>
          <w:rFonts w:ascii="Times New Roman" w:hAnsi="Times New Roman" w:eastAsia="宋体" w:cs="Times New Roman"/>
          <w:color w:val="000000"/>
          <w:sz w:val="24"/>
        </w:rPr>
        <w:t>仿真数据保留原始采样时序，并统一单位、评价区间和指标定义。确定性工况逐项统计；同一工况有多次运行时，再给出均值和离散程度。</w:t>
      </w:r>
    </w:p>
    <w:p w14:paraId="0ED75C63">
      <w:pPr>
        <w:spacing w:before="0" w:after="0" w:line="360" w:lineRule="auto"/>
        <w:ind w:firstLine="480"/>
        <w:jc w:val="both"/>
      </w:pPr>
      <w:r>
        <w:rPr>
          <w:rFonts w:ascii="Times New Roman" w:hAnsi="Times New Roman" w:eastAsia="宋体" w:cs="Times New Roman"/>
          <w:color w:val="000000"/>
          <w:sz w:val="24"/>
        </w:rPr>
        <w:t>图表标明指标名称、单位和评价区间，曲线、表格和文字分析均使用同一组仿真结果。</w:t>
      </w:r>
    </w:p>
    <w:p w14:paraId="2631A1F5">
      <w:pPr>
        <w:spacing w:before="0" w:after="0" w:line="360" w:lineRule="auto"/>
        <w:ind w:firstLine="480"/>
        <w:jc w:val="both"/>
      </w:pPr>
      <w:r>
        <w:rPr>
          <w:rFonts w:ascii="Times New Roman" w:hAnsi="Times New Roman" w:eastAsia="宋体" w:cs="Times New Roman"/>
          <w:color w:val="000000"/>
          <w:sz w:val="24"/>
        </w:rPr>
        <w:t>场景仿真时长为：独立阶跃和外扰30 s，参数变化50 s，风扰与传感器退化40 s，编队40至60 s，其余典型轨迹30至120 s。阶跃指标从10 s触发时刻起计算，轨迹和参数类指标采用全时域，外扰与近距交汇同时报告事件区间和全时域结果。配套源文件包保留模型、场景脚本、仿真结果和Syslab指标脚本，可按上述设置复算报告指标。</w:t>
      </w:r>
    </w:p>
    <w:p w14:paraId="54D6166F">
      <w:pPr>
        <w:pStyle w:val="2"/>
      </w:pPr>
      <w:bookmarkStart w:id="28" w:name="_Toc11429"/>
      <w:r>
        <w:rPr>
          <w:rFonts w:ascii="Times New Roman" w:hAnsi="Times New Roman" w:eastAsia="黑体" w:cs="Times New Roman"/>
          <w:b/>
          <w:color w:val="000000"/>
          <w:sz w:val="32"/>
        </w:rPr>
        <w:t>第6章 单机性能、鲁棒性与约束结果</w:t>
      </w:r>
      <w:bookmarkEnd w:id="28"/>
    </w:p>
    <w:p w14:paraId="331D3C51">
      <w:pPr>
        <w:spacing w:before="0" w:after="0" w:line="360" w:lineRule="auto"/>
        <w:ind w:firstLine="480"/>
        <w:jc w:val="both"/>
      </w:pPr>
      <w:r>
        <w:rPr>
          <w:rFonts w:ascii="Times New Roman" w:hAnsi="Times New Roman" w:eastAsia="宋体" w:cs="Times New Roman"/>
          <w:color w:val="000000"/>
          <w:sz w:val="24"/>
        </w:rPr>
        <w:t>本章按第5章给出的仿真对象、参考输入、采样周期和指标定义，考察位置跟踪、参数变化、外部扰动、风扰、传感器退化及执行器状态。主算法采用RA-GCA-CGHTE；比较对象为赛题PID、RA-GCA/Base、CAP-ADRC和CP-INDI。</w:t>
      </w:r>
    </w:p>
    <w:p w14:paraId="08E48A1E">
      <w:pPr>
        <w:spacing w:before="0" w:after="0" w:line="360" w:lineRule="auto"/>
        <w:ind w:firstLine="480"/>
        <w:jc w:val="both"/>
      </w:pPr>
      <w:r>
        <w:rPr>
          <w:rFonts w:ascii="Times New Roman" w:hAnsi="Times New Roman" w:eastAsia="宋体" w:cs="Times New Roman"/>
          <w:color w:val="000000"/>
          <w:sz w:val="24"/>
        </w:rPr>
        <w:t>位置误差采用三维位置均方根误差（RMSE），单位为米。三轴阶跃同时报告超调量；扰动测试补充恢复过程；参数测试报告逐设置结果。不同算法只在相同任务中比较，避免把不同测试条件下的数值直接合并。</w:t>
      </w:r>
    </w:p>
    <w:p w14:paraId="4BC64908">
      <w:pPr>
        <w:pStyle w:val="3"/>
      </w:pPr>
      <w:bookmarkStart w:id="29" w:name="_Toc1095"/>
      <w:r>
        <w:rPr>
          <w:rFonts w:ascii="Times New Roman" w:hAnsi="Times New Roman" w:eastAsia="黑体" w:cs="Times New Roman"/>
          <w:b/>
          <w:color w:val="000000"/>
          <w:sz w:val="26"/>
        </w:rPr>
        <w:t>6.1  三轴阶跃、阶梯爬升与悬停</w:t>
      </w:r>
      <w:bookmarkEnd w:id="29"/>
    </w:p>
    <w:p w14:paraId="1EACA968">
      <w:pPr>
        <w:spacing w:before="0" w:after="0" w:line="360" w:lineRule="auto"/>
        <w:ind w:firstLine="480"/>
        <w:jc w:val="both"/>
      </w:pPr>
      <w:r>
        <w:rPr>
          <w:rFonts w:ascii="Times New Roman" w:hAnsi="Times New Roman" w:eastAsia="宋体" w:cs="Times New Roman"/>
          <w:color w:val="000000"/>
          <w:sz w:val="24"/>
        </w:rPr>
        <w:t>图6-1(a)至图6-1(c)直接比较PID与RA-GCA-CGHTE的三轴阶跃时序。主算法在X、Y轴未出现超调，Z轴超调为1.98%；PID的X、Y、Z轴超调分别为24.29%、24.28%和23.81%。主算法到达目标后振荡较小，三个方向的响应也更一致。</w:t>
      </w:r>
    </w:p>
    <w:p w14:paraId="2D03E1AB">
      <w:pPr>
        <w:keepNext/>
        <w:spacing w:before="0" w:after="60"/>
        <w:ind w:firstLine="0"/>
        <w:jc w:val="center"/>
      </w:pPr>
      <w:r>
        <w:drawing>
          <wp:inline distT="0" distB="0" distL="114300" distR="114300">
            <wp:extent cx="5394960" cy="3556635"/>
            <wp:effectExtent l="0" t="0" r="15240" b="5715"/>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
                    <pic:cNvPicPr>
                      <a:picLocks noChangeAspect="1"/>
                    </pic:cNvPicPr>
                  </pic:nvPicPr>
                  <pic:blipFill>
                    <a:blip r:embed="rId23"/>
                    <a:stretch>
                      <a:fillRect/>
                    </a:stretch>
                  </pic:blipFill>
                  <pic:spPr>
                    <a:xfrm>
                      <a:off x="0" y="0"/>
                      <a:ext cx="5394960" cy="3557074"/>
                    </a:xfrm>
                    <a:prstGeom prst="rect">
                      <a:avLst/>
                    </a:prstGeom>
                  </pic:spPr>
                </pic:pic>
              </a:graphicData>
            </a:graphic>
          </wp:inline>
        </w:drawing>
      </w:r>
    </w:p>
    <w:p w14:paraId="73CF5E70">
      <w:pPr>
        <w:pStyle w:val="4"/>
        <w:keepNext/>
      </w:pPr>
      <w:r>
        <w:rPr>
          <w:rFonts w:ascii="Times New Roman" w:hAnsi="Times New Roman" w:eastAsia="宋体" w:cs="Times New Roman"/>
          <w:b/>
          <w:color w:val="000000"/>
          <w:sz w:val="21"/>
        </w:rPr>
        <w:t>图6-1  PID与RA-GCA-CGHTE的三轴独立阶跃响应及超调量</w:t>
      </w:r>
    </w:p>
    <w:p w14:paraId="4E288516">
      <w:pPr>
        <w:pStyle w:val="21"/>
      </w:pPr>
      <w:r>
        <w:rPr>
          <w:rFonts w:ascii="Times New Roman" w:hAnsi="Times New Roman" w:eastAsia="宋体" w:cs="Times New Roman"/>
          <w:color w:val="000000"/>
          <w:sz w:val="18"/>
        </w:rPr>
        <w:t>注：X、Y、Z轴分别施加独立位置阶跃；面板(d)使用同组测试的超调量。</w:t>
      </w:r>
    </w:p>
    <w:p w14:paraId="45A8C6A9">
      <w:pPr>
        <w:pStyle w:val="4"/>
        <w:keepNext/>
      </w:pPr>
      <w:r>
        <w:rPr>
          <w:rFonts w:ascii="Times New Roman" w:hAnsi="Times New Roman" w:eastAsia="宋体" w:cs="Times New Roman"/>
          <w:b/>
          <w:color w:val="000000"/>
          <w:sz w:val="21"/>
        </w:rPr>
        <w:t>表6-1  三轴独立标准阶跃超调量</w:t>
      </w:r>
    </w:p>
    <w:tbl>
      <w:tblPr>
        <w:tblStyle w:val="10"/>
        <w:tblW w:w="0" w:type="auto"/>
        <w:jc w:val="center"/>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700"/>
        <w:gridCol w:w="975"/>
        <w:gridCol w:w="2094"/>
        <w:gridCol w:w="1460"/>
      </w:tblGrid>
      <w:tr w14:paraId="7007358B">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blHeader/>
          <w:jc w:val="center"/>
        </w:trPr>
        <w:tc>
          <w:tcPr>
            <w:tcW w:w="0" w:type="auto"/>
            <w:tcBorders>
              <w:top w:val="single" w:color="000000" w:sz="12" w:space="0"/>
              <w:bottom w:val="single" w:color="000000" w:sz="4" w:space="0"/>
              <w:tl2br w:val="nil"/>
            </w:tcBorders>
            <w:shd w:val="clear" w:color="auto" w:fill="FFFFFF"/>
            <w:tcMar>
              <w:top w:w="55" w:type="dxa"/>
              <w:left w:w="65" w:type="dxa"/>
              <w:bottom w:w="55" w:type="dxa"/>
              <w:right w:w="65" w:type="dxa"/>
            </w:tcMar>
            <w:vAlign w:val="center"/>
          </w:tcPr>
          <w:p w14:paraId="04D2B81D">
            <w:pPr>
              <w:spacing w:before="0" w:after="0" w:line="240" w:lineRule="auto"/>
              <w:ind w:firstLine="0"/>
              <w:jc w:val="center"/>
              <w:rPr>
                <w:b w:val="0"/>
              </w:rPr>
            </w:pPr>
            <w:r>
              <w:rPr>
                <w:rFonts w:ascii="Times New Roman" w:hAnsi="Times New Roman" w:eastAsia="宋体" w:cs="Times New Roman"/>
                <w:b w:val="0"/>
                <w:color w:val="000000"/>
                <w:sz w:val="19"/>
              </w:rPr>
              <w:t>阶跃轴</w:t>
            </w:r>
          </w:p>
        </w:tc>
        <w:tc>
          <w:tcPr>
            <w:tcW w:w="0" w:type="auto"/>
            <w:tcBorders>
              <w:top w:val="single" w:color="000000" w:sz="12" w:space="0"/>
              <w:bottom w:val="single" w:color="000000" w:sz="4" w:space="0"/>
            </w:tcBorders>
            <w:shd w:val="clear" w:color="auto" w:fill="FFFFFF"/>
            <w:tcMar>
              <w:top w:w="55" w:type="dxa"/>
              <w:left w:w="65" w:type="dxa"/>
              <w:bottom w:w="55" w:type="dxa"/>
              <w:right w:w="65" w:type="dxa"/>
            </w:tcMar>
            <w:vAlign w:val="center"/>
          </w:tcPr>
          <w:p w14:paraId="26FC75F3">
            <w:pPr>
              <w:spacing w:before="0" w:after="0" w:line="240" w:lineRule="auto"/>
              <w:ind w:firstLine="0"/>
              <w:jc w:val="center"/>
              <w:rPr>
                <w:b w:val="0"/>
              </w:rPr>
            </w:pPr>
            <w:r>
              <w:rPr>
                <w:rFonts w:ascii="Times New Roman" w:hAnsi="Times New Roman" w:eastAsia="宋体" w:cs="Times New Roman"/>
                <w:b w:val="0"/>
                <w:color w:val="000000"/>
                <w:sz w:val="19"/>
              </w:rPr>
              <w:t>PID（%）</w:t>
            </w:r>
          </w:p>
        </w:tc>
        <w:tc>
          <w:tcPr>
            <w:tcW w:w="0" w:type="auto"/>
            <w:tcBorders>
              <w:top w:val="single" w:color="000000" w:sz="12" w:space="0"/>
              <w:bottom w:val="single" w:color="000000" w:sz="4" w:space="0"/>
            </w:tcBorders>
            <w:shd w:val="clear" w:color="auto" w:fill="FFFFFF"/>
            <w:tcMar>
              <w:top w:w="55" w:type="dxa"/>
              <w:left w:w="65" w:type="dxa"/>
              <w:bottom w:w="55" w:type="dxa"/>
              <w:right w:w="65" w:type="dxa"/>
            </w:tcMar>
            <w:vAlign w:val="center"/>
          </w:tcPr>
          <w:p w14:paraId="2F0A1699">
            <w:pPr>
              <w:spacing w:before="0" w:after="0" w:line="240" w:lineRule="auto"/>
              <w:ind w:firstLine="0"/>
              <w:jc w:val="center"/>
              <w:rPr>
                <w:b w:val="0"/>
              </w:rPr>
            </w:pPr>
            <w:r>
              <w:rPr>
                <w:rFonts w:ascii="Times New Roman" w:hAnsi="Times New Roman" w:eastAsia="宋体" w:cs="Times New Roman"/>
                <w:b w:val="0"/>
                <w:color w:val="000000"/>
                <w:sz w:val="19"/>
              </w:rPr>
              <w:t>RA-GCA-CGHTE（%）</w:t>
            </w:r>
          </w:p>
        </w:tc>
        <w:tc>
          <w:tcPr>
            <w:tcW w:w="0" w:type="auto"/>
            <w:tcBorders>
              <w:top w:val="single" w:color="000000" w:sz="12" w:space="0"/>
              <w:bottom w:val="single" w:color="000000" w:sz="4" w:space="0"/>
            </w:tcBorders>
            <w:shd w:val="clear" w:color="auto" w:fill="FFFFFF"/>
            <w:tcMar>
              <w:top w:w="55" w:type="dxa"/>
              <w:left w:w="65" w:type="dxa"/>
              <w:bottom w:w="55" w:type="dxa"/>
              <w:right w:w="65" w:type="dxa"/>
            </w:tcMar>
            <w:vAlign w:val="center"/>
          </w:tcPr>
          <w:p w14:paraId="338017BE">
            <w:pPr>
              <w:spacing w:before="0" w:after="0" w:line="240" w:lineRule="auto"/>
              <w:ind w:firstLine="0"/>
              <w:jc w:val="center"/>
              <w:rPr>
                <w:b w:val="0"/>
              </w:rPr>
            </w:pPr>
            <w:r>
              <w:rPr>
                <w:rFonts w:ascii="Times New Roman" w:hAnsi="Times New Roman" w:eastAsia="宋体" w:cs="Times New Roman"/>
                <w:b w:val="0"/>
                <w:color w:val="000000"/>
                <w:sz w:val="19"/>
              </w:rPr>
              <w:t>减少（百分点）</w:t>
            </w:r>
          </w:p>
        </w:tc>
      </w:tr>
      <w:tr w14:paraId="4BAC08CE">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0" w:type="auto"/>
            <w:tcBorders>
              <w:top w:val="single" w:color="000000" w:sz="4" w:space="0"/>
            </w:tcBorders>
            <w:shd w:val="clear" w:color="auto" w:fill="FFFFFF"/>
            <w:tcMar>
              <w:top w:w="55" w:type="dxa"/>
              <w:left w:w="65" w:type="dxa"/>
              <w:bottom w:w="55" w:type="dxa"/>
              <w:right w:w="65" w:type="dxa"/>
            </w:tcMar>
            <w:vAlign w:val="center"/>
          </w:tcPr>
          <w:p w14:paraId="4B885A73">
            <w:pPr>
              <w:spacing w:before="0" w:after="0" w:line="240" w:lineRule="auto"/>
              <w:ind w:firstLine="0"/>
              <w:jc w:val="center"/>
              <w:rPr>
                <w:b w:val="0"/>
              </w:rPr>
            </w:pPr>
            <w:r>
              <w:rPr>
                <w:rFonts w:ascii="Times New Roman" w:hAnsi="Times New Roman" w:eastAsia="宋体" w:cs="Times New Roman"/>
                <w:b w:val="0"/>
                <w:color w:val="000000"/>
                <w:sz w:val="19"/>
              </w:rPr>
              <w:t>X</w:t>
            </w:r>
          </w:p>
        </w:tc>
        <w:tc>
          <w:tcPr>
            <w:tcW w:w="0" w:type="auto"/>
            <w:tcBorders>
              <w:top w:val="single" w:color="000000" w:sz="4" w:space="0"/>
            </w:tcBorders>
            <w:shd w:val="clear" w:color="auto" w:fill="FFFFFF"/>
            <w:tcMar>
              <w:top w:w="55" w:type="dxa"/>
              <w:left w:w="65" w:type="dxa"/>
              <w:bottom w:w="55" w:type="dxa"/>
              <w:right w:w="65" w:type="dxa"/>
            </w:tcMar>
            <w:vAlign w:val="center"/>
          </w:tcPr>
          <w:p w14:paraId="27A25795">
            <w:pPr>
              <w:spacing w:before="0" w:after="0" w:line="240" w:lineRule="auto"/>
              <w:ind w:firstLine="0"/>
              <w:jc w:val="center"/>
              <w:rPr>
                <w:b w:val="0"/>
              </w:rPr>
            </w:pPr>
            <w:r>
              <w:rPr>
                <w:rFonts w:ascii="Times New Roman" w:hAnsi="Times New Roman" w:eastAsia="宋体" w:cs="Times New Roman"/>
                <w:b w:val="0"/>
                <w:color w:val="000000"/>
                <w:sz w:val="19"/>
              </w:rPr>
              <w:t>24.29</w:t>
            </w:r>
          </w:p>
        </w:tc>
        <w:tc>
          <w:tcPr>
            <w:tcW w:w="0" w:type="auto"/>
            <w:tcBorders>
              <w:top w:val="single" w:color="000000" w:sz="4" w:space="0"/>
            </w:tcBorders>
            <w:shd w:val="clear" w:color="auto" w:fill="FFFFFF"/>
            <w:tcMar>
              <w:top w:w="55" w:type="dxa"/>
              <w:left w:w="65" w:type="dxa"/>
              <w:bottom w:w="55" w:type="dxa"/>
              <w:right w:w="65" w:type="dxa"/>
            </w:tcMar>
            <w:vAlign w:val="center"/>
          </w:tcPr>
          <w:p w14:paraId="40C93582">
            <w:pPr>
              <w:spacing w:before="0" w:after="0" w:line="240" w:lineRule="auto"/>
              <w:ind w:firstLine="0"/>
              <w:jc w:val="center"/>
              <w:rPr>
                <w:b w:val="0"/>
              </w:rPr>
            </w:pPr>
            <w:r>
              <w:rPr>
                <w:rFonts w:ascii="Times New Roman" w:hAnsi="Times New Roman" w:eastAsia="宋体" w:cs="Times New Roman"/>
                <w:b w:val="0"/>
                <w:color w:val="000000"/>
                <w:sz w:val="19"/>
              </w:rPr>
              <w:t>0.00</w:t>
            </w:r>
          </w:p>
        </w:tc>
        <w:tc>
          <w:tcPr>
            <w:tcW w:w="0" w:type="auto"/>
            <w:tcBorders>
              <w:top w:val="single" w:color="000000" w:sz="4" w:space="0"/>
            </w:tcBorders>
            <w:shd w:val="clear" w:color="auto" w:fill="FFFFFF"/>
            <w:tcMar>
              <w:top w:w="55" w:type="dxa"/>
              <w:left w:w="65" w:type="dxa"/>
              <w:bottom w:w="55" w:type="dxa"/>
              <w:right w:w="65" w:type="dxa"/>
            </w:tcMar>
            <w:vAlign w:val="center"/>
          </w:tcPr>
          <w:p w14:paraId="2BCF8F6A">
            <w:pPr>
              <w:spacing w:before="0" w:after="0" w:line="240" w:lineRule="auto"/>
              <w:ind w:firstLine="0"/>
              <w:jc w:val="center"/>
              <w:rPr>
                <w:b w:val="0"/>
              </w:rPr>
            </w:pPr>
            <w:r>
              <w:rPr>
                <w:rFonts w:ascii="Times New Roman" w:hAnsi="Times New Roman" w:eastAsia="宋体" w:cs="Times New Roman"/>
                <w:b w:val="0"/>
                <w:color w:val="000000"/>
                <w:sz w:val="19"/>
              </w:rPr>
              <w:t>24.29</w:t>
            </w:r>
          </w:p>
        </w:tc>
      </w:tr>
      <w:tr w14:paraId="11A21DE4">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0" w:type="auto"/>
            <w:shd w:val="clear" w:color="auto" w:fill="FFFFFF"/>
            <w:tcMar>
              <w:top w:w="55" w:type="dxa"/>
              <w:left w:w="65" w:type="dxa"/>
              <w:bottom w:w="55" w:type="dxa"/>
              <w:right w:w="65" w:type="dxa"/>
            </w:tcMar>
            <w:vAlign w:val="center"/>
          </w:tcPr>
          <w:p w14:paraId="2EB18288">
            <w:pPr>
              <w:spacing w:before="0" w:after="0" w:line="240" w:lineRule="auto"/>
              <w:ind w:firstLine="0"/>
              <w:jc w:val="center"/>
              <w:rPr>
                <w:b w:val="0"/>
              </w:rPr>
            </w:pPr>
            <w:r>
              <w:rPr>
                <w:rFonts w:ascii="Times New Roman" w:hAnsi="Times New Roman" w:eastAsia="宋体" w:cs="Times New Roman"/>
                <w:b w:val="0"/>
                <w:color w:val="000000"/>
                <w:sz w:val="19"/>
              </w:rPr>
              <w:t>Y</w:t>
            </w:r>
          </w:p>
        </w:tc>
        <w:tc>
          <w:tcPr>
            <w:tcW w:w="0" w:type="auto"/>
            <w:shd w:val="clear" w:color="auto" w:fill="FFFFFF"/>
            <w:tcMar>
              <w:top w:w="55" w:type="dxa"/>
              <w:left w:w="65" w:type="dxa"/>
              <w:bottom w:w="55" w:type="dxa"/>
              <w:right w:w="65" w:type="dxa"/>
            </w:tcMar>
            <w:vAlign w:val="center"/>
          </w:tcPr>
          <w:p w14:paraId="746A19DB">
            <w:pPr>
              <w:spacing w:before="0" w:after="0" w:line="240" w:lineRule="auto"/>
              <w:ind w:firstLine="0"/>
              <w:jc w:val="center"/>
              <w:rPr>
                <w:b w:val="0"/>
              </w:rPr>
            </w:pPr>
            <w:r>
              <w:rPr>
                <w:rFonts w:ascii="Times New Roman" w:hAnsi="Times New Roman" w:eastAsia="宋体" w:cs="Times New Roman"/>
                <w:b w:val="0"/>
                <w:color w:val="000000"/>
                <w:sz w:val="19"/>
              </w:rPr>
              <w:t>24.28</w:t>
            </w:r>
          </w:p>
        </w:tc>
        <w:tc>
          <w:tcPr>
            <w:tcW w:w="0" w:type="auto"/>
            <w:shd w:val="clear" w:color="auto" w:fill="FFFFFF"/>
            <w:tcMar>
              <w:top w:w="55" w:type="dxa"/>
              <w:left w:w="65" w:type="dxa"/>
              <w:bottom w:w="55" w:type="dxa"/>
              <w:right w:w="65" w:type="dxa"/>
            </w:tcMar>
            <w:vAlign w:val="center"/>
          </w:tcPr>
          <w:p w14:paraId="67F8545D">
            <w:pPr>
              <w:spacing w:before="0" w:after="0" w:line="240" w:lineRule="auto"/>
              <w:ind w:firstLine="0"/>
              <w:jc w:val="center"/>
              <w:rPr>
                <w:b w:val="0"/>
              </w:rPr>
            </w:pPr>
            <w:r>
              <w:rPr>
                <w:rFonts w:ascii="Times New Roman" w:hAnsi="Times New Roman" w:eastAsia="宋体" w:cs="Times New Roman"/>
                <w:b w:val="0"/>
                <w:color w:val="000000"/>
                <w:sz w:val="19"/>
              </w:rPr>
              <w:t>0.00</w:t>
            </w:r>
          </w:p>
        </w:tc>
        <w:tc>
          <w:tcPr>
            <w:tcW w:w="0" w:type="auto"/>
            <w:shd w:val="clear" w:color="auto" w:fill="FFFFFF"/>
            <w:tcMar>
              <w:top w:w="55" w:type="dxa"/>
              <w:left w:w="65" w:type="dxa"/>
              <w:bottom w:w="55" w:type="dxa"/>
              <w:right w:w="65" w:type="dxa"/>
            </w:tcMar>
            <w:vAlign w:val="center"/>
          </w:tcPr>
          <w:p w14:paraId="0DC5C9FC">
            <w:pPr>
              <w:spacing w:before="0" w:after="0" w:line="240" w:lineRule="auto"/>
              <w:ind w:firstLine="0"/>
              <w:jc w:val="center"/>
              <w:rPr>
                <w:b w:val="0"/>
              </w:rPr>
            </w:pPr>
            <w:r>
              <w:rPr>
                <w:rFonts w:ascii="Times New Roman" w:hAnsi="Times New Roman" w:eastAsia="宋体" w:cs="Times New Roman"/>
                <w:b w:val="0"/>
                <w:color w:val="000000"/>
                <w:sz w:val="19"/>
              </w:rPr>
              <w:t>24.28</w:t>
            </w:r>
          </w:p>
        </w:tc>
      </w:tr>
      <w:tr w14:paraId="6C5B58EE">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0" w:type="auto"/>
            <w:tcBorders>
              <w:bottom w:val="single" w:color="000000" w:sz="12" w:space="0"/>
            </w:tcBorders>
            <w:shd w:val="clear" w:color="auto" w:fill="FFFFFF"/>
            <w:tcMar>
              <w:top w:w="55" w:type="dxa"/>
              <w:left w:w="65" w:type="dxa"/>
              <w:bottom w:w="55" w:type="dxa"/>
              <w:right w:w="65" w:type="dxa"/>
            </w:tcMar>
            <w:vAlign w:val="center"/>
          </w:tcPr>
          <w:p w14:paraId="240E2EB1">
            <w:pPr>
              <w:spacing w:before="0" w:after="0" w:line="240" w:lineRule="auto"/>
              <w:ind w:firstLine="0"/>
              <w:jc w:val="center"/>
              <w:rPr>
                <w:b w:val="0"/>
              </w:rPr>
            </w:pPr>
            <w:r>
              <w:rPr>
                <w:rFonts w:ascii="Times New Roman" w:hAnsi="Times New Roman" w:eastAsia="宋体" w:cs="Times New Roman"/>
                <w:b w:val="0"/>
                <w:color w:val="000000"/>
                <w:sz w:val="19"/>
              </w:rPr>
              <w:t>Z</w:t>
            </w:r>
          </w:p>
        </w:tc>
        <w:tc>
          <w:tcPr>
            <w:tcW w:w="0" w:type="auto"/>
            <w:tcBorders>
              <w:bottom w:val="single" w:color="000000" w:sz="12" w:space="0"/>
            </w:tcBorders>
            <w:shd w:val="clear" w:color="auto" w:fill="FFFFFF"/>
            <w:tcMar>
              <w:top w:w="55" w:type="dxa"/>
              <w:left w:w="65" w:type="dxa"/>
              <w:bottom w:w="55" w:type="dxa"/>
              <w:right w:w="65" w:type="dxa"/>
            </w:tcMar>
            <w:vAlign w:val="center"/>
          </w:tcPr>
          <w:p w14:paraId="65D9F7CE">
            <w:pPr>
              <w:spacing w:before="0" w:after="0" w:line="240" w:lineRule="auto"/>
              <w:ind w:firstLine="0"/>
              <w:jc w:val="center"/>
              <w:rPr>
                <w:b w:val="0"/>
              </w:rPr>
            </w:pPr>
            <w:r>
              <w:rPr>
                <w:rFonts w:ascii="Times New Roman" w:hAnsi="Times New Roman" w:eastAsia="宋体" w:cs="Times New Roman"/>
                <w:b w:val="0"/>
                <w:color w:val="000000"/>
                <w:sz w:val="19"/>
              </w:rPr>
              <w:t>23.81</w:t>
            </w:r>
          </w:p>
        </w:tc>
        <w:tc>
          <w:tcPr>
            <w:tcW w:w="0" w:type="auto"/>
            <w:tcBorders>
              <w:bottom w:val="single" w:color="000000" w:sz="12" w:space="0"/>
            </w:tcBorders>
            <w:shd w:val="clear" w:color="auto" w:fill="FFFFFF"/>
            <w:tcMar>
              <w:top w:w="55" w:type="dxa"/>
              <w:left w:w="65" w:type="dxa"/>
              <w:bottom w:w="55" w:type="dxa"/>
              <w:right w:w="65" w:type="dxa"/>
            </w:tcMar>
            <w:vAlign w:val="center"/>
          </w:tcPr>
          <w:p w14:paraId="11EF45A5">
            <w:pPr>
              <w:spacing w:before="0" w:after="0" w:line="240" w:lineRule="auto"/>
              <w:ind w:firstLine="0"/>
              <w:jc w:val="center"/>
              <w:rPr>
                <w:b w:val="0"/>
              </w:rPr>
            </w:pPr>
            <w:r>
              <w:rPr>
                <w:rFonts w:ascii="Times New Roman" w:hAnsi="Times New Roman" w:eastAsia="宋体" w:cs="Times New Roman"/>
                <w:b w:val="0"/>
                <w:color w:val="000000"/>
                <w:sz w:val="19"/>
              </w:rPr>
              <w:t>1.98</w:t>
            </w:r>
          </w:p>
        </w:tc>
        <w:tc>
          <w:tcPr>
            <w:tcW w:w="0" w:type="auto"/>
            <w:tcBorders>
              <w:bottom w:val="single" w:color="000000" w:sz="12" w:space="0"/>
            </w:tcBorders>
            <w:shd w:val="clear" w:color="auto" w:fill="FFFFFF"/>
            <w:tcMar>
              <w:top w:w="55" w:type="dxa"/>
              <w:left w:w="65" w:type="dxa"/>
              <w:bottom w:w="55" w:type="dxa"/>
              <w:right w:w="65" w:type="dxa"/>
            </w:tcMar>
            <w:vAlign w:val="center"/>
          </w:tcPr>
          <w:p w14:paraId="357BD7D5">
            <w:pPr>
              <w:spacing w:before="0" w:after="0" w:line="240" w:lineRule="auto"/>
              <w:ind w:firstLine="0"/>
              <w:jc w:val="center"/>
              <w:rPr>
                <w:b w:val="0"/>
              </w:rPr>
            </w:pPr>
            <w:r>
              <w:rPr>
                <w:rFonts w:ascii="Times New Roman" w:hAnsi="Times New Roman" w:eastAsia="宋体" w:cs="Times New Roman"/>
                <w:b w:val="0"/>
                <w:color w:val="000000"/>
                <w:sz w:val="19"/>
              </w:rPr>
              <w:t>21.82</w:t>
            </w:r>
          </w:p>
        </w:tc>
      </w:tr>
    </w:tbl>
    <w:p w14:paraId="5876954E">
      <w:pPr>
        <w:spacing w:before="0" w:after="0" w:line="360" w:lineRule="auto"/>
        <w:ind w:firstLine="480"/>
        <w:jc w:val="both"/>
      </w:pPr>
      <w:r>
        <w:rPr>
          <w:rFonts w:ascii="Times New Roman" w:hAnsi="Times New Roman" w:eastAsia="宋体" w:cs="Times New Roman"/>
          <w:color w:val="000000"/>
          <w:sz w:val="24"/>
        </w:rPr>
        <w:t>图6-2给出分段爬升和定点悬停的三维位置误差时序。RA-GCA-CGHTE在两项任务中的RMSE分别为0.15504 m和0.01897 m，相对PID降低43.7%和91.2%。悬停误差在起飞后迅速减小；分段爬升中的多次高度变化也未引起持续振荡。</w:t>
      </w:r>
    </w:p>
    <w:p w14:paraId="415D97A6">
      <w:pPr>
        <w:keepNext/>
        <w:spacing w:before="0" w:after="60"/>
        <w:ind w:firstLine="0"/>
        <w:jc w:val="center"/>
      </w:pPr>
      <w:r>
        <w:drawing>
          <wp:inline distT="0" distB="0" distL="114300" distR="114300">
            <wp:extent cx="5394960" cy="2103120"/>
            <wp:effectExtent l="0" t="0" r="15240" b="11430"/>
            <wp:docPr id="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
                    <pic:cNvPicPr>
                      <a:picLocks noChangeAspect="1"/>
                    </pic:cNvPicPr>
                  </pic:nvPicPr>
                  <pic:blipFill>
                    <a:blip r:embed="rId24"/>
                    <a:stretch>
                      <a:fillRect/>
                    </a:stretch>
                  </pic:blipFill>
                  <pic:spPr>
                    <a:xfrm>
                      <a:off x="0" y="0"/>
                      <a:ext cx="5394960" cy="2103358"/>
                    </a:xfrm>
                    <a:prstGeom prst="rect">
                      <a:avLst/>
                    </a:prstGeom>
                  </pic:spPr>
                </pic:pic>
              </a:graphicData>
            </a:graphic>
          </wp:inline>
        </w:drawing>
      </w:r>
    </w:p>
    <w:p w14:paraId="22F379FB">
      <w:pPr>
        <w:pStyle w:val="4"/>
        <w:keepNext/>
      </w:pPr>
      <w:r>
        <w:rPr>
          <w:rFonts w:ascii="Times New Roman" w:hAnsi="Times New Roman" w:eastAsia="宋体" w:cs="Times New Roman"/>
          <w:b/>
          <w:color w:val="000000"/>
          <w:sz w:val="21"/>
        </w:rPr>
        <w:t>图6-2  PID与RA-GCA-CGHTE的分段爬升和定点悬停位置误差</w:t>
      </w:r>
    </w:p>
    <w:p w14:paraId="797E26FB">
      <w:pPr>
        <w:pStyle w:val="21"/>
      </w:pPr>
      <w:r>
        <w:rPr>
          <w:rFonts w:ascii="Times New Roman" w:hAnsi="Times New Roman" w:eastAsia="宋体" w:cs="Times New Roman"/>
          <w:color w:val="000000"/>
          <w:sz w:val="18"/>
        </w:rPr>
        <w:t>注：纵轴为参考位置与实际位置之差的三维模长。</w:t>
      </w:r>
    </w:p>
    <w:p w14:paraId="3E75FB2A">
      <w:pPr>
        <w:pStyle w:val="3"/>
      </w:pPr>
      <w:bookmarkStart w:id="30" w:name="_Toc24620"/>
      <w:r>
        <w:rPr>
          <w:rFonts w:ascii="Times New Roman" w:hAnsi="Times New Roman" w:eastAsia="黑体" w:cs="Times New Roman"/>
          <w:b/>
          <w:color w:val="000000"/>
          <w:sz w:val="26"/>
        </w:rPr>
        <w:t>6.2  螺旋爬升、8字轨迹与五种算法比较</w:t>
      </w:r>
      <w:bookmarkEnd w:id="30"/>
    </w:p>
    <w:p w14:paraId="6F69BA72">
      <w:pPr>
        <w:spacing w:before="0" w:after="0" w:line="360" w:lineRule="auto"/>
        <w:ind w:firstLine="480"/>
        <w:jc w:val="both"/>
      </w:pPr>
      <w:r>
        <w:rPr>
          <w:rFonts w:ascii="Times New Roman" w:hAnsi="Times New Roman" w:eastAsia="宋体" w:cs="Times New Roman"/>
          <w:color w:val="000000"/>
          <w:sz w:val="24"/>
        </w:rPr>
        <w:t>螺旋爬升同时改变水平位置和高度，8字轨迹持续改变曲率与加速度方向。图6-3显示，RA-GCA-CGHTE在两项任务中均能贴近参考轨迹。螺旋爬升和8字轨迹的RMSE分别为0.36547 m和0.05174 m，相对PID降低25.0%和70.0%。</w:t>
      </w:r>
    </w:p>
    <w:p w14:paraId="12E36A3E">
      <w:pPr>
        <w:keepNext/>
        <w:spacing w:before="0" w:after="60"/>
        <w:ind w:firstLine="0"/>
        <w:jc w:val="center"/>
      </w:pPr>
      <w:r>
        <w:drawing>
          <wp:inline distT="0" distB="0" distL="114300" distR="114300">
            <wp:extent cx="5394960" cy="3977640"/>
            <wp:effectExtent l="0" t="0" r="15240" b="3810"/>
            <wp:docPr id="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3"/>
                    <pic:cNvPicPr>
                      <a:picLocks noChangeAspect="1"/>
                    </pic:cNvPicPr>
                  </pic:nvPicPr>
                  <pic:blipFill>
                    <a:blip r:embed="rId25"/>
                    <a:stretch>
                      <a:fillRect/>
                    </a:stretch>
                  </pic:blipFill>
                  <pic:spPr>
                    <a:xfrm>
                      <a:off x="0" y="0"/>
                      <a:ext cx="5394960" cy="3978257"/>
                    </a:xfrm>
                    <a:prstGeom prst="rect">
                      <a:avLst/>
                    </a:prstGeom>
                  </pic:spPr>
                </pic:pic>
              </a:graphicData>
            </a:graphic>
          </wp:inline>
        </w:drawing>
      </w:r>
    </w:p>
    <w:p w14:paraId="701F7C49">
      <w:pPr>
        <w:pStyle w:val="4"/>
        <w:keepNext/>
      </w:pPr>
      <w:r>
        <w:rPr>
          <w:rFonts w:ascii="Times New Roman" w:hAnsi="Times New Roman" w:eastAsia="宋体" w:cs="Times New Roman"/>
          <w:b/>
          <w:color w:val="000000"/>
          <w:sz w:val="21"/>
        </w:rPr>
        <w:t>图6-3  PID与RA-GCA-CGHTE的螺旋爬升和8字轨迹结果</w:t>
      </w:r>
    </w:p>
    <w:p w14:paraId="52192739">
      <w:pPr>
        <w:pStyle w:val="21"/>
      </w:pPr>
      <w:r>
        <w:rPr>
          <w:rFonts w:ascii="Times New Roman" w:hAnsi="Times New Roman" w:eastAsia="宋体" w:cs="Times New Roman"/>
          <w:color w:val="000000"/>
          <w:sz w:val="18"/>
        </w:rPr>
        <w:t>注：左列给出轨迹，右列给出三维位置误差时序。</w:t>
      </w:r>
    </w:p>
    <w:p w14:paraId="2C403269">
      <w:pPr>
        <w:spacing w:before="0" w:after="0" w:line="360" w:lineRule="auto"/>
        <w:ind w:firstLine="480"/>
        <w:jc w:val="both"/>
      </w:pPr>
      <w:r>
        <w:rPr>
          <w:rFonts w:ascii="Times New Roman" w:hAnsi="Times New Roman" w:eastAsia="宋体" w:cs="Times New Roman"/>
          <w:color w:val="000000"/>
          <w:sz w:val="24"/>
        </w:rPr>
        <w:t>图6-4在分段爬升、定点悬停、8字轨迹和三事件外扰中比较五种算法。RA-GCA-CGHTE在前三项常规任务中的RMSE均低于PID和RA-GCA/Base，并与CP-INDI接近。外扰任务中，CP-INDI和CAP-ADRC的误差更低，说明不同算法在连续跟踪与突发扰动抑制方面各有侧重。</w:t>
      </w:r>
    </w:p>
    <w:p w14:paraId="76C94247">
      <w:pPr>
        <w:keepNext/>
        <w:spacing w:before="0" w:after="60"/>
        <w:ind w:firstLine="0"/>
        <w:jc w:val="center"/>
      </w:pPr>
      <w:r>
        <w:drawing>
          <wp:inline distT="0" distB="0" distL="114300" distR="114300">
            <wp:extent cx="5394960" cy="3403600"/>
            <wp:effectExtent l="0" t="0" r="15240" b="6350"/>
            <wp:docPr id="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4"/>
                    <pic:cNvPicPr>
                      <a:picLocks noChangeAspect="1"/>
                    </pic:cNvPicPr>
                  </pic:nvPicPr>
                  <pic:blipFill>
                    <a:blip r:embed="rId26"/>
                    <a:stretch>
                      <a:fillRect/>
                    </a:stretch>
                  </pic:blipFill>
                  <pic:spPr>
                    <a:xfrm>
                      <a:off x="0" y="0"/>
                      <a:ext cx="5394960" cy="3403917"/>
                    </a:xfrm>
                    <a:prstGeom prst="rect">
                      <a:avLst/>
                    </a:prstGeom>
                  </pic:spPr>
                </pic:pic>
              </a:graphicData>
            </a:graphic>
          </wp:inline>
        </w:drawing>
      </w:r>
    </w:p>
    <w:p w14:paraId="6B510833">
      <w:pPr>
        <w:pStyle w:val="4"/>
        <w:keepNext/>
      </w:pPr>
      <w:r>
        <w:rPr>
          <w:rFonts w:ascii="Times New Roman" w:hAnsi="Times New Roman" w:eastAsia="宋体" w:cs="Times New Roman"/>
          <w:b/>
          <w:color w:val="000000"/>
          <w:sz w:val="21"/>
        </w:rPr>
        <w:t>图6-4  五种算法在四项共同任务中的位置RMSE</w:t>
      </w:r>
    </w:p>
    <w:p w14:paraId="599F0BD1">
      <w:pPr>
        <w:pStyle w:val="21"/>
      </w:pPr>
      <w:r>
        <w:rPr>
          <w:rFonts w:ascii="Times New Roman" w:hAnsi="Times New Roman" w:eastAsia="宋体" w:cs="Times New Roman"/>
          <w:color w:val="000000"/>
          <w:sz w:val="18"/>
        </w:rPr>
        <w:t>注：每个面板采用独立横轴，数值均为对应任务的三维位置RMSE。</w:t>
      </w:r>
    </w:p>
    <w:p w14:paraId="00C63B0A">
      <w:pPr>
        <w:pStyle w:val="4"/>
        <w:keepNext/>
      </w:pPr>
      <w:r>
        <w:rPr>
          <w:rFonts w:ascii="Times New Roman" w:hAnsi="Times New Roman" w:eastAsia="宋体" w:cs="Times New Roman"/>
          <w:b/>
          <w:color w:val="000000"/>
          <w:sz w:val="21"/>
        </w:rPr>
        <w:t>表6-2  PID与RA-GCA-CGHTE的典型任务位置RMSE</w:t>
      </w:r>
    </w:p>
    <w:tbl>
      <w:tblPr>
        <w:tblStyle w:val="10"/>
        <w:tblW w:w="0" w:type="auto"/>
        <w:jc w:val="center"/>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890"/>
        <w:gridCol w:w="997"/>
        <w:gridCol w:w="2180"/>
        <w:gridCol w:w="1299"/>
      </w:tblGrid>
      <w:tr w14:paraId="18A50BC9">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blHeader/>
          <w:jc w:val="center"/>
        </w:trPr>
        <w:tc>
          <w:tcPr>
            <w:tcW w:w="0" w:type="auto"/>
            <w:tcBorders>
              <w:bottom w:val="single" w:color="000000" w:sz="4" w:space="0"/>
            </w:tcBorders>
            <w:tcMar>
              <w:top w:w="55" w:type="dxa"/>
              <w:left w:w="65" w:type="dxa"/>
              <w:bottom w:w="55" w:type="dxa"/>
              <w:right w:w="65" w:type="dxa"/>
            </w:tcMar>
            <w:vAlign w:val="center"/>
          </w:tcPr>
          <w:p w14:paraId="6D893D91">
            <w:pPr>
              <w:spacing w:before="0" w:after="0" w:line="240" w:lineRule="auto"/>
              <w:ind w:firstLine="0"/>
              <w:jc w:val="center"/>
            </w:pPr>
            <w:r>
              <w:rPr>
                <w:rFonts w:ascii="Times New Roman" w:hAnsi="Times New Roman" w:eastAsia="宋体" w:cs="Times New Roman"/>
                <w:b/>
                <w:color w:val="000000"/>
                <w:sz w:val="19"/>
              </w:rPr>
              <w:t>任务</w:t>
            </w:r>
          </w:p>
        </w:tc>
        <w:tc>
          <w:tcPr>
            <w:tcW w:w="0" w:type="auto"/>
            <w:tcBorders>
              <w:bottom w:val="single" w:color="000000" w:sz="4" w:space="0"/>
            </w:tcBorders>
            <w:tcMar>
              <w:top w:w="55" w:type="dxa"/>
              <w:left w:w="65" w:type="dxa"/>
              <w:bottom w:w="55" w:type="dxa"/>
              <w:right w:w="65" w:type="dxa"/>
            </w:tcMar>
            <w:vAlign w:val="center"/>
          </w:tcPr>
          <w:p w14:paraId="4C3A4D01">
            <w:pPr>
              <w:spacing w:before="0" w:after="0" w:line="240" w:lineRule="auto"/>
              <w:ind w:firstLine="0"/>
              <w:jc w:val="center"/>
            </w:pPr>
            <w:r>
              <w:rPr>
                <w:rFonts w:ascii="Times New Roman" w:hAnsi="Times New Roman" w:eastAsia="宋体" w:cs="Times New Roman"/>
                <w:b/>
                <w:color w:val="000000"/>
                <w:sz w:val="19"/>
              </w:rPr>
              <w:t>PID（m）</w:t>
            </w:r>
          </w:p>
        </w:tc>
        <w:tc>
          <w:tcPr>
            <w:tcW w:w="0" w:type="auto"/>
            <w:tcBorders>
              <w:bottom w:val="single" w:color="000000" w:sz="4" w:space="0"/>
            </w:tcBorders>
            <w:tcMar>
              <w:top w:w="55" w:type="dxa"/>
              <w:left w:w="65" w:type="dxa"/>
              <w:bottom w:w="55" w:type="dxa"/>
              <w:right w:w="65" w:type="dxa"/>
            </w:tcMar>
            <w:vAlign w:val="center"/>
          </w:tcPr>
          <w:p w14:paraId="62B0647C">
            <w:pPr>
              <w:spacing w:before="0" w:after="0" w:line="240" w:lineRule="auto"/>
              <w:ind w:firstLine="0"/>
              <w:jc w:val="center"/>
            </w:pPr>
            <w:r>
              <w:rPr>
                <w:rFonts w:ascii="Times New Roman" w:hAnsi="Times New Roman" w:eastAsia="宋体" w:cs="Times New Roman"/>
                <w:b/>
                <w:color w:val="000000"/>
                <w:sz w:val="19"/>
              </w:rPr>
              <w:t>RA-GCA-CGHTE（m）</w:t>
            </w:r>
          </w:p>
        </w:tc>
        <w:tc>
          <w:tcPr>
            <w:tcW w:w="0" w:type="auto"/>
            <w:tcBorders>
              <w:bottom w:val="single" w:color="000000" w:sz="4" w:space="0"/>
            </w:tcBorders>
            <w:tcMar>
              <w:top w:w="55" w:type="dxa"/>
              <w:left w:w="65" w:type="dxa"/>
              <w:bottom w:w="55" w:type="dxa"/>
              <w:right w:w="65" w:type="dxa"/>
            </w:tcMar>
            <w:vAlign w:val="center"/>
          </w:tcPr>
          <w:p w14:paraId="26009365">
            <w:pPr>
              <w:spacing w:before="0" w:after="0" w:line="240" w:lineRule="auto"/>
              <w:ind w:firstLine="0"/>
              <w:jc w:val="center"/>
            </w:pPr>
            <w:r>
              <w:rPr>
                <w:rFonts w:ascii="Times New Roman" w:hAnsi="Times New Roman" w:eastAsia="宋体" w:cs="Times New Roman"/>
                <w:b/>
                <w:color w:val="000000"/>
                <w:sz w:val="19"/>
              </w:rPr>
              <w:t>RMSE降低率</w:t>
            </w:r>
          </w:p>
        </w:tc>
      </w:tr>
      <w:tr w14:paraId="6CD801C0">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0" w:type="auto"/>
            <w:tcMar>
              <w:top w:w="55" w:type="dxa"/>
              <w:left w:w="65" w:type="dxa"/>
              <w:bottom w:w="55" w:type="dxa"/>
              <w:right w:w="65" w:type="dxa"/>
            </w:tcMar>
            <w:vAlign w:val="center"/>
          </w:tcPr>
          <w:p w14:paraId="452C2EF7">
            <w:pPr>
              <w:spacing w:before="0" w:after="0" w:line="240" w:lineRule="auto"/>
              <w:ind w:firstLine="0"/>
              <w:jc w:val="center"/>
            </w:pPr>
            <w:r>
              <w:rPr>
                <w:rFonts w:ascii="Times New Roman" w:hAnsi="Times New Roman" w:eastAsia="宋体" w:cs="Times New Roman"/>
                <w:b w:val="0"/>
                <w:color w:val="000000"/>
                <w:sz w:val="19"/>
              </w:rPr>
              <w:t>分段爬升</w:t>
            </w:r>
          </w:p>
        </w:tc>
        <w:tc>
          <w:tcPr>
            <w:tcW w:w="0" w:type="auto"/>
            <w:tcMar>
              <w:top w:w="55" w:type="dxa"/>
              <w:left w:w="65" w:type="dxa"/>
              <w:bottom w:w="55" w:type="dxa"/>
              <w:right w:w="65" w:type="dxa"/>
            </w:tcMar>
            <w:vAlign w:val="center"/>
          </w:tcPr>
          <w:p w14:paraId="6616D833">
            <w:pPr>
              <w:spacing w:before="0" w:after="0" w:line="240" w:lineRule="auto"/>
              <w:ind w:firstLine="0"/>
              <w:jc w:val="center"/>
            </w:pPr>
            <w:r>
              <w:rPr>
                <w:rFonts w:ascii="Times New Roman" w:hAnsi="Times New Roman" w:eastAsia="宋体" w:cs="Times New Roman"/>
                <w:b w:val="0"/>
                <w:color w:val="000000"/>
                <w:sz w:val="19"/>
              </w:rPr>
              <w:t>0.2753</w:t>
            </w:r>
          </w:p>
        </w:tc>
        <w:tc>
          <w:tcPr>
            <w:tcW w:w="0" w:type="auto"/>
            <w:tcMar>
              <w:top w:w="55" w:type="dxa"/>
              <w:left w:w="65" w:type="dxa"/>
              <w:bottom w:w="55" w:type="dxa"/>
              <w:right w:w="65" w:type="dxa"/>
            </w:tcMar>
            <w:vAlign w:val="center"/>
          </w:tcPr>
          <w:p w14:paraId="4C8A59C6">
            <w:pPr>
              <w:spacing w:before="0" w:after="0" w:line="240" w:lineRule="auto"/>
              <w:ind w:firstLine="0"/>
              <w:jc w:val="center"/>
            </w:pPr>
            <w:r>
              <w:rPr>
                <w:rFonts w:ascii="Times New Roman" w:hAnsi="Times New Roman" w:eastAsia="宋体" w:cs="Times New Roman"/>
                <w:b w:val="0"/>
                <w:color w:val="000000"/>
                <w:sz w:val="19"/>
              </w:rPr>
              <w:t>0.1550</w:t>
            </w:r>
          </w:p>
        </w:tc>
        <w:tc>
          <w:tcPr>
            <w:tcW w:w="0" w:type="auto"/>
            <w:tcMar>
              <w:top w:w="55" w:type="dxa"/>
              <w:left w:w="65" w:type="dxa"/>
              <w:bottom w:w="55" w:type="dxa"/>
              <w:right w:w="65" w:type="dxa"/>
            </w:tcMar>
            <w:vAlign w:val="center"/>
          </w:tcPr>
          <w:p w14:paraId="5686CA18">
            <w:pPr>
              <w:spacing w:before="0" w:after="0" w:line="240" w:lineRule="auto"/>
              <w:ind w:firstLine="0"/>
              <w:jc w:val="center"/>
            </w:pPr>
            <w:r>
              <w:rPr>
                <w:rFonts w:ascii="Times New Roman" w:hAnsi="Times New Roman" w:eastAsia="宋体" w:cs="Times New Roman"/>
                <w:b w:val="0"/>
                <w:color w:val="000000"/>
                <w:sz w:val="19"/>
              </w:rPr>
              <w:t>43.7%</w:t>
            </w:r>
          </w:p>
        </w:tc>
      </w:tr>
      <w:tr w14:paraId="56512972">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0" w:type="auto"/>
            <w:tcMar>
              <w:top w:w="55" w:type="dxa"/>
              <w:left w:w="65" w:type="dxa"/>
              <w:bottom w:w="55" w:type="dxa"/>
              <w:right w:w="65" w:type="dxa"/>
            </w:tcMar>
            <w:vAlign w:val="center"/>
          </w:tcPr>
          <w:p w14:paraId="5D63CEFD">
            <w:pPr>
              <w:spacing w:before="0" w:after="0" w:line="240" w:lineRule="auto"/>
              <w:ind w:firstLine="0"/>
              <w:jc w:val="center"/>
            </w:pPr>
            <w:r>
              <w:rPr>
                <w:rFonts w:ascii="Times New Roman" w:hAnsi="Times New Roman" w:eastAsia="宋体" w:cs="Times New Roman"/>
                <w:b w:val="0"/>
                <w:color w:val="000000"/>
                <w:sz w:val="19"/>
              </w:rPr>
              <w:t>定点悬停</w:t>
            </w:r>
          </w:p>
        </w:tc>
        <w:tc>
          <w:tcPr>
            <w:tcW w:w="0" w:type="auto"/>
            <w:tcMar>
              <w:top w:w="55" w:type="dxa"/>
              <w:left w:w="65" w:type="dxa"/>
              <w:bottom w:w="55" w:type="dxa"/>
              <w:right w:w="65" w:type="dxa"/>
            </w:tcMar>
            <w:vAlign w:val="center"/>
          </w:tcPr>
          <w:p w14:paraId="6F3EAACE">
            <w:pPr>
              <w:spacing w:before="0" w:after="0" w:line="240" w:lineRule="auto"/>
              <w:ind w:firstLine="0"/>
              <w:jc w:val="center"/>
            </w:pPr>
            <w:r>
              <w:rPr>
                <w:rFonts w:ascii="Times New Roman" w:hAnsi="Times New Roman" w:eastAsia="宋体" w:cs="Times New Roman"/>
                <w:b w:val="0"/>
                <w:color w:val="000000"/>
                <w:sz w:val="19"/>
              </w:rPr>
              <w:t>0.2160</w:t>
            </w:r>
          </w:p>
        </w:tc>
        <w:tc>
          <w:tcPr>
            <w:tcW w:w="0" w:type="auto"/>
            <w:tcMar>
              <w:top w:w="55" w:type="dxa"/>
              <w:left w:w="65" w:type="dxa"/>
              <w:bottom w:w="55" w:type="dxa"/>
              <w:right w:w="65" w:type="dxa"/>
            </w:tcMar>
            <w:vAlign w:val="center"/>
          </w:tcPr>
          <w:p w14:paraId="7FA372EE">
            <w:pPr>
              <w:spacing w:before="0" w:after="0" w:line="240" w:lineRule="auto"/>
              <w:ind w:firstLine="0"/>
              <w:jc w:val="center"/>
            </w:pPr>
            <w:r>
              <w:rPr>
                <w:rFonts w:ascii="Times New Roman" w:hAnsi="Times New Roman" w:eastAsia="宋体" w:cs="Times New Roman"/>
                <w:b w:val="0"/>
                <w:color w:val="000000"/>
                <w:sz w:val="19"/>
              </w:rPr>
              <w:t>0.0190</w:t>
            </w:r>
          </w:p>
        </w:tc>
        <w:tc>
          <w:tcPr>
            <w:tcW w:w="0" w:type="auto"/>
            <w:tcMar>
              <w:top w:w="55" w:type="dxa"/>
              <w:left w:w="65" w:type="dxa"/>
              <w:bottom w:w="55" w:type="dxa"/>
              <w:right w:w="65" w:type="dxa"/>
            </w:tcMar>
            <w:vAlign w:val="center"/>
          </w:tcPr>
          <w:p w14:paraId="291276C7">
            <w:pPr>
              <w:spacing w:before="0" w:after="0" w:line="240" w:lineRule="auto"/>
              <w:ind w:firstLine="0"/>
              <w:jc w:val="center"/>
            </w:pPr>
            <w:r>
              <w:rPr>
                <w:rFonts w:ascii="Times New Roman" w:hAnsi="Times New Roman" w:eastAsia="宋体" w:cs="Times New Roman"/>
                <w:b w:val="0"/>
                <w:color w:val="000000"/>
                <w:sz w:val="19"/>
              </w:rPr>
              <w:t>91.2%</w:t>
            </w:r>
          </w:p>
        </w:tc>
      </w:tr>
      <w:tr w14:paraId="36231CAF">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0" w:type="auto"/>
            <w:tcMar>
              <w:top w:w="55" w:type="dxa"/>
              <w:left w:w="65" w:type="dxa"/>
              <w:bottom w:w="55" w:type="dxa"/>
              <w:right w:w="65" w:type="dxa"/>
            </w:tcMar>
            <w:vAlign w:val="center"/>
          </w:tcPr>
          <w:p w14:paraId="11228AC2">
            <w:pPr>
              <w:spacing w:before="0" w:after="0" w:line="240" w:lineRule="auto"/>
              <w:ind w:firstLine="0"/>
              <w:jc w:val="center"/>
            </w:pPr>
            <w:r>
              <w:rPr>
                <w:rFonts w:ascii="Times New Roman" w:hAnsi="Times New Roman" w:eastAsia="宋体" w:cs="Times New Roman"/>
                <w:b w:val="0"/>
                <w:color w:val="000000"/>
                <w:sz w:val="19"/>
              </w:rPr>
              <w:t>螺旋爬升</w:t>
            </w:r>
          </w:p>
        </w:tc>
        <w:tc>
          <w:tcPr>
            <w:tcW w:w="0" w:type="auto"/>
            <w:tcMar>
              <w:top w:w="55" w:type="dxa"/>
              <w:left w:w="65" w:type="dxa"/>
              <w:bottom w:w="55" w:type="dxa"/>
              <w:right w:w="65" w:type="dxa"/>
            </w:tcMar>
            <w:vAlign w:val="center"/>
          </w:tcPr>
          <w:p w14:paraId="6F9A0E82">
            <w:pPr>
              <w:spacing w:before="0" w:after="0" w:line="240" w:lineRule="auto"/>
              <w:ind w:firstLine="0"/>
              <w:jc w:val="center"/>
            </w:pPr>
            <w:r>
              <w:rPr>
                <w:rFonts w:ascii="Times New Roman" w:hAnsi="Times New Roman" w:eastAsia="宋体" w:cs="Times New Roman"/>
                <w:b w:val="0"/>
                <w:color w:val="000000"/>
                <w:sz w:val="19"/>
              </w:rPr>
              <w:t>0.4871</w:t>
            </w:r>
          </w:p>
        </w:tc>
        <w:tc>
          <w:tcPr>
            <w:tcW w:w="0" w:type="auto"/>
            <w:tcMar>
              <w:top w:w="55" w:type="dxa"/>
              <w:left w:w="65" w:type="dxa"/>
              <w:bottom w:w="55" w:type="dxa"/>
              <w:right w:w="65" w:type="dxa"/>
            </w:tcMar>
            <w:vAlign w:val="center"/>
          </w:tcPr>
          <w:p w14:paraId="564EA71E">
            <w:pPr>
              <w:spacing w:before="0" w:after="0" w:line="240" w:lineRule="auto"/>
              <w:ind w:firstLine="0"/>
              <w:jc w:val="center"/>
            </w:pPr>
            <w:r>
              <w:rPr>
                <w:rFonts w:ascii="Times New Roman" w:hAnsi="Times New Roman" w:eastAsia="宋体" w:cs="Times New Roman"/>
                <w:b w:val="0"/>
                <w:color w:val="000000"/>
                <w:sz w:val="19"/>
              </w:rPr>
              <w:t>0.3655</w:t>
            </w:r>
          </w:p>
        </w:tc>
        <w:tc>
          <w:tcPr>
            <w:tcW w:w="0" w:type="auto"/>
            <w:tcMar>
              <w:top w:w="55" w:type="dxa"/>
              <w:left w:w="65" w:type="dxa"/>
              <w:bottom w:w="55" w:type="dxa"/>
              <w:right w:w="65" w:type="dxa"/>
            </w:tcMar>
            <w:vAlign w:val="center"/>
          </w:tcPr>
          <w:p w14:paraId="5AEBC65A">
            <w:pPr>
              <w:spacing w:before="0" w:after="0" w:line="240" w:lineRule="auto"/>
              <w:ind w:firstLine="0"/>
              <w:jc w:val="center"/>
            </w:pPr>
            <w:r>
              <w:rPr>
                <w:rFonts w:ascii="Times New Roman" w:hAnsi="Times New Roman" w:eastAsia="宋体" w:cs="Times New Roman"/>
                <w:b w:val="0"/>
                <w:color w:val="000000"/>
                <w:sz w:val="19"/>
              </w:rPr>
              <w:t>25.0%</w:t>
            </w:r>
          </w:p>
        </w:tc>
      </w:tr>
      <w:tr w14:paraId="5C7A080C">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0" w:type="auto"/>
            <w:tcMar>
              <w:top w:w="55" w:type="dxa"/>
              <w:left w:w="65" w:type="dxa"/>
              <w:bottom w:w="55" w:type="dxa"/>
              <w:right w:w="65" w:type="dxa"/>
            </w:tcMar>
            <w:vAlign w:val="center"/>
          </w:tcPr>
          <w:p w14:paraId="016413CF">
            <w:pPr>
              <w:spacing w:before="0" w:after="0" w:line="240" w:lineRule="auto"/>
              <w:ind w:firstLine="0"/>
              <w:jc w:val="center"/>
            </w:pPr>
            <w:r>
              <w:rPr>
                <w:rFonts w:ascii="Times New Roman" w:hAnsi="Times New Roman" w:eastAsia="宋体" w:cs="Times New Roman"/>
                <w:b w:val="0"/>
                <w:color w:val="000000"/>
                <w:sz w:val="19"/>
              </w:rPr>
              <w:t>8字轨迹</w:t>
            </w:r>
          </w:p>
        </w:tc>
        <w:tc>
          <w:tcPr>
            <w:tcW w:w="0" w:type="auto"/>
            <w:tcMar>
              <w:top w:w="55" w:type="dxa"/>
              <w:left w:w="65" w:type="dxa"/>
              <w:bottom w:w="55" w:type="dxa"/>
              <w:right w:w="65" w:type="dxa"/>
            </w:tcMar>
            <w:vAlign w:val="center"/>
          </w:tcPr>
          <w:p w14:paraId="4584368E">
            <w:pPr>
              <w:spacing w:before="0" w:after="0" w:line="240" w:lineRule="auto"/>
              <w:ind w:firstLine="0"/>
              <w:jc w:val="center"/>
            </w:pPr>
            <w:r>
              <w:rPr>
                <w:rFonts w:ascii="Times New Roman" w:hAnsi="Times New Roman" w:eastAsia="宋体" w:cs="Times New Roman"/>
                <w:b w:val="0"/>
                <w:color w:val="000000"/>
                <w:sz w:val="19"/>
              </w:rPr>
              <w:t>0.1723</w:t>
            </w:r>
          </w:p>
        </w:tc>
        <w:tc>
          <w:tcPr>
            <w:tcW w:w="0" w:type="auto"/>
            <w:tcMar>
              <w:top w:w="55" w:type="dxa"/>
              <w:left w:w="65" w:type="dxa"/>
              <w:bottom w:w="55" w:type="dxa"/>
              <w:right w:w="65" w:type="dxa"/>
            </w:tcMar>
            <w:vAlign w:val="center"/>
          </w:tcPr>
          <w:p w14:paraId="79F8542C">
            <w:pPr>
              <w:spacing w:before="0" w:after="0" w:line="240" w:lineRule="auto"/>
              <w:ind w:firstLine="0"/>
              <w:jc w:val="center"/>
            </w:pPr>
            <w:r>
              <w:rPr>
                <w:rFonts w:ascii="Times New Roman" w:hAnsi="Times New Roman" w:eastAsia="宋体" w:cs="Times New Roman"/>
                <w:b w:val="0"/>
                <w:color w:val="000000"/>
                <w:sz w:val="19"/>
              </w:rPr>
              <w:t>0.0517</w:t>
            </w:r>
          </w:p>
        </w:tc>
        <w:tc>
          <w:tcPr>
            <w:tcW w:w="0" w:type="auto"/>
            <w:tcMar>
              <w:top w:w="55" w:type="dxa"/>
              <w:left w:w="65" w:type="dxa"/>
              <w:bottom w:w="55" w:type="dxa"/>
              <w:right w:w="65" w:type="dxa"/>
            </w:tcMar>
            <w:vAlign w:val="center"/>
          </w:tcPr>
          <w:p w14:paraId="679BBD04">
            <w:pPr>
              <w:spacing w:before="0" w:after="0" w:line="240" w:lineRule="auto"/>
              <w:ind w:firstLine="0"/>
              <w:jc w:val="center"/>
            </w:pPr>
            <w:r>
              <w:rPr>
                <w:rFonts w:ascii="Times New Roman" w:hAnsi="Times New Roman" w:eastAsia="宋体" w:cs="Times New Roman"/>
                <w:b w:val="0"/>
                <w:color w:val="000000"/>
                <w:sz w:val="19"/>
              </w:rPr>
              <w:t>70.0%</w:t>
            </w:r>
          </w:p>
        </w:tc>
      </w:tr>
    </w:tbl>
    <w:p w14:paraId="04E5482C">
      <w:pPr>
        <w:pStyle w:val="3"/>
      </w:pPr>
      <w:bookmarkStart w:id="31" w:name="_Toc23504"/>
      <w:r>
        <w:rPr>
          <w:rFonts w:ascii="Times New Roman" w:hAnsi="Times New Roman" w:eastAsia="黑体" w:cs="Times New Roman"/>
          <w:b/>
          <w:color w:val="000000"/>
          <w:sz w:val="26"/>
        </w:rPr>
        <w:t>6.3  参数变化与推力尺度估计</w:t>
      </w:r>
      <w:bookmarkEnd w:id="31"/>
    </w:p>
    <w:p w14:paraId="2BE3C61E">
      <w:pPr>
        <w:spacing w:before="0" w:after="0" w:line="360" w:lineRule="auto"/>
        <w:ind w:firstLine="480"/>
        <w:jc w:val="both"/>
      </w:pPr>
      <w:r>
        <w:rPr>
          <w:rFonts w:ascii="Times New Roman" w:hAnsi="Times New Roman" w:eastAsia="宋体" w:cs="Times New Roman"/>
          <w:color w:val="000000"/>
          <w:sz w:val="24"/>
        </w:rPr>
        <w:t>参数测试包含标准参数、八种升力/质量/惯量组合、升力效能降低10%和载荷与惯量增加10%。图6-5给出逐项结果，11项RMSE位于0.01469-0.03368 m，中位数为0.01614 m，所有设置均低于0.04 m。结果表明，RA-GCA-CGHTE在推力与重量匹配发生变化时仍能保持较小的位置误差。</w:t>
      </w:r>
    </w:p>
    <w:p w14:paraId="1706F26C">
      <w:pPr>
        <w:keepNext/>
        <w:spacing w:before="0" w:after="60"/>
        <w:ind w:firstLine="0"/>
        <w:jc w:val="center"/>
      </w:pPr>
      <w:r>
        <w:drawing>
          <wp:inline distT="0" distB="0" distL="114300" distR="114300">
            <wp:extent cx="5394960" cy="3326765"/>
            <wp:effectExtent l="0" t="0" r="15240" b="6985"/>
            <wp:docPr id="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5"/>
                    <pic:cNvPicPr>
                      <a:picLocks noChangeAspect="1"/>
                    </pic:cNvPicPr>
                  </pic:nvPicPr>
                  <pic:blipFill>
                    <a:blip r:embed="rId27"/>
                    <a:stretch>
                      <a:fillRect/>
                    </a:stretch>
                  </pic:blipFill>
                  <pic:spPr>
                    <a:xfrm>
                      <a:off x="0" y="0"/>
                      <a:ext cx="5394960" cy="3327339"/>
                    </a:xfrm>
                    <a:prstGeom prst="rect">
                      <a:avLst/>
                    </a:prstGeom>
                  </pic:spPr>
                </pic:pic>
              </a:graphicData>
            </a:graphic>
          </wp:inline>
        </w:drawing>
      </w:r>
    </w:p>
    <w:p w14:paraId="2A93D436">
      <w:pPr>
        <w:pStyle w:val="4"/>
        <w:keepNext/>
      </w:pPr>
      <w:r>
        <w:rPr>
          <w:rFonts w:ascii="Times New Roman" w:hAnsi="Times New Roman" w:eastAsia="宋体" w:cs="Times New Roman"/>
          <w:b/>
          <w:color w:val="000000"/>
          <w:sz w:val="21"/>
        </w:rPr>
        <w:t>图6-5  RA-GCA-CGHTE在11种参数设置下的位置RMSE</w:t>
      </w:r>
    </w:p>
    <w:p w14:paraId="663E8713">
      <w:pPr>
        <w:pStyle w:val="21"/>
      </w:pPr>
      <w:r>
        <w:rPr>
          <w:rFonts w:ascii="Times New Roman" w:hAnsi="Times New Roman" w:eastAsia="宋体" w:cs="Times New Roman"/>
          <w:color w:val="000000"/>
          <w:sz w:val="18"/>
        </w:rPr>
        <w:t>注：八种组合分别改变升力效能、质量和转动惯量；图中均使用相同颜色和线性横轴。</w:t>
      </w:r>
    </w:p>
    <w:p w14:paraId="63E7F450">
      <w:pPr>
        <w:pStyle w:val="4"/>
        <w:keepNext/>
      </w:pPr>
      <w:r>
        <w:rPr>
          <w:rFonts w:ascii="Times New Roman" w:hAnsi="Times New Roman" w:eastAsia="宋体" w:cs="Times New Roman"/>
          <w:b/>
          <w:color w:val="000000"/>
          <w:sz w:val="21"/>
        </w:rPr>
        <w:t>表6-3  参数变化测试摘要</w:t>
      </w:r>
    </w:p>
    <w:tbl>
      <w:tblPr>
        <w:tblStyle w:val="10"/>
        <w:tblW w:w="0" w:type="auto"/>
        <w:jc w:val="center"/>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856"/>
        <w:gridCol w:w="512"/>
        <w:gridCol w:w="1434"/>
      </w:tblGrid>
      <w:tr w14:paraId="6F5F78D9">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blHeader/>
          <w:jc w:val="center"/>
        </w:trPr>
        <w:tc>
          <w:tcPr>
            <w:tcW w:w="0" w:type="auto"/>
            <w:tcBorders>
              <w:bottom w:val="single" w:color="000000" w:sz="4" w:space="0"/>
            </w:tcBorders>
            <w:tcMar>
              <w:top w:w="55" w:type="dxa"/>
              <w:left w:w="65" w:type="dxa"/>
              <w:bottom w:w="55" w:type="dxa"/>
              <w:right w:w="65" w:type="dxa"/>
            </w:tcMar>
            <w:vAlign w:val="center"/>
          </w:tcPr>
          <w:p w14:paraId="57840FAF">
            <w:pPr>
              <w:spacing w:before="0" w:after="0" w:line="240" w:lineRule="auto"/>
              <w:ind w:firstLine="0"/>
              <w:jc w:val="center"/>
            </w:pPr>
            <w:r>
              <w:rPr>
                <w:rFonts w:ascii="Times New Roman" w:hAnsi="Times New Roman" w:eastAsia="宋体" w:cs="Times New Roman"/>
                <w:b/>
                <w:color w:val="000000"/>
                <w:sz w:val="19"/>
              </w:rPr>
              <w:t>测试内容</w:t>
            </w:r>
          </w:p>
        </w:tc>
        <w:tc>
          <w:tcPr>
            <w:tcW w:w="0" w:type="auto"/>
            <w:tcBorders>
              <w:bottom w:val="single" w:color="000000" w:sz="4" w:space="0"/>
            </w:tcBorders>
            <w:tcMar>
              <w:top w:w="55" w:type="dxa"/>
              <w:left w:w="65" w:type="dxa"/>
              <w:bottom w:w="55" w:type="dxa"/>
              <w:right w:w="65" w:type="dxa"/>
            </w:tcMar>
            <w:vAlign w:val="center"/>
          </w:tcPr>
          <w:p w14:paraId="0CE0059B">
            <w:pPr>
              <w:spacing w:before="0" w:after="0" w:line="240" w:lineRule="auto"/>
              <w:ind w:firstLine="0"/>
              <w:jc w:val="center"/>
            </w:pPr>
            <w:r>
              <w:rPr>
                <w:rFonts w:ascii="Times New Roman" w:hAnsi="Times New Roman" w:eastAsia="宋体" w:cs="Times New Roman"/>
                <w:b/>
                <w:color w:val="000000"/>
                <w:sz w:val="19"/>
              </w:rPr>
              <w:t>数量</w:t>
            </w:r>
          </w:p>
        </w:tc>
        <w:tc>
          <w:tcPr>
            <w:tcW w:w="0" w:type="auto"/>
            <w:tcBorders>
              <w:bottom w:val="single" w:color="000000" w:sz="4" w:space="0"/>
            </w:tcBorders>
            <w:tcMar>
              <w:top w:w="55" w:type="dxa"/>
              <w:left w:w="65" w:type="dxa"/>
              <w:bottom w:w="55" w:type="dxa"/>
              <w:right w:w="65" w:type="dxa"/>
            </w:tcMar>
            <w:vAlign w:val="center"/>
          </w:tcPr>
          <w:p w14:paraId="165908DB">
            <w:pPr>
              <w:spacing w:before="0" w:after="0" w:line="240" w:lineRule="auto"/>
              <w:ind w:firstLine="0"/>
              <w:jc w:val="center"/>
            </w:pPr>
            <w:r>
              <w:rPr>
                <w:rFonts w:ascii="Times New Roman" w:hAnsi="Times New Roman" w:eastAsia="宋体" w:cs="Times New Roman"/>
                <w:b/>
                <w:color w:val="000000"/>
                <w:sz w:val="19"/>
              </w:rPr>
              <w:t>位置RMSE</w:t>
            </w:r>
          </w:p>
        </w:tc>
      </w:tr>
      <w:tr w14:paraId="3C09C10D">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0" w:type="auto"/>
            <w:tcMar>
              <w:top w:w="55" w:type="dxa"/>
              <w:left w:w="65" w:type="dxa"/>
              <w:bottom w:w="55" w:type="dxa"/>
              <w:right w:w="65" w:type="dxa"/>
            </w:tcMar>
            <w:vAlign w:val="center"/>
          </w:tcPr>
          <w:p w14:paraId="31347A7A">
            <w:pPr>
              <w:spacing w:before="0" w:after="0" w:line="240" w:lineRule="auto"/>
              <w:ind w:firstLine="0"/>
              <w:jc w:val="center"/>
            </w:pPr>
            <w:r>
              <w:rPr>
                <w:rFonts w:ascii="Times New Roman" w:hAnsi="Times New Roman" w:eastAsia="宋体" w:cs="Times New Roman"/>
                <w:b w:val="0"/>
                <w:color w:val="000000"/>
                <w:sz w:val="19"/>
              </w:rPr>
              <w:t>全部参数设置</w:t>
            </w:r>
          </w:p>
        </w:tc>
        <w:tc>
          <w:tcPr>
            <w:tcW w:w="0" w:type="auto"/>
            <w:tcMar>
              <w:top w:w="55" w:type="dxa"/>
              <w:left w:w="65" w:type="dxa"/>
              <w:bottom w:w="55" w:type="dxa"/>
              <w:right w:w="65" w:type="dxa"/>
            </w:tcMar>
            <w:vAlign w:val="center"/>
          </w:tcPr>
          <w:p w14:paraId="3BAE24FF">
            <w:pPr>
              <w:spacing w:before="0" w:after="0" w:line="240" w:lineRule="auto"/>
              <w:ind w:firstLine="0"/>
              <w:jc w:val="center"/>
            </w:pPr>
            <w:r>
              <w:rPr>
                <w:rFonts w:ascii="Times New Roman" w:hAnsi="Times New Roman" w:eastAsia="宋体" w:cs="Times New Roman"/>
                <w:b w:val="0"/>
                <w:color w:val="000000"/>
                <w:sz w:val="19"/>
              </w:rPr>
              <w:t>11</w:t>
            </w:r>
          </w:p>
        </w:tc>
        <w:tc>
          <w:tcPr>
            <w:tcW w:w="0" w:type="auto"/>
            <w:tcMar>
              <w:top w:w="55" w:type="dxa"/>
              <w:left w:w="65" w:type="dxa"/>
              <w:bottom w:w="55" w:type="dxa"/>
              <w:right w:w="65" w:type="dxa"/>
            </w:tcMar>
            <w:vAlign w:val="center"/>
          </w:tcPr>
          <w:p w14:paraId="60D2E9FE">
            <w:pPr>
              <w:spacing w:before="0" w:after="0" w:line="240" w:lineRule="auto"/>
              <w:ind w:firstLine="0"/>
              <w:jc w:val="center"/>
            </w:pPr>
            <w:r>
              <w:rPr>
                <w:rFonts w:ascii="Times New Roman" w:hAnsi="Times New Roman" w:eastAsia="宋体" w:cs="Times New Roman"/>
                <w:b w:val="0"/>
                <w:color w:val="000000"/>
                <w:sz w:val="19"/>
              </w:rPr>
              <w:t>0.0147-0.0337 m</w:t>
            </w:r>
          </w:p>
        </w:tc>
      </w:tr>
      <w:tr w14:paraId="0493DB5F">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0" w:type="auto"/>
            <w:tcMar>
              <w:top w:w="55" w:type="dxa"/>
              <w:left w:w="65" w:type="dxa"/>
              <w:bottom w:w="55" w:type="dxa"/>
              <w:right w:w="65" w:type="dxa"/>
            </w:tcMar>
            <w:vAlign w:val="center"/>
          </w:tcPr>
          <w:p w14:paraId="55DFE775">
            <w:pPr>
              <w:spacing w:before="0" w:after="0" w:line="240" w:lineRule="auto"/>
              <w:ind w:firstLine="0"/>
              <w:jc w:val="center"/>
            </w:pPr>
            <w:r>
              <w:rPr>
                <w:rFonts w:ascii="Times New Roman" w:hAnsi="Times New Roman" w:eastAsia="宋体" w:cs="Times New Roman"/>
                <w:b w:val="0"/>
                <w:color w:val="000000"/>
                <w:sz w:val="19"/>
              </w:rPr>
              <w:t>升力效能降低10%</w:t>
            </w:r>
          </w:p>
        </w:tc>
        <w:tc>
          <w:tcPr>
            <w:tcW w:w="0" w:type="auto"/>
            <w:tcMar>
              <w:top w:w="55" w:type="dxa"/>
              <w:left w:w="65" w:type="dxa"/>
              <w:bottom w:w="55" w:type="dxa"/>
              <w:right w:w="65" w:type="dxa"/>
            </w:tcMar>
            <w:vAlign w:val="center"/>
          </w:tcPr>
          <w:p w14:paraId="694E5467">
            <w:pPr>
              <w:spacing w:before="0" w:after="0" w:line="240" w:lineRule="auto"/>
              <w:ind w:firstLine="0"/>
              <w:jc w:val="center"/>
            </w:pPr>
            <w:r>
              <w:rPr>
                <w:rFonts w:ascii="Times New Roman" w:hAnsi="Times New Roman" w:eastAsia="宋体" w:cs="Times New Roman"/>
                <w:b w:val="0"/>
                <w:color w:val="000000"/>
                <w:sz w:val="19"/>
              </w:rPr>
              <w:t>1</w:t>
            </w:r>
          </w:p>
        </w:tc>
        <w:tc>
          <w:tcPr>
            <w:tcW w:w="0" w:type="auto"/>
            <w:tcMar>
              <w:top w:w="55" w:type="dxa"/>
              <w:left w:w="65" w:type="dxa"/>
              <w:bottom w:w="55" w:type="dxa"/>
              <w:right w:w="65" w:type="dxa"/>
            </w:tcMar>
            <w:vAlign w:val="center"/>
          </w:tcPr>
          <w:p w14:paraId="03A7FE59">
            <w:pPr>
              <w:spacing w:before="0" w:after="0" w:line="240" w:lineRule="auto"/>
              <w:ind w:firstLine="0"/>
              <w:jc w:val="center"/>
            </w:pPr>
            <w:r>
              <w:rPr>
                <w:rFonts w:ascii="Times New Roman" w:hAnsi="Times New Roman" w:eastAsia="宋体" w:cs="Times New Roman"/>
                <w:b w:val="0"/>
                <w:color w:val="000000"/>
                <w:sz w:val="19"/>
              </w:rPr>
              <w:t>0.0225 m</w:t>
            </w:r>
          </w:p>
        </w:tc>
      </w:tr>
      <w:tr w14:paraId="332E500D">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0" w:type="auto"/>
            <w:tcMar>
              <w:top w:w="55" w:type="dxa"/>
              <w:left w:w="65" w:type="dxa"/>
              <w:bottom w:w="55" w:type="dxa"/>
              <w:right w:w="65" w:type="dxa"/>
            </w:tcMar>
            <w:vAlign w:val="center"/>
          </w:tcPr>
          <w:p w14:paraId="7C6009EC">
            <w:pPr>
              <w:spacing w:before="0" w:after="0" w:line="240" w:lineRule="auto"/>
              <w:ind w:firstLine="0"/>
              <w:jc w:val="center"/>
            </w:pPr>
            <w:r>
              <w:rPr>
                <w:rFonts w:ascii="Times New Roman" w:hAnsi="Times New Roman" w:eastAsia="宋体" w:cs="Times New Roman"/>
                <w:b w:val="0"/>
                <w:color w:val="000000"/>
                <w:sz w:val="19"/>
              </w:rPr>
              <w:t>载荷与惯量增加10%</w:t>
            </w:r>
          </w:p>
        </w:tc>
        <w:tc>
          <w:tcPr>
            <w:tcW w:w="0" w:type="auto"/>
            <w:tcMar>
              <w:top w:w="55" w:type="dxa"/>
              <w:left w:w="65" w:type="dxa"/>
              <w:bottom w:w="55" w:type="dxa"/>
              <w:right w:w="65" w:type="dxa"/>
            </w:tcMar>
            <w:vAlign w:val="center"/>
          </w:tcPr>
          <w:p w14:paraId="616E99E5">
            <w:pPr>
              <w:spacing w:before="0" w:after="0" w:line="240" w:lineRule="auto"/>
              <w:ind w:firstLine="0"/>
              <w:jc w:val="center"/>
            </w:pPr>
            <w:r>
              <w:rPr>
                <w:rFonts w:ascii="Times New Roman" w:hAnsi="Times New Roman" w:eastAsia="宋体" w:cs="Times New Roman"/>
                <w:b w:val="0"/>
                <w:color w:val="000000"/>
                <w:sz w:val="19"/>
              </w:rPr>
              <w:t>1</w:t>
            </w:r>
          </w:p>
        </w:tc>
        <w:tc>
          <w:tcPr>
            <w:tcW w:w="0" w:type="auto"/>
            <w:tcMar>
              <w:top w:w="55" w:type="dxa"/>
              <w:left w:w="65" w:type="dxa"/>
              <w:bottom w:w="55" w:type="dxa"/>
              <w:right w:w="65" w:type="dxa"/>
            </w:tcMar>
            <w:vAlign w:val="center"/>
          </w:tcPr>
          <w:p w14:paraId="147F0581">
            <w:pPr>
              <w:spacing w:before="0" w:after="0" w:line="240" w:lineRule="auto"/>
              <w:ind w:firstLine="0"/>
              <w:jc w:val="center"/>
            </w:pPr>
            <w:r>
              <w:rPr>
                <w:rFonts w:ascii="Times New Roman" w:hAnsi="Times New Roman" w:eastAsia="宋体" w:cs="Times New Roman"/>
                <w:b w:val="0"/>
                <w:color w:val="000000"/>
                <w:sz w:val="19"/>
              </w:rPr>
              <w:t>0.0215 m</w:t>
            </w:r>
          </w:p>
        </w:tc>
      </w:tr>
    </w:tbl>
    <w:p w14:paraId="5851698F">
      <w:pPr>
        <w:pStyle w:val="3"/>
      </w:pPr>
      <w:bookmarkStart w:id="32" w:name="_Toc21470"/>
      <w:r>
        <w:rPr>
          <w:rFonts w:ascii="Times New Roman" w:hAnsi="Times New Roman" w:eastAsia="黑体" w:cs="Times New Roman"/>
          <w:b/>
          <w:color w:val="000000"/>
          <w:sz w:val="26"/>
        </w:rPr>
        <w:t>6.4  外部扰动与风场</w:t>
      </w:r>
      <w:bookmarkEnd w:id="32"/>
    </w:p>
    <w:p w14:paraId="5E9086E6">
      <w:pPr>
        <w:spacing w:before="0" w:after="0" w:line="360" w:lineRule="auto"/>
        <w:ind w:firstLine="480"/>
        <w:jc w:val="both"/>
      </w:pPr>
      <w:r>
        <w:rPr>
          <w:rFonts w:ascii="Times New Roman" w:hAnsi="Times New Roman" w:eastAsia="宋体" w:cs="Times New Roman"/>
          <w:color w:val="000000"/>
          <w:sz w:val="24"/>
        </w:rPr>
        <w:t>三事件外力扰动依次施加三段独立外力。RA-GCA-CGHTE的RMSE为0.29490 m，相对PID降低3.9%，相对RA-GCA/Base降低15.3%。CP-INDI在该任务中达到0.06212 m，表现出明显的突发外扰抑制优势；其增量控制结构能够依据运动变化快速修正控制量。常规分段爬升、悬停和8字任务中，RA-GCA-CGHTE与CP-INDI结果接近，且主算法在分段爬升和8字任务中的RMSE略低。</w:t>
      </w:r>
    </w:p>
    <w:p w14:paraId="5920C28D">
      <w:pPr>
        <w:keepNext/>
        <w:spacing w:before="0" w:after="60"/>
        <w:ind w:firstLine="0"/>
        <w:jc w:val="center"/>
      </w:pPr>
      <w:r>
        <w:drawing>
          <wp:inline distT="0" distB="0" distL="114300" distR="114300">
            <wp:extent cx="5394960" cy="2560955"/>
            <wp:effectExtent l="0" t="0" r="15240" b="10795"/>
            <wp:docPr id="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6"/>
                    <pic:cNvPicPr>
                      <a:picLocks noChangeAspect="1"/>
                    </pic:cNvPicPr>
                  </pic:nvPicPr>
                  <pic:blipFill>
                    <a:blip r:embed="rId28"/>
                    <a:stretch>
                      <a:fillRect/>
                    </a:stretch>
                  </pic:blipFill>
                  <pic:spPr>
                    <a:xfrm>
                      <a:off x="0" y="0"/>
                      <a:ext cx="5394960" cy="2561553"/>
                    </a:xfrm>
                    <a:prstGeom prst="rect">
                      <a:avLst/>
                    </a:prstGeom>
                  </pic:spPr>
                </pic:pic>
              </a:graphicData>
            </a:graphic>
          </wp:inline>
        </w:drawing>
      </w:r>
    </w:p>
    <w:p w14:paraId="3BBE5FB4">
      <w:pPr>
        <w:pStyle w:val="4"/>
        <w:keepNext/>
      </w:pPr>
      <w:r>
        <w:rPr>
          <w:rFonts w:ascii="Times New Roman" w:hAnsi="Times New Roman" w:eastAsia="宋体" w:cs="Times New Roman"/>
          <w:b/>
          <w:color w:val="000000"/>
          <w:sz w:val="21"/>
        </w:rPr>
        <w:t>图6-6  三事件外力扰动下的PID、主算法与五种算法结果</w:t>
      </w:r>
    </w:p>
    <w:p w14:paraId="276EF94C">
      <w:pPr>
        <w:pStyle w:val="21"/>
      </w:pPr>
      <w:r>
        <w:rPr>
          <w:rFonts w:ascii="Times New Roman" w:hAnsi="Times New Roman" w:eastAsia="宋体" w:cs="Times New Roman"/>
          <w:color w:val="000000"/>
          <w:sz w:val="18"/>
        </w:rPr>
        <w:t>注：所有数值均为同一三事件外力扰动任务的全时域三维位置RMSE。</w:t>
      </w:r>
    </w:p>
    <w:p w14:paraId="191ACCCA">
      <w:pPr>
        <w:spacing w:before="0" w:after="0" w:line="360" w:lineRule="auto"/>
        <w:ind w:firstLine="480"/>
        <w:jc w:val="both"/>
      </w:pPr>
      <w:r>
        <w:rPr>
          <w:rFonts w:ascii="Times New Roman" w:hAnsi="Times New Roman" w:eastAsia="宋体" w:cs="Times New Roman"/>
          <w:color w:val="000000"/>
          <w:sz w:val="24"/>
        </w:rPr>
        <w:t>五相位风场保持风扰幅值不变并改变作用相位。RA-GCA-CGHTE的RMSE均值为0.03216 m，范围为0.03196-0.03231 m，五次结果较集中。图6-7(a)给出逐相位结果。</w:t>
      </w:r>
    </w:p>
    <w:p w14:paraId="2EA51D29">
      <w:pPr>
        <w:keepNext/>
        <w:spacing w:before="0" w:after="60"/>
        <w:ind w:firstLine="0"/>
        <w:jc w:val="center"/>
      </w:pPr>
      <w:r>
        <w:drawing>
          <wp:inline distT="0" distB="0" distL="114300" distR="114300">
            <wp:extent cx="5394960" cy="2178050"/>
            <wp:effectExtent l="0" t="0" r="15240" b="12700"/>
            <wp:docPr id="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7"/>
                    <pic:cNvPicPr>
                      <a:picLocks noChangeAspect="1"/>
                    </pic:cNvPicPr>
                  </pic:nvPicPr>
                  <pic:blipFill>
                    <a:blip r:embed="rId29"/>
                    <a:stretch>
                      <a:fillRect/>
                    </a:stretch>
                  </pic:blipFill>
                  <pic:spPr>
                    <a:xfrm>
                      <a:off x="0" y="0"/>
                      <a:ext cx="5394960" cy="2178660"/>
                    </a:xfrm>
                    <a:prstGeom prst="rect">
                      <a:avLst/>
                    </a:prstGeom>
                  </pic:spPr>
                </pic:pic>
              </a:graphicData>
            </a:graphic>
          </wp:inline>
        </w:drawing>
      </w:r>
    </w:p>
    <w:p w14:paraId="627765DA">
      <w:pPr>
        <w:pStyle w:val="4"/>
        <w:keepNext/>
      </w:pPr>
      <w:r>
        <w:rPr>
          <w:rFonts w:ascii="Times New Roman" w:hAnsi="Times New Roman" w:eastAsia="宋体" w:cs="Times New Roman"/>
          <w:b/>
          <w:color w:val="000000"/>
          <w:sz w:val="21"/>
        </w:rPr>
        <w:t>图6-7  RA-GCA-CGHTE在五相位风扰和传感器退化下的位置RMSE</w:t>
      </w:r>
    </w:p>
    <w:p w14:paraId="0204F613">
      <w:pPr>
        <w:pStyle w:val="21"/>
      </w:pPr>
      <w:r>
        <w:rPr>
          <w:rFonts w:ascii="Times New Roman" w:hAnsi="Times New Roman" w:eastAsia="宋体" w:cs="Times New Roman"/>
          <w:color w:val="000000"/>
          <w:sz w:val="18"/>
        </w:rPr>
        <w:t>注：虚线为五个相位的平均值，纵轴从0开始。</w:t>
      </w:r>
    </w:p>
    <w:p w14:paraId="4C945925">
      <w:pPr>
        <w:pStyle w:val="3"/>
      </w:pPr>
      <w:bookmarkStart w:id="33" w:name="_Toc8178"/>
      <w:r>
        <w:rPr>
          <w:rFonts w:ascii="Times New Roman" w:hAnsi="Times New Roman" w:eastAsia="黑体" w:cs="Times New Roman"/>
          <w:b/>
          <w:color w:val="000000"/>
          <w:sz w:val="26"/>
        </w:rPr>
        <w:t>6.5  传感器退化</w:t>
      </w:r>
      <w:bookmarkEnd w:id="33"/>
    </w:p>
    <w:p w14:paraId="08E77F53">
      <w:pPr>
        <w:spacing w:before="0" w:after="0" w:line="360" w:lineRule="auto"/>
        <w:ind w:firstLine="480"/>
        <w:jc w:val="both"/>
      </w:pPr>
      <w:r>
        <w:rPr>
          <w:rFonts w:ascii="Times New Roman" w:hAnsi="Times New Roman" w:eastAsia="宋体" w:cs="Times New Roman"/>
          <w:color w:val="000000"/>
          <w:sz w:val="24"/>
        </w:rPr>
        <w:t>传感器退化测试同时加入20 ms测量延迟、0.005 m位置噪声均方根值和0.5度姿态噪声均方根值，并改变五个确定性相位。RA-GCA-CGHTE的RMSE均值为0.01866 m，范围为0.01866-0.01867 m。图6-7(b)中五个结果几乎重合，说明该组延迟和噪声未引起明显的跟踪性能波动。</w:t>
      </w:r>
    </w:p>
    <w:p w14:paraId="7B4ABFC4">
      <w:pPr>
        <w:pStyle w:val="3"/>
      </w:pPr>
      <w:bookmarkStart w:id="34" w:name="_Toc32622"/>
      <w:r>
        <w:rPr>
          <w:rFonts w:ascii="Times New Roman" w:hAnsi="Times New Roman" w:eastAsia="黑体" w:cs="Times New Roman"/>
          <w:b/>
          <w:color w:val="000000"/>
          <w:sz w:val="26"/>
        </w:rPr>
        <w:t>6.6  推力尺度估计与执行器状态</w:t>
      </w:r>
      <w:bookmarkEnd w:id="34"/>
    </w:p>
    <w:p w14:paraId="4F8A31EE">
      <w:pPr>
        <w:spacing w:before="0" w:after="0" w:line="360" w:lineRule="auto"/>
        <w:ind w:firstLine="480"/>
        <w:jc w:val="both"/>
      </w:pPr>
      <w:r>
        <w:rPr>
          <w:rFonts w:ascii="Times New Roman" w:hAnsi="Times New Roman" w:eastAsia="宋体" w:cs="Times New Roman"/>
          <w:color w:val="000000"/>
          <w:sz w:val="24"/>
        </w:rPr>
        <w:t>图6-8以升力效能降低10%为例，展示高度跟踪、推力尺度估计和执行器状态。估计尺度由1逐步收敛到1.1111，应用尺度末值为1.1111，与该设置对应的1.1111接近；估计有效状态在99.8%的采样点保持有效。尺度收敛后，高度轨迹能够贴近参考。</w:t>
      </w:r>
    </w:p>
    <w:p w14:paraId="57E1B01F">
      <w:pPr>
        <w:spacing w:before="0" w:after="0" w:line="360" w:lineRule="auto"/>
        <w:ind w:firstLine="480"/>
        <w:jc w:val="both"/>
      </w:pPr>
      <w:r>
        <w:rPr>
          <w:rFonts w:ascii="Times New Roman" w:hAnsi="Times New Roman" w:eastAsia="宋体" w:cs="Times New Roman"/>
          <w:color w:val="000000"/>
          <w:sz w:val="24"/>
        </w:rPr>
        <w:t>图6-8(d)给出四路电机指令在平方转速域的最大值占分配上限的比例，测试中的最大值为6.73%。该结果表明，此参数变化下仍保留了较充足的执行器余量。</w:t>
      </w:r>
    </w:p>
    <w:p w14:paraId="2B41DED3">
      <w:pPr>
        <w:keepNext/>
        <w:spacing w:before="0" w:after="60"/>
        <w:ind w:firstLine="0"/>
        <w:jc w:val="center"/>
      </w:pPr>
      <w:r>
        <w:drawing>
          <wp:inline distT="0" distB="0" distL="114300" distR="114300">
            <wp:extent cx="5394960" cy="3403600"/>
            <wp:effectExtent l="0" t="0" r="15240" b="6350"/>
            <wp:docPr id="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8"/>
                    <pic:cNvPicPr>
                      <a:picLocks noChangeAspect="1"/>
                    </pic:cNvPicPr>
                  </pic:nvPicPr>
                  <pic:blipFill>
                    <a:blip r:embed="rId30"/>
                    <a:stretch>
                      <a:fillRect/>
                    </a:stretch>
                  </pic:blipFill>
                  <pic:spPr>
                    <a:xfrm>
                      <a:off x="0" y="0"/>
                      <a:ext cx="5394960" cy="3403917"/>
                    </a:xfrm>
                    <a:prstGeom prst="rect">
                      <a:avLst/>
                    </a:prstGeom>
                  </pic:spPr>
                </pic:pic>
              </a:graphicData>
            </a:graphic>
          </wp:inline>
        </w:drawing>
      </w:r>
    </w:p>
    <w:p w14:paraId="23B4D54C">
      <w:pPr>
        <w:pStyle w:val="4"/>
        <w:keepNext/>
      </w:pPr>
      <w:r>
        <w:rPr>
          <w:rFonts w:ascii="Times New Roman" w:hAnsi="Times New Roman" w:eastAsia="宋体" w:cs="Times New Roman"/>
          <w:b/>
          <w:color w:val="000000"/>
          <w:sz w:val="21"/>
        </w:rPr>
        <w:t>图6-8  RA-GCA-CGHTE的推力尺度估计与执行器状态</w:t>
      </w:r>
    </w:p>
    <w:p w14:paraId="076012D1">
      <w:pPr>
        <w:pStyle w:val="21"/>
      </w:pPr>
      <w:r>
        <w:rPr>
          <w:rFonts w:ascii="Times New Roman" w:hAnsi="Times New Roman" w:eastAsia="宋体" w:cs="Times New Roman"/>
          <w:color w:val="000000"/>
          <w:sz w:val="18"/>
        </w:rPr>
        <w:t>注：平方转速域使用率按100×max(ω_i^2)/q_max计算。</w:t>
      </w:r>
    </w:p>
    <w:p w14:paraId="2E0AAE10">
      <w:pPr>
        <w:pStyle w:val="4"/>
        <w:keepNext/>
      </w:pPr>
      <w:r>
        <w:rPr>
          <w:rFonts w:ascii="Times New Roman" w:hAnsi="Times New Roman" w:eastAsia="宋体" w:cs="Times New Roman"/>
          <w:b/>
          <w:color w:val="000000"/>
          <w:sz w:val="21"/>
        </w:rPr>
        <w:t>表6-4  风扰、传感器退化与推力估计结果摘要</w:t>
      </w:r>
    </w:p>
    <w:tbl>
      <w:tblPr>
        <w:tblStyle w:val="10"/>
        <w:tblW w:w="0" w:type="auto"/>
        <w:jc w:val="center"/>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666"/>
        <w:gridCol w:w="700"/>
        <w:gridCol w:w="1936"/>
      </w:tblGrid>
      <w:tr w14:paraId="1F0AB8FA">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blHeader/>
          <w:jc w:val="center"/>
        </w:trPr>
        <w:tc>
          <w:tcPr>
            <w:tcW w:w="0" w:type="auto"/>
            <w:tcBorders>
              <w:top w:val="single" w:color="000000" w:sz="12" w:space="0"/>
              <w:bottom w:val="single" w:color="000000" w:sz="4" w:space="0"/>
              <w:tl2br w:val="nil"/>
            </w:tcBorders>
            <w:shd w:val="clear" w:color="auto" w:fill="FFFFFF"/>
            <w:tcMar>
              <w:top w:w="55" w:type="dxa"/>
              <w:left w:w="65" w:type="dxa"/>
              <w:bottom w:w="55" w:type="dxa"/>
              <w:right w:w="65" w:type="dxa"/>
            </w:tcMar>
            <w:vAlign w:val="center"/>
          </w:tcPr>
          <w:p w14:paraId="0F93EB15">
            <w:pPr>
              <w:spacing w:before="0" w:after="0" w:line="240" w:lineRule="auto"/>
              <w:ind w:firstLine="0"/>
              <w:jc w:val="center"/>
              <w:rPr>
                <w:b w:val="0"/>
              </w:rPr>
            </w:pPr>
            <w:r>
              <w:rPr>
                <w:rFonts w:ascii="Times New Roman" w:hAnsi="Times New Roman" w:eastAsia="宋体" w:cs="Times New Roman"/>
                <w:b w:val="0"/>
                <w:color w:val="000000"/>
                <w:sz w:val="19"/>
              </w:rPr>
              <w:t>测试内容</w:t>
            </w:r>
          </w:p>
        </w:tc>
        <w:tc>
          <w:tcPr>
            <w:tcW w:w="0" w:type="auto"/>
            <w:tcBorders>
              <w:top w:val="single" w:color="000000" w:sz="12" w:space="0"/>
              <w:bottom w:val="single" w:color="000000" w:sz="4" w:space="0"/>
            </w:tcBorders>
            <w:shd w:val="clear" w:color="auto" w:fill="FFFFFF"/>
            <w:tcMar>
              <w:top w:w="55" w:type="dxa"/>
              <w:left w:w="65" w:type="dxa"/>
              <w:bottom w:w="55" w:type="dxa"/>
              <w:right w:w="65" w:type="dxa"/>
            </w:tcMar>
            <w:vAlign w:val="center"/>
          </w:tcPr>
          <w:p w14:paraId="45C8A3E3">
            <w:pPr>
              <w:spacing w:before="0" w:after="0" w:line="240" w:lineRule="auto"/>
              <w:ind w:firstLine="0"/>
              <w:jc w:val="center"/>
              <w:rPr>
                <w:b w:val="0"/>
              </w:rPr>
            </w:pPr>
            <w:r>
              <w:rPr>
                <w:rFonts w:ascii="Times New Roman" w:hAnsi="Times New Roman" w:eastAsia="宋体" w:cs="Times New Roman"/>
                <w:b w:val="0"/>
                <w:color w:val="000000"/>
                <w:sz w:val="19"/>
              </w:rPr>
              <w:t>数量</w:t>
            </w:r>
          </w:p>
        </w:tc>
        <w:tc>
          <w:tcPr>
            <w:tcW w:w="0" w:type="auto"/>
            <w:tcBorders>
              <w:top w:val="single" w:color="000000" w:sz="12" w:space="0"/>
              <w:bottom w:val="single" w:color="000000" w:sz="4" w:space="0"/>
            </w:tcBorders>
            <w:shd w:val="clear" w:color="auto" w:fill="FFFFFF"/>
            <w:tcMar>
              <w:top w:w="55" w:type="dxa"/>
              <w:left w:w="65" w:type="dxa"/>
              <w:bottom w:w="55" w:type="dxa"/>
              <w:right w:w="65" w:type="dxa"/>
            </w:tcMar>
            <w:vAlign w:val="center"/>
          </w:tcPr>
          <w:p w14:paraId="0A742837">
            <w:pPr>
              <w:spacing w:before="0" w:after="0" w:line="240" w:lineRule="auto"/>
              <w:ind w:firstLine="0"/>
              <w:jc w:val="center"/>
              <w:rPr>
                <w:b w:val="0"/>
              </w:rPr>
            </w:pPr>
            <w:r>
              <w:rPr>
                <w:rFonts w:ascii="Times New Roman" w:hAnsi="Times New Roman" w:eastAsia="宋体" w:cs="Times New Roman"/>
                <w:b w:val="0"/>
                <w:color w:val="000000"/>
                <w:sz w:val="19"/>
              </w:rPr>
              <w:t>主要结果</w:t>
            </w:r>
          </w:p>
        </w:tc>
      </w:tr>
      <w:tr w14:paraId="7D1E2BB5">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0" w:type="auto"/>
            <w:tcBorders>
              <w:top w:val="single" w:color="000000" w:sz="4" w:space="0"/>
            </w:tcBorders>
            <w:shd w:val="clear" w:color="auto" w:fill="FFFFFF"/>
            <w:tcMar>
              <w:top w:w="55" w:type="dxa"/>
              <w:left w:w="65" w:type="dxa"/>
              <w:bottom w:w="55" w:type="dxa"/>
              <w:right w:w="65" w:type="dxa"/>
            </w:tcMar>
            <w:vAlign w:val="center"/>
          </w:tcPr>
          <w:p w14:paraId="57252DA6">
            <w:pPr>
              <w:spacing w:before="0" w:after="0" w:line="240" w:lineRule="auto"/>
              <w:ind w:firstLine="0"/>
              <w:jc w:val="center"/>
              <w:rPr>
                <w:b w:val="0"/>
              </w:rPr>
            </w:pPr>
            <w:r>
              <w:rPr>
                <w:rFonts w:ascii="Times New Roman" w:hAnsi="Times New Roman" w:eastAsia="宋体" w:cs="Times New Roman"/>
                <w:b w:val="0"/>
                <w:color w:val="000000"/>
                <w:sz w:val="19"/>
              </w:rPr>
              <w:t>五相位风扰</w:t>
            </w:r>
          </w:p>
        </w:tc>
        <w:tc>
          <w:tcPr>
            <w:tcW w:w="0" w:type="auto"/>
            <w:tcBorders>
              <w:top w:val="single" w:color="000000" w:sz="4" w:space="0"/>
            </w:tcBorders>
            <w:shd w:val="clear" w:color="auto" w:fill="FFFFFF"/>
            <w:tcMar>
              <w:top w:w="55" w:type="dxa"/>
              <w:left w:w="65" w:type="dxa"/>
              <w:bottom w:w="55" w:type="dxa"/>
              <w:right w:w="65" w:type="dxa"/>
            </w:tcMar>
            <w:vAlign w:val="center"/>
          </w:tcPr>
          <w:p w14:paraId="4766C1D7">
            <w:pPr>
              <w:spacing w:before="0" w:after="0" w:line="240" w:lineRule="auto"/>
              <w:ind w:firstLine="0"/>
              <w:jc w:val="center"/>
              <w:rPr>
                <w:b w:val="0"/>
              </w:rPr>
            </w:pPr>
            <w:r>
              <w:rPr>
                <w:rFonts w:ascii="Times New Roman" w:hAnsi="Times New Roman" w:eastAsia="宋体" w:cs="Times New Roman"/>
                <w:b w:val="0"/>
                <w:color w:val="000000"/>
                <w:sz w:val="19"/>
              </w:rPr>
              <w:t>5</w:t>
            </w:r>
          </w:p>
        </w:tc>
        <w:tc>
          <w:tcPr>
            <w:tcW w:w="0" w:type="auto"/>
            <w:tcBorders>
              <w:top w:val="single" w:color="000000" w:sz="4" w:space="0"/>
            </w:tcBorders>
            <w:shd w:val="clear" w:color="auto" w:fill="FFFFFF"/>
            <w:tcMar>
              <w:top w:w="55" w:type="dxa"/>
              <w:left w:w="65" w:type="dxa"/>
              <w:bottom w:w="55" w:type="dxa"/>
              <w:right w:w="65" w:type="dxa"/>
            </w:tcMar>
            <w:vAlign w:val="center"/>
          </w:tcPr>
          <w:p w14:paraId="2D4CA378">
            <w:pPr>
              <w:spacing w:before="0" w:after="0" w:line="240" w:lineRule="auto"/>
              <w:ind w:firstLine="0"/>
              <w:jc w:val="center"/>
              <w:rPr>
                <w:b w:val="0"/>
              </w:rPr>
            </w:pPr>
            <w:r>
              <w:rPr>
                <w:rFonts w:ascii="Times New Roman" w:hAnsi="Times New Roman" w:eastAsia="宋体" w:cs="Times New Roman"/>
                <w:b w:val="0"/>
                <w:color w:val="000000"/>
                <w:sz w:val="19"/>
              </w:rPr>
              <w:t>RMSE均值0.03216 m</w:t>
            </w:r>
          </w:p>
        </w:tc>
      </w:tr>
      <w:tr w14:paraId="2A534735">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0" w:type="auto"/>
            <w:shd w:val="clear" w:color="auto" w:fill="FFFFFF"/>
            <w:tcMar>
              <w:top w:w="55" w:type="dxa"/>
              <w:left w:w="65" w:type="dxa"/>
              <w:bottom w:w="55" w:type="dxa"/>
              <w:right w:w="65" w:type="dxa"/>
            </w:tcMar>
            <w:vAlign w:val="center"/>
          </w:tcPr>
          <w:p w14:paraId="484E0244">
            <w:pPr>
              <w:spacing w:before="0" w:after="0" w:line="240" w:lineRule="auto"/>
              <w:ind w:firstLine="0"/>
              <w:jc w:val="center"/>
              <w:rPr>
                <w:b w:val="0"/>
              </w:rPr>
            </w:pPr>
            <w:r>
              <w:rPr>
                <w:rFonts w:ascii="Times New Roman" w:hAnsi="Times New Roman" w:eastAsia="宋体" w:cs="Times New Roman"/>
                <w:b w:val="0"/>
                <w:color w:val="000000"/>
                <w:sz w:val="19"/>
              </w:rPr>
              <w:t>五相位传感器退化</w:t>
            </w:r>
          </w:p>
        </w:tc>
        <w:tc>
          <w:tcPr>
            <w:tcW w:w="0" w:type="auto"/>
            <w:shd w:val="clear" w:color="auto" w:fill="FFFFFF"/>
            <w:tcMar>
              <w:top w:w="55" w:type="dxa"/>
              <w:left w:w="65" w:type="dxa"/>
              <w:bottom w:w="55" w:type="dxa"/>
              <w:right w:w="65" w:type="dxa"/>
            </w:tcMar>
            <w:vAlign w:val="center"/>
          </w:tcPr>
          <w:p w14:paraId="68C2F75E">
            <w:pPr>
              <w:spacing w:before="0" w:after="0" w:line="240" w:lineRule="auto"/>
              <w:ind w:firstLine="0"/>
              <w:jc w:val="center"/>
              <w:rPr>
                <w:b w:val="0"/>
              </w:rPr>
            </w:pPr>
            <w:r>
              <w:rPr>
                <w:rFonts w:ascii="Times New Roman" w:hAnsi="Times New Roman" w:eastAsia="宋体" w:cs="Times New Roman"/>
                <w:b w:val="0"/>
                <w:color w:val="000000"/>
                <w:sz w:val="19"/>
              </w:rPr>
              <w:t>5</w:t>
            </w:r>
          </w:p>
        </w:tc>
        <w:tc>
          <w:tcPr>
            <w:tcW w:w="0" w:type="auto"/>
            <w:shd w:val="clear" w:color="auto" w:fill="FFFFFF"/>
            <w:tcMar>
              <w:top w:w="55" w:type="dxa"/>
              <w:left w:w="65" w:type="dxa"/>
              <w:bottom w:w="55" w:type="dxa"/>
              <w:right w:w="65" w:type="dxa"/>
            </w:tcMar>
            <w:vAlign w:val="center"/>
          </w:tcPr>
          <w:p w14:paraId="2AB41E95">
            <w:pPr>
              <w:spacing w:before="0" w:after="0" w:line="240" w:lineRule="auto"/>
              <w:ind w:firstLine="0"/>
              <w:jc w:val="center"/>
              <w:rPr>
                <w:b w:val="0"/>
              </w:rPr>
            </w:pPr>
            <w:r>
              <w:rPr>
                <w:rFonts w:ascii="Times New Roman" w:hAnsi="Times New Roman" w:eastAsia="宋体" w:cs="Times New Roman"/>
                <w:b w:val="0"/>
                <w:color w:val="000000"/>
                <w:sz w:val="19"/>
              </w:rPr>
              <w:t>RMSE均值0.01866 m</w:t>
            </w:r>
          </w:p>
        </w:tc>
      </w:tr>
      <w:tr w14:paraId="3713BF13">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0" w:type="auto"/>
            <w:shd w:val="clear" w:color="auto" w:fill="FFFFFF"/>
            <w:tcMar>
              <w:top w:w="55" w:type="dxa"/>
              <w:left w:w="65" w:type="dxa"/>
              <w:bottom w:w="55" w:type="dxa"/>
              <w:right w:w="65" w:type="dxa"/>
            </w:tcMar>
            <w:vAlign w:val="center"/>
          </w:tcPr>
          <w:p w14:paraId="7D72F984">
            <w:pPr>
              <w:spacing w:before="0" w:after="0" w:line="240" w:lineRule="auto"/>
              <w:ind w:firstLine="0"/>
              <w:jc w:val="center"/>
              <w:rPr>
                <w:b w:val="0"/>
              </w:rPr>
            </w:pPr>
            <w:r>
              <w:rPr>
                <w:rFonts w:ascii="Times New Roman" w:hAnsi="Times New Roman" w:eastAsia="宋体" w:cs="Times New Roman"/>
                <w:b w:val="0"/>
                <w:color w:val="000000"/>
                <w:sz w:val="19"/>
              </w:rPr>
              <w:t>升力效能降低10%</w:t>
            </w:r>
          </w:p>
        </w:tc>
        <w:tc>
          <w:tcPr>
            <w:tcW w:w="0" w:type="auto"/>
            <w:shd w:val="clear" w:color="auto" w:fill="FFFFFF"/>
            <w:tcMar>
              <w:top w:w="55" w:type="dxa"/>
              <w:left w:w="65" w:type="dxa"/>
              <w:bottom w:w="55" w:type="dxa"/>
              <w:right w:w="65" w:type="dxa"/>
            </w:tcMar>
            <w:vAlign w:val="center"/>
          </w:tcPr>
          <w:p w14:paraId="5BD0E131">
            <w:pPr>
              <w:spacing w:before="0" w:after="0" w:line="240" w:lineRule="auto"/>
              <w:ind w:firstLine="0"/>
              <w:jc w:val="center"/>
              <w:rPr>
                <w:b w:val="0"/>
              </w:rPr>
            </w:pPr>
            <w:r>
              <w:rPr>
                <w:rFonts w:ascii="Times New Roman" w:hAnsi="Times New Roman" w:eastAsia="宋体" w:cs="Times New Roman"/>
                <w:b w:val="0"/>
                <w:color w:val="000000"/>
                <w:sz w:val="19"/>
              </w:rPr>
              <w:t>1</w:t>
            </w:r>
          </w:p>
        </w:tc>
        <w:tc>
          <w:tcPr>
            <w:tcW w:w="0" w:type="auto"/>
            <w:shd w:val="clear" w:color="auto" w:fill="FFFFFF"/>
            <w:tcMar>
              <w:top w:w="55" w:type="dxa"/>
              <w:left w:w="65" w:type="dxa"/>
              <w:bottom w:w="55" w:type="dxa"/>
              <w:right w:w="65" w:type="dxa"/>
            </w:tcMar>
            <w:vAlign w:val="center"/>
          </w:tcPr>
          <w:p w14:paraId="64E734E4">
            <w:pPr>
              <w:spacing w:before="0" w:after="0" w:line="240" w:lineRule="auto"/>
              <w:ind w:firstLine="0"/>
              <w:jc w:val="center"/>
              <w:rPr>
                <w:b w:val="0"/>
              </w:rPr>
            </w:pPr>
            <w:r>
              <w:rPr>
                <w:rFonts w:ascii="Times New Roman" w:hAnsi="Times New Roman" w:eastAsia="宋体" w:cs="Times New Roman"/>
                <w:b w:val="0"/>
                <w:color w:val="000000"/>
                <w:sz w:val="19"/>
              </w:rPr>
              <w:t>应用尺度末值1.1111</w:t>
            </w:r>
          </w:p>
        </w:tc>
      </w:tr>
      <w:tr w14:paraId="30908498">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0" w:type="auto"/>
            <w:tcBorders>
              <w:bottom w:val="single" w:color="000000" w:sz="12" w:space="0"/>
            </w:tcBorders>
            <w:shd w:val="clear" w:color="auto" w:fill="FFFFFF"/>
            <w:tcMar>
              <w:top w:w="55" w:type="dxa"/>
              <w:left w:w="65" w:type="dxa"/>
              <w:bottom w:w="55" w:type="dxa"/>
              <w:right w:w="65" w:type="dxa"/>
            </w:tcMar>
            <w:vAlign w:val="center"/>
          </w:tcPr>
          <w:p w14:paraId="5AE38FFF">
            <w:pPr>
              <w:spacing w:before="0" w:after="0" w:line="240" w:lineRule="auto"/>
              <w:ind w:firstLine="0"/>
              <w:jc w:val="center"/>
              <w:rPr>
                <w:b w:val="0"/>
              </w:rPr>
            </w:pPr>
            <w:r>
              <w:rPr>
                <w:rFonts w:ascii="Times New Roman" w:hAnsi="Times New Roman" w:eastAsia="宋体" w:cs="Times New Roman"/>
                <w:b w:val="0"/>
                <w:color w:val="000000"/>
                <w:sz w:val="19"/>
              </w:rPr>
              <w:t>平方转速域使用率</w:t>
            </w:r>
          </w:p>
        </w:tc>
        <w:tc>
          <w:tcPr>
            <w:tcW w:w="0" w:type="auto"/>
            <w:tcBorders>
              <w:bottom w:val="single" w:color="000000" w:sz="12" w:space="0"/>
            </w:tcBorders>
            <w:shd w:val="clear" w:color="auto" w:fill="FFFFFF"/>
            <w:tcMar>
              <w:top w:w="55" w:type="dxa"/>
              <w:left w:w="65" w:type="dxa"/>
              <w:bottom w:w="55" w:type="dxa"/>
              <w:right w:w="65" w:type="dxa"/>
            </w:tcMar>
            <w:vAlign w:val="center"/>
          </w:tcPr>
          <w:p w14:paraId="0136EB87">
            <w:pPr>
              <w:spacing w:before="0" w:after="0" w:line="240" w:lineRule="auto"/>
              <w:ind w:firstLine="0"/>
              <w:jc w:val="center"/>
              <w:rPr>
                <w:b w:val="0"/>
              </w:rPr>
            </w:pPr>
            <w:r>
              <w:rPr>
                <w:rFonts w:ascii="Times New Roman" w:hAnsi="Times New Roman" w:eastAsia="宋体" w:cs="Times New Roman"/>
                <w:b w:val="0"/>
                <w:color w:val="000000"/>
                <w:sz w:val="19"/>
              </w:rPr>
              <w:t>全时序</w:t>
            </w:r>
          </w:p>
        </w:tc>
        <w:tc>
          <w:tcPr>
            <w:tcW w:w="0" w:type="auto"/>
            <w:tcBorders>
              <w:bottom w:val="single" w:color="000000" w:sz="12" w:space="0"/>
            </w:tcBorders>
            <w:shd w:val="clear" w:color="auto" w:fill="FFFFFF"/>
            <w:tcMar>
              <w:top w:w="55" w:type="dxa"/>
              <w:left w:w="65" w:type="dxa"/>
              <w:bottom w:w="55" w:type="dxa"/>
              <w:right w:w="65" w:type="dxa"/>
            </w:tcMar>
            <w:vAlign w:val="center"/>
          </w:tcPr>
          <w:p w14:paraId="317C953A">
            <w:pPr>
              <w:spacing w:before="0" w:after="0" w:line="240" w:lineRule="auto"/>
              <w:ind w:firstLine="0"/>
              <w:jc w:val="center"/>
              <w:rPr>
                <w:b w:val="0"/>
              </w:rPr>
            </w:pPr>
            <w:r>
              <w:rPr>
                <w:rFonts w:ascii="Times New Roman" w:hAnsi="Times New Roman" w:eastAsia="宋体" w:cs="Times New Roman"/>
                <w:b w:val="0"/>
                <w:color w:val="000000"/>
                <w:sz w:val="19"/>
              </w:rPr>
              <w:t>最大6.73%</w:t>
            </w:r>
          </w:p>
        </w:tc>
      </w:tr>
    </w:tbl>
    <w:p w14:paraId="57AF4CDB">
      <w:pPr>
        <w:spacing w:before="0" w:after="0" w:line="360" w:lineRule="auto"/>
        <w:ind w:firstLine="480"/>
        <w:jc w:val="both"/>
        <w:rPr>
          <w:rFonts w:ascii="Times New Roman" w:hAnsi="Times New Roman" w:eastAsia="宋体" w:cs="Times New Roman"/>
          <w:color w:val="000000"/>
          <w:sz w:val="24"/>
        </w:rPr>
      </w:pPr>
      <w:r>
        <w:rPr>
          <w:rFonts w:ascii="Times New Roman" w:hAnsi="Times New Roman" w:eastAsia="宋体" w:cs="Times New Roman"/>
          <w:color w:val="000000"/>
          <w:sz w:val="24"/>
        </w:rPr>
        <w:t>综合结果表明，RA-GCA-CGHTE在三轴阶跃、分段爬升、悬停、螺旋爬升和8字轨迹中均明显改善了赛题PID的超调或位置误差；11种参数设置的RMSE均低于0.04 m，五相位风扰和传感器退化结果也较集中。CP-INDI在三事件外扰中表现更好，说明主算法的突发外扰恢复仍有进一步提升空间。</w:t>
      </w:r>
    </w:p>
    <w:p w14:paraId="2EC214F6">
      <w:pPr>
        <w:spacing w:before="0" w:after="0" w:line="360" w:lineRule="auto"/>
        <w:ind w:firstLine="480"/>
        <w:jc w:val="both"/>
        <w:rPr>
          <w:rFonts w:ascii="Times New Roman" w:hAnsi="Times New Roman" w:eastAsia="宋体" w:cs="Times New Roman"/>
          <w:color w:val="000000"/>
          <w:sz w:val="24"/>
        </w:rPr>
      </w:pPr>
    </w:p>
    <w:p w14:paraId="41C428F4">
      <w:pPr>
        <w:pStyle w:val="2"/>
        <w:keepNext/>
        <w:widowControl/>
        <w:spacing w:before="240" w:after="120"/>
        <w:ind w:firstLine="0"/>
        <w:jc w:val="left"/>
      </w:pPr>
      <w:bookmarkStart w:id="35" w:name="_Toc13441"/>
      <w:r>
        <w:rPr>
          <w:rFonts w:ascii="Times New Roman" w:hAnsi="Times New Roman" w:eastAsia="黑体" w:cs="Times New Roman"/>
          <w:b/>
          <w:i w:val="0"/>
          <w:color w:val="000000"/>
          <w:sz w:val="32"/>
        </w:rPr>
        <w:t>第7章 分层编队控制与预测安全监督的仿真验证</w:t>
      </w:r>
      <w:bookmarkEnd w:id="35"/>
    </w:p>
    <w:p w14:paraId="36D85CDB">
      <w:pPr>
        <w:widowControl/>
        <w:spacing w:before="0" w:after="0" w:line="360" w:lineRule="auto"/>
        <w:ind w:firstLine="480"/>
        <w:jc w:val="both"/>
      </w:pPr>
      <w:r>
        <w:rPr>
          <w:rFonts w:ascii="Times New Roman" w:hAnsi="Times New Roman" w:eastAsia="宋体" w:cs="Times New Roman"/>
          <w:b w:val="0"/>
          <w:i w:val="0"/>
          <w:color w:val="000000"/>
          <w:sz w:val="24"/>
        </w:rPr>
        <w:t>本章评价RA-GCA-CGHTE在固定三机任务中的协同跟踪能力，并通过开关对比检验PP-CBF的作用。三架无人机使用相同的RA-GCA-CGHTE负责位置和约化姿态控制；PP-CBF位于队形参考与三个低层控制器之间，预测到两机过度接近时修正位置参考。</w:t>
      </w:r>
    </w:p>
    <w:p w14:paraId="79A10527">
      <w:pPr>
        <w:widowControl/>
        <w:spacing w:before="0" w:after="0" w:line="360" w:lineRule="auto"/>
        <w:ind w:firstLine="480"/>
        <w:jc w:val="both"/>
      </w:pPr>
      <w:r>
        <w:rPr>
          <w:rFonts w:ascii="Times New Roman" w:hAnsi="Times New Roman" w:eastAsia="宋体" w:cs="Times New Roman"/>
          <w:b w:val="0"/>
          <w:i w:val="0"/>
          <w:color w:val="000000"/>
          <w:sz w:val="24"/>
        </w:rPr>
        <w:t>PP-CBF基于控制障碍函数描述安全条件，并对原始位置参考作尽量小的修正（Ames et al., 2017）。本章先验证三机队形变换与协同跟踪，再在低层控制器、初值、参考轨迹和求解设置相同的条件下比较安全监督关闭与开启两种配置。约束计算与顺序投影方法见第4章。</w:t>
      </w:r>
    </w:p>
    <w:p w14:paraId="1E1C04E5">
      <w:pPr>
        <w:widowControl/>
        <w:spacing w:before="0" w:after="0" w:line="360" w:lineRule="auto"/>
        <w:ind w:firstLine="480"/>
        <w:jc w:val="both"/>
      </w:pPr>
      <w:r>
        <w:rPr>
          <w:rFonts w:ascii="Times New Roman" w:hAnsi="Times New Roman" w:eastAsia="宋体" w:cs="Times New Roman"/>
          <w:b w:val="0"/>
          <w:i w:val="0"/>
          <w:color w:val="000000"/>
          <w:sz w:val="24"/>
        </w:rPr>
        <w:t>本文采用相对队形RMSE评价跟随机与领机之间的队形保持误差，采用三机全局位置跟踪RMSE评价三架无人机对位置指令的总体跟踪误差，并用最小两机中心间距及其低于设定安全距离的累计时间评价近距离风险。各项指标均由原始仿真数据按统一方法计算。</w:t>
      </w:r>
    </w:p>
    <w:p w14:paraId="5B177B92">
      <w:pPr>
        <w:pStyle w:val="3"/>
        <w:keepNext/>
        <w:widowControl/>
        <w:spacing w:before="200" w:after="80"/>
        <w:ind w:firstLine="0"/>
        <w:jc w:val="left"/>
      </w:pPr>
      <w:bookmarkStart w:id="36" w:name="_Toc32416"/>
      <w:r>
        <w:rPr>
          <w:rFonts w:ascii="Times New Roman" w:hAnsi="Times New Roman" w:eastAsia="黑体" w:cs="Times New Roman"/>
          <w:b/>
          <w:i w:val="0"/>
          <w:color w:val="000000"/>
          <w:sz w:val="26"/>
        </w:rPr>
        <w:t>7.1 编队保持与队形变换任务</w:t>
      </w:r>
      <w:bookmarkEnd w:id="36"/>
    </w:p>
    <w:p w14:paraId="5F4B46C3">
      <w:pPr>
        <w:widowControl/>
        <w:spacing w:before="0" w:after="0" w:line="360" w:lineRule="auto"/>
        <w:ind w:firstLine="480"/>
        <w:jc w:val="both"/>
      </w:pPr>
      <w:r>
        <w:rPr>
          <w:rFonts w:ascii="Times New Roman" w:hAnsi="Times New Roman" w:eastAsia="宋体" w:cs="Times New Roman"/>
          <w:b w:val="0"/>
          <w:i w:val="0"/>
          <w:color w:val="000000"/>
          <w:sz w:val="24"/>
        </w:rPr>
        <w:t>队形变换任务持续60.00 s。三机建立高度后沿封闭平面轨迹运动，并在30 s附近由横向直线队形连续过渡为V形队形。该任务同时考察封闭轨迹跟踪、成员相对位置调整和队形恢复，可用于区分编队整体平移误差、成员跟踪误差与相对队形误差。</w:t>
      </w:r>
    </w:p>
    <w:p w14:paraId="0763EFD6">
      <w:pPr>
        <w:widowControl/>
        <w:spacing w:before="0" w:after="0" w:line="360" w:lineRule="auto"/>
        <w:ind w:firstLine="480"/>
        <w:jc w:val="both"/>
      </w:pPr>
      <w:r>
        <w:rPr>
          <w:rFonts w:ascii="Times New Roman" w:hAnsi="Times New Roman" w:eastAsia="宋体" w:cs="Times New Roman"/>
          <w:b w:val="0"/>
          <w:i w:val="0"/>
          <w:color w:val="000000"/>
          <w:sz w:val="24"/>
        </w:rPr>
        <w:t>图7-1(a)对照三机实际轨迹与位置指令；图7-1(b)给出两架跟随机相对领机的队形误差；图7-1(c)展示任意两机中心间距随时间的变化；图7-1(d)并列给出三架成员与编队质心的位置指令跟踪误差。该组合避免用单一RMSE代替对瞬态、空间分离和成员一致性的观察。</w:t>
      </w:r>
    </w:p>
    <w:p w14:paraId="29016818">
      <w:pPr>
        <w:keepNext/>
        <w:keepLines/>
        <w:widowControl/>
        <w:spacing w:before="0" w:after="60" w:line="360" w:lineRule="auto"/>
        <w:ind w:firstLine="0"/>
        <w:jc w:val="center"/>
      </w:pPr>
      <w:r>
        <w:rPr>
          <w:rFonts w:ascii="Times New Roman" w:hAnsi="Times New Roman" w:eastAsia="宋体"/>
          <w:b w:val="0"/>
          <w:i w:val="0"/>
          <w:color w:val="000000"/>
          <w:sz w:val="24"/>
        </w:rPr>
        <w:drawing>
          <wp:inline distT="0" distB="0" distL="114300" distR="114300">
            <wp:extent cx="5579745" cy="4347210"/>
            <wp:effectExtent l="0" t="0" r="1905" b="15240"/>
            <wp:docPr id="20" name="三机队形变换的协同跟踪与间距响应" descr="三机队形变换的协同跟踪与间距响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三机队形变换的协同跟踪与间距响应" descr="三机队形变换的协同跟踪与间距响应"/>
                    <pic:cNvPicPr>
                      <a:picLocks noChangeAspect="1"/>
                    </pic:cNvPicPr>
                  </pic:nvPicPr>
                  <pic:blipFill>
                    <a:blip r:embed="rId31"/>
                    <a:stretch>
                      <a:fillRect/>
                    </a:stretch>
                  </pic:blipFill>
                  <pic:spPr>
                    <a:xfrm>
                      <a:off x="0" y="0"/>
                      <a:ext cx="5580000" cy="4347607"/>
                    </a:xfrm>
                    <a:prstGeom prst="rect">
                      <a:avLst/>
                    </a:prstGeom>
                  </pic:spPr>
                </pic:pic>
              </a:graphicData>
            </a:graphic>
          </wp:inline>
        </w:drawing>
      </w:r>
    </w:p>
    <w:p w14:paraId="5C6C6EE8">
      <w:pPr>
        <w:pStyle w:val="4"/>
        <w:keepLines/>
        <w:widowControl/>
        <w:spacing w:before="40" w:after="40" w:line="240" w:lineRule="auto"/>
        <w:ind w:firstLine="0"/>
        <w:jc w:val="center"/>
      </w:pPr>
      <w:r>
        <w:rPr>
          <w:rFonts w:ascii="Times New Roman" w:hAnsi="Times New Roman" w:eastAsia="宋体" w:cs="Times New Roman"/>
          <w:b/>
          <w:i w:val="0"/>
          <w:color w:val="000000"/>
          <w:sz w:val="21"/>
        </w:rPr>
        <w:t>图7-1 三机队形变换的协同跟踪与间距响应</w:t>
      </w:r>
    </w:p>
    <w:p w14:paraId="11E4946A">
      <w:pPr>
        <w:pStyle w:val="21"/>
        <w:widowControl/>
        <w:spacing w:before="0" w:after="80" w:line="240" w:lineRule="auto"/>
        <w:ind w:firstLine="0"/>
        <w:jc w:val="both"/>
      </w:pPr>
      <w:r>
        <w:rPr>
          <w:rFonts w:ascii="Times New Roman" w:hAnsi="Times New Roman" w:eastAsia="宋体" w:cs="Times New Roman"/>
          <w:b w:val="0"/>
          <w:i w:val="0"/>
          <w:color w:val="000000"/>
          <w:sz w:val="18"/>
        </w:rPr>
        <w:t>注：(a)同色实线和虚线分别表示对应无人机的实际轨迹与位置指令，圆点为任务终点；(b)为两架跟随机的相对队形误差；(c)为最小两机中心间距；(d)为三架成员及编队质心的位置指令跟踪误差。图件由正式仿真原始数据重新绘制。</w:t>
      </w:r>
    </w:p>
    <w:p w14:paraId="57582282">
      <w:pPr>
        <w:widowControl/>
        <w:spacing w:before="0" w:after="0" w:line="360" w:lineRule="auto"/>
        <w:ind w:firstLine="480"/>
        <w:jc w:val="both"/>
      </w:pPr>
      <w:r>
        <w:rPr>
          <w:rFonts w:ascii="Times New Roman" w:hAnsi="Times New Roman" w:eastAsia="宋体" w:cs="Times New Roman"/>
          <w:b w:val="0"/>
          <w:i w:val="0"/>
          <w:color w:val="000000"/>
          <w:sz w:val="24"/>
        </w:rPr>
        <w:t>全时域队形RMSE为0.0383 m，三机全局位置跟踪RMSE为0.0287 m，最小两机中心间距为0.8530 m。质心位置指令跟踪RMSE为0.0234 m，三架成员RMSE极差为0.0202 m。结果表明，三机沿闭合轨迹运动时，编队整体、各成员和相对队形均保持了较小误差。</w:t>
      </w:r>
    </w:p>
    <w:p w14:paraId="67FAAAEC">
      <w:pPr>
        <w:widowControl/>
        <w:spacing w:before="0" w:after="0" w:line="360" w:lineRule="auto"/>
        <w:ind w:firstLine="480"/>
        <w:jc w:val="both"/>
      </w:pPr>
      <w:r>
        <w:rPr>
          <w:rFonts w:ascii="Times New Roman" w:hAnsi="Times New Roman" w:eastAsia="宋体" w:cs="Times New Roman"/>
          <w:b w:val="0"/>
          <w:i w:val="0"/>
          <w:color w:val="000000"/>
          <w:sz w:val="24"/>
        </w:rPr>
        <w:t>队形变换附近的最大相对队形误差为0.2023 m，随后在1.10 s内回到0.15 m观察参考线以内。该参考线仅用于描述变换后的恢复过程。结合图7-1的轨迹、间距和成员误差可见，队形几何改变产生短时瞬态，三机随后恢复到低误差协同跟踪状态。</w:t>
      </w:r>
    </w:p>
    <w:p w14:paraId="062E9864">
      <w:pPr>
        <w:pStyle w:val="3"/>
        <w:keepNext/>
        <w:widowControl/>
        <w:spacing w:before="200" w:after="80"/>
        <w:ind w:firstLine="0"/>
        <w:jc w:val="left"/>
      </w:pPr>
      <w:bookmarkStart w:id="37" w:name="_Toc30830"/>
      <w:r>
        <w:rPr>
          <w:rFonts w:ascii="Times New Roman" w:hAnsi="Times New Roman" w:eastAsia="黑体" w:cs="Times New Roman"/>
          <w:b/>
          <w:i w:val="0"/>
          <w:color w:val="000000"/>
          <w:sz w:val="26"/>
        </w:rPr>
        <w:t>7.2 PP-CBF近距离交汇风险抑制</w:t>
      </w:r>
      <w:bookmarkEnd w:id="37"/>
    </w:p>
    <w:p w14:paraId="020DDF36">
      <w:pPr>
        <w:widowControl/>
        <w:spacing w:before="0" w:after="0" w:line="360" w:lineRule="auto"/>
        <w:ind w:firstLine="480"/>
        <w:jc w:val="both"/>
      </w:pPr>
      <w:r>
        <w:rPr>
          <w:rFonts w:ascii="Times New Roman" w:hAnsi="Times New Roman" w:eastAsia="宋体" w:cs="Times New Roman"/>
          <w:b w:val="0"/>
          <w:i w:val="0"/>
          <w:color w:val="000000"/>
          <w:sz w:val="24"/>
        </w:rPr>
        <w:t>近距离交汇任务持续40.00 s。本文将任意两机中心间距低于0.60 m的累计时间定义为近距离风险暴露时间。两组仿真均采用0.60 m作为安全距离。该数值仅用于本章比较，不是赛题规定的安全阈值。</w:t>
      </w:r>
    </w:p>
    <w:p w14:paraId="5D4339E4">
      <w:pPr>
        <w:widowControl/>
        <w:spacing w:before="0" w:after="0" w:line="360" w:lineRule="auto"/>
        <w:ind w:firstLine="480"/>
        <w:jc w:val="both"/>
      </w:pPr>
      <w:r>
        <w:rPr>
          <w:rFonts w:ascii="Times New Roman" w:hAnsi="Times New Roman" w:eastAsia="宋体" w:cs="Times New Roman"/>
          <w:b w:val="0"/>
          <w:i w:val="0"/>
          <w:color w:val="000000"/>
          <w:sz w:val="24"/>
        </w:rPr>
        <w:t>两组仿真均由三套RA-GCA-CGHTE跟踪相同位置参考。基础配置关闭PP-CBF，安全增强配置开启PP-CBF；除安全监督状态外，初值、参考轨迹、低层控制器和求解设置保持一致。因此，两组结果的差异反映PP-CBF对位置参考的修正作用。</w:t>
      </w:r>
    </w:p>
    <w:p w14:paraId="5DA58C75">
      <w:pPr>
        <w:keepNext/>
        <w:keepLines/>
        <w:widowControl/>
        <w:spacing w:before="0" w:after="60" w:line="360" w:lineRule="auto"/>
        <w:ind w:firstLine="0"/>
        <w:jc w:val="center"/>
      </w:pPr>
      <w:r>
        <w:rPr>
          <w:rFonts w:ascii="Times New Roman" w:hAnsi="Times New Roman" w:eastAsia="宋体"/>
          <w:b w:val="0"/>
          <w:i w:val="0"/>
          <w:color w:val="000000"/>
          <w:sz w:val="24"/>
        </w:rPr>
        <w:drawing>
          <wp:inline distT="0" distB="0" distL="114300" distR="114300">
            <wp:extent cx="5579745" cy="3852545"/>
            <wp:effectExtent l="0" t="0" r="1905" b="14605"/>
            <wp:docPr id="21" name="PP-CBF对三机近距离交汇风险的抑制效果" descr="PP-CBF对三机近距离交汇风险的抑制效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P-CBF对三机近距离交汇风险的抑制效果" descr="PP-CBF对三机近距离交汇风险的抑制效果"/>
                    <pic:cNvPicPr>
                      <a:picLocks noChangeAspect="1"/>
                    </pic:cNvPicPr>
                  </pic:nvPicPr>
                  <pic:blipFill>
                    <a:blip r:embed="rId32"/>
                    <a:stretch>
                      <a:fillRect/>
                    </a:stretch>
                  </pic:blipFill>
                  <pic:spPr>
                    <a:xfrm>
                      <a:off x="0" y="0"/>
                      <a:ext cx="5580000" cy="3852857"/>
                    </a:xfrm>
                    <a:prstGeom prst="rect">
                      <a:avLst/>
                    </a:prstGeom>
                  </pic:spPr>
                </pic:pic>
              </a:graphicData>
            </a:graphic>
          </wp:inline>
        </w:drawing>
      </w:r>
    </w:p>
    <w:p w14:paraId="0EBA27D3">
      <w:pPr>
        <w:pStyle w:val="4"/>
        <w:keepLines/>
        <w:widowControl/>
        <w:spacing w:before="40" w:after="40" w:line="240" w:lineRule="auto"/>
        <w:ind w:firstLine="0"/>
        <w:jc w:val="center"/>
      </w:pPr>
      <w:r>
        <w:rPr>
          <w:rFonts w:ascii="Times New Roman" w:hAnsi="Times New Roman" w:eastAsia="宋体" w:cs="Times New Roman"/>
          <w:b/>
          <w:i w:val="0"/>
          <w:color w:val="000000"/>
          <w:sz w:val="21"/>
        </w:rPr>
        <w:t>图7-2 PP-CBF对三机近距离交汇风险的抑制效果</w:t>
      </w:r>
    </w:p>
    <w:p w14:paraId="1F578756">
      <w:pPr>
        <w:pStyle w:val="21"/>
        <w:widowControl/>
        <w:spacing w:before="0" w:after="80" w:line="240" w:lineRule="auto"/>
        <w:ind w:firstLine="0"/>
        <w:jc w:val="both"/>
      </w:pPr>
      <w:r>
        <w:rPr>
          <w:rFonts w:ascii="Times New Roman" w:hAnsi="Times New Roman" w:eastAsia="宋体" w:cs="Times New Roman"/>
          <w:b w:val="0"/>
          <w:i w:val="0"/>
          <w:color w:val="000000"/>
          <w:sz w:val="18"/>
        </w:rPr>
        <w:t>注：(a)比较PP-CBF关闭与开启时的最小两机中心间距，灰色虚线为本文设定的0.60 m安全距离；(b)累计最小间距低于该距离的持续时间。两组曲线采用相同仿真条件，并由原始仿真数据绘制。</w:t>
      </w:r>
    </w:p>
    <w:p w14:paraId="2809ED17">
      <w:pPr>
        <w:pStyle w:val="4"/>
        <w:keepNext/>
        <w:keepLines/>
        <w:widowControl/>
        <w:spacing w:before="40" w:after="40" w:line="240" w:lineRule="auto"/>
        <w:ind w:firstLine="0"/>
        <w:jc w:val="center"/>
      </w:pPr>
      <w:r>
        <w:rPr>
          <w:rFonts w:ascii="Times New Roman" w:hAnsi="Times New Roman" w:eastAsia="宋体" w:cs="Times New Roman"/>
          <w:b/>
          <w:i w:val="0"/>
          <w:color w:val="000000"/>
          <w:sz w:val="21"/>
        </w:rPr>
        <w:t>表7-1 PP-CBF近距离交汇安全收益及任务代价</w:t>
      </w:r>
    </w:p>
    <w:tbl>
      <w:tblPr>
        <w:tblStyle w:val="11"/>
        <w:tblW w:w="0" w:type="auto"/>
        <w:jc w:val="center"/>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2521"/>
        <w:gridCol w:w="1245"/>
        <w:gridCol w:w="1245"/>
        <w:gridCol w:w="2230"/>
      </w:tblGrid>
      <w:tr w14:paraId="101CAA7B">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blHeader/>
          <w:jc w:val="center"/>
        </w:trPr>
        <w:tc>
          <w:tcPr>
            <w:tcW w:w="0" w:type="auto"/>
            <w:tcBorders>
              <w:bottom w:val="single" w:color="000000" w:sz="4" w:space="0"/>
            </w:tcBorders>
            <w:tcMar>
              <w:top w:w="70" w:type="dxa"/>
              <w:left w:w="70" w:type="dxa"/>
              <w:bottom w:w="70" w:type="dxa"/>
              <w:right w:w="70" w:type="dxa"/>
            </w:tcMar>
            <w:vAlign w:val="center"/>
          </w:tcPr>
          <w:p w14:paraId="585AF41D">
            <w:pPr>
              <w:spacing w:before="0" w:after="0" w:line="240" w:lineRule="auto"/>
              <w:ind w:firstLine="0"/>
              <w:jc w:val="center"/>
            </w:pPr>
            <w:r>
              <w:rPr>
                <w:rFonts w:ascii="Times New Roman" w:hAnsi="Times New Roman" w:eastAsia="宋体" w:cs="Times New Roman"/>
                <w:b/>
                <w:i w:val="0"/>
                <w:color w:val="000000"/>
                <w:sz w:val="19"/>
              </w:rPr>
              <w:t>评价量</w:t>
            </w:r>
          </w:p>
        </w:tc>
        <w:tc>
          <w:tcPr>
            <w:tcW w:w="0" w:type="auto"/>
            <w:tcBorders>
              <w:bottom w:val="single" w:color="000000" w:sz="4" w:space="0"/>
            </w:tcBorders>
            <w:tcMar>
              <w:top w:w="70" w:type="dxa"/>
              <w:left w:w="70" w:type="dxa"/>
              <w:bottom w:w="70" w:type="dxa"/>
              <w:right w:w="70" w:type="dxa"/>
            </w:tcMar>
            <w:vAlign w:val="center"/>
          </w:tcPr>
          <w:p w14:paraId="54466E8D">
            <w:pPr>
              <w:spacing w:before="0" w:after="0" w:line="240" w:lineRule="auto"/>
              <w:ind w:firstLine="0"/>
              <w:jc w:val="center"/>
            </w:pPr>
            <w:r>
              <w:rPr>
                <w:rFonts w:ascii="Times New Roman" w:hAnsi="Times New Roman" w:eastAsia="宋体" w:cs="Times New Roman"/>
                <w:b/>
                <w:i w:val="0"/>
                <w:color w:val="000000"/>
                <w:sz w:val="19"/>
              </w:rPr>
              <w:t>PP-CBF关闭</w:t>
            </w:r>
          </w:p>
        </w:tc>
        <w:tc>
          <w:tcPr>
            <w:tcW w:w="0" w:type="auto"/>
            <w:tcBorders>
              <w:bottom w:val="single" w:color="000000" w:sz="4" w:space="0"/>
            </w:tcBorders>
            <w:tcMar>
              <w:top w:w="70" w:type="dxa"/>
              <w:left w:w="70" w:type="dxa"/>
              <w:bottom w:w="70" w:type="dxa"/>
              <w:right w:w="70" w:type="dxa"/>
            </w:tcMar>
            <w:vAlign w:val="center"/>
          </w:tcPr>
          <w:p w14:paraId="2BA53B88">
            <w:pPr>
              <w:spacing w:before="0" w:after="0" w:line="240" w:lineRule="auto"/>
              <w:ind w:firstLine="0"/>
              <w:jc w:val="center"/>
            </w:pPr>
            <w:r>
              <w:rPr>
                <w:rFonts w:ascii="Times New Roman" w:hAnsi="Times New Roman" w:eastAsia="宋体" w:cs="Times New Roman"/>
                <w:b/>
                <w:i w:val="0"/>
                <w:color w:val="000000"/>
                <w:sz w:val="19"/>
              </w:rPr>
              <w:t>PP-CBF开启</w:t>
            </w:r>
          </w:p>
        </w:tc>
        <w:tc>
          <w:tcPr>
            <w:tcW w:w="0" w:type="auto"/>
            <w:tcBorders>
              <w:bottom w:val="single" w:color="000000" w:sz="4" w:space="0"/>
            </w:tcBorders>
            <w:tcMar>
              <w:top w:w="70" w:type="dxa"/>
              <w:left w:w="70" w:type="dxa"/>
              <w:bottom w:w="70" w:type="dxa"/>
              <w:right w:w="70" w:type="dxa"/>
            </w:tcMar>
            <w:vAlign w:val="center"/>
          </w:tcPr>
          <w:p w14:paraId="7C305D20">
            <w:pPr>
              <w:spacing w:before="0" w:after="0" w:line="240" w:lineRule="auto"/>
              <w:ind w:firstLine="0"/>
              <w:jc w:val="center"/>
            </w:pPr>
            <w:r>
              <w:rPr>
                <w:rFonts w:ascii="Times New Roman" w:hAnsi="Times New Roman" w:eastAsia="宋体" w:cs="Times New Roman"/>
                <w:b/>
                <w:i w:val="0"/>
                <w:color w:val="000000"/>
                <w:sz w:val="19"/>
              </w:rPr>
              <w:t>结果说明</w:t>
            </w:r>
          </w:p>
        </w:tc>
      </w:tr>
      <w:tr w14:paraId="3CBA7E3A">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0" w:type="auto"/>
            <w:tcMar>
              <w:top w:w="70" w:type="dxa"/>
              <w:left w:w="70" w:type="dxa"/>
              <w:bottom w:w="70" w:type="dxa"/>
              <w:right w:w="70" w:type="dxa"/>
            </w:tcMar>
            <w:vAlign w:val="center"/>
          </w:tcPr>
          <w:p w14:paraId="18C3243C">
            <w:pPr>
              <w:spacing w:before="0" w:after="0" w:line="240" w:lineRule="auto"/>
              <w:ind w:firstLine="0"/>
              <w:jc w:val="center"/>
            </w:pPr>
            <w:r>
              <w:rPr>
                <w:rFonts w:ascii="Times New Roman" w:hAnsi="Times New Roman" w:eastAsia="宋体" w:cs="Times New Roman"/>
                <w:b w:val="0"/>
                <w:i w:val="0"/>
                <w:color w:val="000000"/>
                <w:sz w:val="19"/>
              </w:rPr>
              <w:t>最小两机中心间距 / m</w:t>
            </w:r>
          </w:p>
        </w:tc>
        <w:tc>
          <w:tcPr>
            <w:tcW w:w="0" w:type="auto"/>
            <w:tcMar>
              <w:top w:w="70" w:type="dxa"/>
              <w:left w:w="70" w:type="dxa"/>
              <w:bottom w:w="70" w:type="dxa"/>
              <w:right w:w="70" w:type="dxa"/>
            </w:tcMar>
            <w:vAlign w:val="center"/>
          </w:tcPr>
          <w:p w14:paraId="2B53BA1E">
            <w:pPr>
              <w:spacing w:before="0" w:after="0" w:line="240" w:lineRule="auto"/>
              <w:ind w:firstLine="0"/>
              <w:jc w:val="center"/>
            </w:pPr>
            <w:r>
              <w:rPr>
                <w:rFonts w:ascii="Times New Roman" w:hAnsi="Times New Roman" w:eastAsia="宋体" w:cs="Times New Roman"/>
                <w:b w:val="0"/>
                <w:i w:val="0"/>
                <w:color w:val="000000"/>
                <w:sz w:val="19"/>
              </w:rPr>
              <w:t>0.3832</w:t>
            </w:r>
          </w:p>
        </w:tc>
        <w:tc>
          <w:tcPr>
            <w:tcW w:w="0" w:type="auto"/>
            <w:tcMar>
              <w:top w:w="70" w:type="dxa"/>
              <w:left w:w="70" w:type="dxa"/>
              <w:bottom w:w="70" w:type="dxa"/>
              <w:right w:w="70" w:type="dxa"/>
            </w:tcMar>
            <w:vAlign w:val="center"/>
          </w:tcPr>
          <w:p w14:paraId="424D0CD2">
            <w:pPr>
              <w:spacing w:before="0" w:after="0" w:line="240" w:lineRule="auto"/>
              <w:ind w:firstLine="0"/>
              <w:jc w:val="center"/>
            </w:pPr>
            <w:r>
              <w:rPr>
                <w:rFonts w:ascii="Times New Roman" w:hAnsi="Times New Roman" w:eastAsia="宋体" w:cs="Times New Roman"/>
                <w:b w:val="0"/>
                <w:i w:val="0"/>
                <w:color w:val="000000"/>
                <w:sz w:val="19"/>
              </w:rPr>
              <w:t>0.6113</w:t>
            </w:r>
          </w:p>
        </w:tc>
        <w:tc>
          <w:tcPr>
            <w:tcW w:w="0" w:type="auto"/>
            <w:tcMar>
              <w:top w:w="70" w:type="dxa"/>
              <w:left w:w="70" w:type="dxa"/>
              <w:bottom w:w="70" w:type="dxa"/>
              <w:right w:w="70" w:type="dxa"/>
            </w:tcMar>
            <w:vAlign w:val="center"/>
          </w:tcPr>
          <w:p w14:paraId="4D990E31">
            <w:pPr>
              <w:spacing w:before="0" w:after="0" w:line="240" w:lineRule="auto"/>
              <w:ind w:firstLine="0"/>
              <w:jc w:val="center"/>
            </w:pPr>
            <w:r>
              <w:rPr>
                <w:rFonts w:ascii="Times New Roman" w:hAnsi="Times New Roman" w:eastAsia="宋体" w:cs="Times New Roman"/>
                <w:b w:val="0"/>
                <w:i w:val="0"/>
                <w:color w:val="000000"/>
                <w:sz w:val="19"/>
              </w:rPr>
              <w:t>增加0.2282 m</w:t>
            </w:r>
          </w:p>
        </w:tc>
      </w:tr>
      <w:tr w14:paraId="5B601E48">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0" w:type="auto"/>
            <w:tcMar>
              <w:top w:w="70" w:type="dxa"/>
              <w:left w:w="70" w:type="dxa"/>
              <w:bottom w:w="70" w:type="dxa"/>
              <w:right w:w="70" w:type="dxa"/>
            </w:tcMar>
            <w:vAlign w:val="center"/>
          </w:tcPr>
          <w:p w14:paraId="2F176B76">
            <w:pPr>
              <w:spacing w:before="0" w:after="0" w:line="240" w:lineRule="auto"/>
              <w:ind w:firstLine="0"/>
              <w:jc w:val="center"/>
            </w:pPr>
            <w:r>
              <w:rPr>
                <w:rFonts w:ascii="Times New Roman" w:hAnsi="Times New Roman" w:eastAsia="宋体" w:cs="Times New Roman"/>
                <w:b w:val="0"/>
                <w:i w:val="0"/>
                <w:color w:val="000000"/>
                <w:sz w:val="19"/>
              </w:rPr>
              <w:t>低于0.60 m的累计时间 / s</w:t>
            </w:r>
          </w:p>
        </w:tc>
        <w:tc>
          <w:tcPr>
            <w:tcW w:w="0" w:type="auto"/>
            <w:tcMar>
              <w:top w:w="70" w:type="dxa"/>
              <w:left w:w="70" w:type="dxa"/>
              <w:bottom w:w="70" w:type="dxa"/>
              <w:right w:w="70" w:type="dxa"/>
            </w:tcMar>
            <w:vAlign w:val="center"/>
          </w:tcPr>
          <w:p w14:paraId="054996D6">
            <w:pPr>
              <w:spacing w:before="0" w:after="0" w:line="240" w:lineRule="auto"/>
              <w:ind w:firstLine="0"/>
              <w:jc w:val="center"/>
            </w:pPr>
            <w:r>
              <w:rPr>
                <w:rFonts w:ascii="Times New Roman" w:hAnsi="Times New Roman" w:eastAsia="宋体" w:cs="Times New Roman"/>
                <w:b w:val="0"/>
                <w:i w:val="0"/>
                <w:color w:val="000000"/>
                <w:sz w:val="19"/>
              </w:rPr>
              <w:t>2.04</w:t>
            </w:r>
          </w:p>
        </w:tc>
        <w:tc>
          <w:tcPr>
            <w:tcW w:w="0" w:type="auto"/>
            <w:tcMar>
              <w:top w:w="70" w:type="dxa"/>
              <w:left w:w="70" w:type="dxa"/>
              <w:bottom w:w="70" w:type="dxa"/>
              <w:right w:w="70" w:type="dxa"/>
            </w:tcMar>
            <w:vAlign w:val="center"/>
          </w:tcPr>
          <w:p w14:paraId="48F28659">
            <w:pPr>
              <w:spacing w:before="0" w:after="0" w:line="240" w:lineRule="auto"/>
              <w:ind w:firstLine="0"/>
              <w:jc w:val="center"/>
            </w:pPr>
            <w:r>
              <w:rPr>
                <w:rFonts w:ascii="Times New Roman" w:hAnsi="Times New Roman" w:eastAsia="宋体" w:cs="Times New Roman"/>
                <w:b w:val="0"/>
                <w:i w:val="0"/>
                <w:color w:val="000000"/>
                <w:sz w:val="19"/>
              </w:rPr>
              <w:t>0.00</w:t>
            </w:r>
          </w:p>
        </w:tc>
        <w:tc>
          <w:tcPr>
            <w:tcW w:w="0" w:type="auto"/>
            <w:tcMar>
              <w:top w:w="70" w:type="dxa"/>
              <w:left w:w="70" w:type="dxa"/>
              <w:bottom w:w="70" w:type="dxa"/>
              <w:right w:w="70" w:type="dxa"/>
            </w:tcMar>
            <w:vAlign w:val="center"/>
          </w:tcPr>
          <w:p w14:paraId="548B333F">
            <w:pPr>
              <w:spacing w:before="0" w:after="0" w:line="240" w:lineRule="auto"/>
              <w:ind w:firstLine="0"/>
              <w:jc w:val="center"/>
            </w:pPr>
            <w:r>
              <w:rPr>
                <w:rFonts w:ascii="Times New Roman" w:hAnsi="Times New Roman" w:eastAsia="宋体" w:cs="Times New Roman"/>
                <w:b w:val="0"/>
                <w:i w:val="0"/>
                <w:color w:val="000000"/>
                <w:sz w:val="19"/>
              </w:rPr>
              <w:t>近距离风险暴露降为0 s</w:t>
            </w:r>
          </w:p>
        </w:tc>
      </w:tr>
      <w:tr w14:paraId="2E129113">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0" w:type="auto"/>
            <w:tcMar>
              <w:top w:w="70" w:type="dxa"/>
              <w:left w:w="70" w:type="dxa"/>
              <w:bottom w:w="70" w:type="dxa"/>
              <w:right w:w="70" w:type="dxa"/>
            </w:tcMar>
            <w:vAlign w:val="center"/>
          </w:tcPr>
          <w:p w14:paraId="0352E7B9">
            <w:pPr>
              <w:spacing w:before="0" w:after="0" w:line="240" w:lineRule="auto"/>
              <w:ind w:firstLine="0"/>
              <w:jc w:val="center"/>
            </w:pPr>
            <w:r>
              <w:rPr>
                <w:rFonts w:ascii="Times New Roman" w:hAnsi="Times New Roman" w:eastAsia="宋体" w:cs="Times New Roman"/>
                <w:b w:val="0"/>
                <w:i w:val="0"/>
                <w:color w:val="000000"/>
                <w:sz w:val="19"/>
              </w:rPr>
              <w:t>三机全局位置跟踪RMSE / m</w:t>
            </w:r>
          </w:p>
        </w:tc>
        <w:tc>
          <w:tcPr>
            <w:tcW w:w="0" w:type="auto"/>
            <w:tcMar>
              <w:top w:w="70" w:type="dxa"/>
              <w:left w:w="70" w:type="dxa"/>
              <w:bottom w:w="70" w:type="dxa"/>
              <w:right w:w="70" w:type="dxa"/>
            </w:tcMar>
            <w:vAlign w:val="center"/>
          </w:tcPr>
          <w:p w14:paraId="51F88FBE">
            <w:pPr>
              <w:spacing w:before="0" w:after="0" w:line="240" w:lineRule="auto"/>
              <w:ind w:firstLine="0"/>
              <w:jc w:val="center"/>
            </w:pPr>
            <w:r>
              <w:rPr>
                <w:rFonts w:ascii="Times New Roman" w:hAnsi="Times New Roman" w:eastAsia="宋体" w:cs="Times New Roman"/>
                <w:b w:val="0"/>
                <w:i w:val="0"/>
                <w:color w:val="000000"/>
                <w:sz w:val="19"/>
              </w:rPr>
              <w:t>0.0672</w:t>
            </w:r>
          </w:p>
        </w:tc>
        <w:tc>
          <w:tcPr>
            <w:tcW w:w="0" w:type="auto"/>
            <w:tcMar>
              <w:top w:w="70" w:type="dxa"/>
              <w:left w:w="70" w:type="dxa"/>
              <w:bottom w:w="70" w:type="dxa"/>
              <w:right w:w="70" w:type="dxa"/>
            </w:tcMar>
            <w:vAlign w:val="center"/>
          </w:tcPr>
          <w:p w14:paraId="669A85A4">
            <w:pPr>
              <w:spacing w:before="0" w:after="0" w:line="240" w:lineRule="auto"/>
              <w:ind w:firstLine="0"/>
              <w:jc w:val="center"/>
            </w:pPr>
            <w:r>
              <w:rPr>
                <w:rFonts w:ascii="Times New Roman" w:hAnsi="Times New Roman" w:eastAsia="宋体" w:cs="Times New Roman"/>
                <w:b w:val="0"/>
                <w:i w:val="0"/>
                <w:color w:val="000000"/>
                <w:sz w:val="19"/>
              </w:rPr>
              <w:t>0.0833</w:t>
            </w:r>
          </w:p>
        </w:tc>
        <w:tc>
          <w:tcPr>
            <w:tcW w:w="0" w:type="auto"/>
            <w:tcMar>
              <w:top w:w="70" w:type="dxa"/>
              <w:left w:w="70" w:type="dxa"/>
              <w:bottom w:w="70" w:type="dxa"/>
              <w:right w:w="70" w:type="dxa"/>
            </w:tcMar>
            <w:vAlign w:val="center"/>
          </w:tcPr>
          <w:p w14:paraId="0A1A8E65">
            <w:pPr>
              <w:spacing w:before="0" w:after="0" w:line="240" w:lineRule="auto"/>
              <w:ind w:firstLine="0"/>
              <w:jc w:val="center"/>
            </w:pPr>
            <w:r>
              <w:rPr>
                <w:rFonts w:ascii="Times New Roman" w:hAnsi="Times New Roman" w:eastAsia="宋体" w:cs="Times New Roman"/>
                <w:b w:val="0"/>
                <w:i w:val="0"/>
                <w:color w:val="000000"/>
                <w:sz w:val="19"/>
              </w:rPr>
              <w:t>增加23.95%</w:t>
            </w:r>
          </w:p>
        </w:tc>
      </w:tr>
      <w:tr w14:paraId="06F80B5A">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0" w:type="auto"/>
            <w:tcMar>
              <w:top w:w="70" w:type="dxa"/>
              <w:left w:w="70" w:type="dxa"/>
              <w:bottom w:w="70" w:type="dxa"/>
              <w:right w:w="70" w:type="dxa"/>
            </w:tcMar>
            <w:vAlign w:val="center"/>
          </w:tcPr>
          <w:p w14:paraId="58BA3EAC">
            <w:pPr>
              <w:spacing w:before="0" w:after="0" w:line="240" w:lineRule="auto"/>
              <w:ind w:firstLine="0"/>
              <w:jc w:val="center"/>
            </w:pPr>
            <w:r>
              <w:rPr>
                <w:rFonts w:ascii="Times New Roman" w:hAnsi="Times New Roman" w:eastAsia="宋体" w:cs="Times New Roman"/>
                <w:b w:val="0"/>
                <w:i w:val="0"/>
                <w:color w:val="000000"/>
                <w:sz w:val="19"/>
              </w:rPr>
              <w:t>相对队形RMSE / m</w:t>
            </w:r>
          </w:p>
        </w:tc>
        <w:tc>
          <w:tcPr>
            <w:tcW w:w="0" w:type="auto"/>
            <w:tcMar>
              <w:top w:w="70" w:type="dxa"/>
              <w:left w:w="70" w:type="dxa"/>
              <w:bottom w:w="70" w:type="dxa"/>
              <w:right w:w="70" w:type="dxa"/>
            </w:tcMar>
            <w:vAlign w:val="center"/>
          </w:tcPr>
          <w:p w14:paraId="5230D29E">
            <w:pPr>
              <w:spacing w:before="0" w:after="0" w:line="240" w:lineRule="auto"/>
              <w:ind w:firstLine="0"/>
              <w:jc w:val="center"/>
            </w:pPr>
            <w:r>
              <w:rPr>
                <w:rFonts w:ascii="Times New Roman" w:hAnsi="Times New Roman" w:eastAsia="宋体" w:cs="Times New Roman"/>
                <w:b w:val="0"/>
                <w:i w:val="0"/>
                <w:color w:val="000000"/>
                <w:sz w:val="19"/>
              </w:rPr>
              <w:t>0.0825</w:t>
            </w:r>
          </w:p>
        </w:tc>
        <w:tc>
          <w:tcPr>
            <w:tcW w:w="0" w:type="auto"/>
            <w:tcMar>
              <w:top w:w="70" w:type="dxa"/>
              <w:left w:w="70" w:type="dxa"/>
              <w:bottom w:w="70" w:type="dxa"/>
              <w:right w:w="70" w:type="dxa"/>
            </w:tcMar>
            <w:vAlign w:val="center"/>
          </w:tcPr>
          <w:p w14:paraId="6458DC5C">
            <w:pPr>
              <w:spacing w:before="0" w:after="0" w:line="240" w:lineRule="auto"/>
              <w:ind w:firstLine="0"/>
              <w:jc w:val="center"/>
            </w:pPr>
            <w:r>
              <w:rPr>
                <w:rFonts w:ascii="Times New Roman" w:hAnsi="Times New Roman" w:eastAsia="宋体" w:cs="Times New Roman"/>
                <w:b w:val="0"/>
                <w:i w:val="0"/>
                <w:color w:val="000000"/>
                <w:sz w:val="19"/>
              </w:rPr>
              <w:t>0.2477</w:t>
            </w:r>
          </w:p>
        </w:tc>
        <w:tc>
          <w:tcPr>
            <w:tcW w:w="0" w:type="auto"/>
            <w:tcMar>
              <w:top w:w="70" w:type="dxa"/>
              <w:left w:w="70" w:type="dxa"/>
              <w:bottom w:w="70" w:type="dxa"/>
              <w:right w:w="70" w:type="dxa"/>
            </w:tcMar>
            <w:vAlign w:val="center"/>
          </w:tcPr>
          <w:p w14:paraId="0099883B">
            <w:pPr>
              <w:spacing w:before="0" w:after="0" w:line="240" w:lineRule="auto"/>
              <w:ind w:firstLine="0"/>
              <w:jc w:val="center"/>
            </w:pPr>
            <w:r>
              <w:rPr>
                <w:rFonts w:ascii="Times New Roman" w:hAnsi="Times New Roman" w:eastAsia="宋体" w:cs="Times New Roman"/>
                <w:b w:val="0"/>
                <w:i w:val="0"/>
                <w:color w:val="000000"/>
                <w:sz w:val="19"/>
              </w:rPr>
              <w:t>队形误差在避让阶段增大</w:t>
            </w:r>
          </w:p>
        </w:tc>
      </w:tr>
      <w:tr w14:paraId="2E5B9B4F">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0" w:type="auto"/>
            <w:tcMar>
              <w:top w:w="70" w:type="dxa"/>
              <w:left w:w="70" w:type="dxa"/>
              <w:bottom w:w="70" w:type="dxa"/>
              <w:right w:w="70" w:type="dxa"/>
            </w:tcMar>
            <w:vAlign w:val="center"/>
          </w:tcPr>
          <w:p w14:paraId="2A95B8D7">
            <w:pPr>
              <w:spacing w:before="0" w:after="0" w:line="240" w:lineRule="auto"/>
              <w:ind w:firstLine="0"/>
              <w:jc w:val="center"/>
            </w:pPr>
            <w:r>
              <w:rPr>
                <w:rFonts w:ascii="Times New Roman" w:hAnsi="Times New Roman" w:eastAsia="宋体" w:cs="Times New Roman"/>
                <w:b w:val="0"/>
                <w:i w:val="0"/>
                <w:color w:val="000000"/>
                <w:sz w:val="19"/>
              </w:rPr>
              <w:t>PP-CBF激活样本占比 / %</w:t>
            </w:r>
          </w:p>
        </w:tc>
        <w:tc>
          <w:tcPr>
            <w:tcW w:w="0" w:type="auto"/>
            <w:tcMar>
              <w:top w:w="70" w:type="dxa"/>
              <w:left w:w="70" w:type="dxa"/>
              <w:bottom w:w="70" w:type="dxa"/>
              <w:right w:w="70" w:type="dxa"/>
            </w:tcMar>
            <w:vAlign w:val="center"/>
          </w:tcPr>
          <w:p w14:paraId="26874E5B">
            <w:pPr>
              <w:spacing w:before="0" w:after="0" w:line="240" w:lineRule="auto"/>
              <w:ind w:firstLine="0"/>
              <w:jc w:val="center"/>
            </w:pPr>
            <w:r>
              <w:rPr>
                <w:rFonts w:ascii="Times New Roman" w:hAnsi="Times New Roman" w:eastAsia="宋体" w:cs="Times New Roman"/>
                <w:b w:val="0"/>
                <w:i w:val="0"/>
                <w:color w:val="000000"/>
                <w:sz w:val="19"/>
              </w:rPr>
              <w:t>0.00</w:t>
            </w:r>
          </w:p>
        </w:tc>
        <w:tc>
          <w:tcPr>
            <w:tcW w:w="0" w:type="auto"/>
            <w:tcMar>
              <w:top w:w="70" w:type="dxa"/>
              <w:left w:w="70" w:type="dxa"/>
              <w:bottom w:w="70" w:type="dxa"/>
              <w:right w:w="70" w:type="dxa"/>
            </w:tcMar>
            <w:vAlign w:val="center"/>
          </w:tcPr>
          <w:p w14:paraId="111E4953">
            <w:pPr>
              <w:spacing w:before="0" w:after="0" w:line="240" w:lineRule="auto"/>
              <w:ind w:firstLine="0"/>
              <w:jc w:val="center"/>
            </w:pPr>
            <w:r>
              <w:rPr>
                <w:rFonts w:ascii="Times New Roman" w:hAnsi="Times New Roman" w:eastAsia="宋体" w:cs="Times New Roman"/>
                <w:b w:val="0"/>
                <w:i w:val="0"/>
                <w:color w:val="000000"/>
                <w:sz w:val="19"/>
              </w:rPr>
              <w:t>7.02</w:t>
            </w:r>
          </w:p>
        </w:tc>
        <w:tc>
          <w:tcPr>
            <w:tcW w:w="0" w:type="auto"/>
            <w:tcMar>
              <w:top w:w="70" w:type="dxa"/>
              <w:left w:w="70" w:type="dxa"/>
              <w:bottom w:w="70" w:type="dxa"/>
              <w:right w:w="70" w:type="dxa"/>
            </w:tcMar>
            <w:vAlign w:val="center"/>
          </w:tcPr>
          <w:p w14:paraId="35681E96">
            <w:pPr>
              <w:spacing w:before="0" w:after="0" w:line="240" w:lineRule="auto"/>
              <w:ind w:firstLine="0"/>
              <w:jc w:val="center"/>
            </w:pPr>
            <w:r>
              <w:rPr>
                <w:rFonts w:ascii="Times New Roman" w:hAnsi="Times New Roman" w:eastAsia="宋体" w:cs="Times New Roman"/>
                <w:b w:val="0"/>
                <w:i w:val="0"/>
                <w:color w:val="000000"/>
                <w:sz w:val="19"/>
              </w:rPr>
              <w:t>仅在交汇风险窗口介入</w:t>
            </w:r>
          </w:p>
        </w:tc>
      </w:tr>
      <w:tr w14:paraId="7D7720BA">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0" w:type="auto"/>
            <w:tcMar>
              <w:top w:w="70" w:type="dxa"/>
              <w:left w:w="70" w:type="dxa"/>
              <w:bottom w:w="70" w:type="dxa"/>
              <w:right w:w="70" w:type="dxa"/>
            </w:tcMar>
            <w:vAlign w:val="center"/>
          </w:tcPr>
          <w:p w14:paraId="54FE577E">
            <w:pPr>
              <w:spacing w:before="0" w:after="0" w:line="240" w:lineRule="auto"/>
              <w:ind w:firstLine="0"/>
              <w:jc w:val="center"/>
            </w:pPr>
            <w:r>
              <w:rPr>
                <w:rFonts w:ascii="Times New Roman" w:hAnsi="Times New Roman" w:eastAsia="宋体" w:cs="Times New Roman"/>
                <w:b w:val="0"/>
                <w:i w:val="0"/>
                <w:color w:val="000000"/>
                <w:sz w:val="19"/>
              </w:rPr>
              <w:t>参考修正能量 / (m²·s)</w:t>
            </w:r>
          </w:p>
        </w:tc>
        <w:tc>
          <w:tcPr>
            <w:tcW w:w="0" w:type="auto"/>
            <w:tcMar>
              <w:top w:w="70" w:type="dxa"/>
              <w:left w:w="70" w:type="dxa"/>
              <w:bottom w:w="70" w:type="dxa"/>
              <w:right w:w="70" w:type="dxa"/>
            </w:tcMar>
            <w:vAlign w:val="center"/>
          </w:tcPr>
          <w:p w14:paraId="4A3A8D8E">
            <w:pPr>
              <w:spacing w:before="0" w:after="0" w:line="240" w:lineRule="auto"/>
              <w:ind w:firstLine="0"/>
              <w:jc w:val="center"/>
            </w:pPr>
            <w:r>
              <w:rPr>
                <w:rFonts w:ascii="Times New Roman" w:hAnsi="Times New Roman" w:eastAsia="宋体" w:cs="Times New Roman"/>
                <w:b w:val="0"/>
                <w:i w:val="0"/>
                <w:color w:val="000000"/>
                <w:sz w:val="19"/>
              </w:rPr>
              <w:t>0.0147</w:t>
            </w:r>
          </w:p>
        </w:tc>
        <w:tc>
          <w:tcPr>
            <w:tcW w:w="0" w:type="auto"/>
            <w:tcMar>
              <w:top w:w="70" w:type="dxa"/>
              <w:left w:w="70" w:type="dxa"/>
              <w:bottom w:w="70" w:type="dxa"/>
              <w:right w:w="70" w:type="dxa"/>
            </w:tcMar>
            <w:vAlign w:val="center"/>
          </w:tcPr>
          <w:p w14:paraId="7E7073BE">
            <w:pPr>
              <w:spacing w:before="0" w:after="0" w:line="240" w:lineRule="auto"/>
              <w:ind w:firstLine="0"/>
              <w:jc w:val="center"/>
            </w:pPr>
            <w:r>
              <w:rPr>
                <w:rFonts w:ascii="Times New Roman" w:hAnsi="Times New Roman" w:eastAsia="宋体" w:cs="Times New Roman"/>
                <w:b w:val="0"/>
                <w:i w:val="0"/>
                <w:color w:val="000000"/>
                <w:sz w:val="19"/>
              </w:rPr>
              <w:t>7.1630</w:t>
            </w:r>
          </w:p>
        </w:tc>
        <w:tc>
          <w:tcPr>
            <w:tcW w:w="0" w:type="auto"/>
            <w:tcMar>
              <w:top w:w="70" w:type="dxa"/>
              <w:left w:w="70" w:type="dxa"/>
              <w:bottom w:w="70" w:type="dxa"/>
              <w:right w:w="70" w:type="dxa"/>
            </w:tcMar>
            <w:vAlign w:val="center"/>
          </w:tcPr>
          <w:p w14:paraId="32CF4009">
            <w:pPr>
              <w:spacing w:before="0" w:after="0" w:line="240" w:lineRule="auto"/>
              <w:ind w:firstLine="0"/>
              <w:jc w:val="center"/>
            </w:pPr>
            <w:r>
              <w:rPr>
                <w:rFonts w:ascii="Times New Roman" w:hAnsi="Times New Roman" w:eastAsia="宋体" w:cs="Times New Roman"/>
                <w:b w:val="0"/>
                <w:i w:val="0"/>
                <w:color w:val="000000"/>
                <w:sz w:val="19"/>
              </w:rPr>
              <w:t>安全监督产生参考修正</w:t>
            </w:r>
          </w:p>
        </w:tc>
      </w:tr>
      <w:tr w14:paraId="6DBB9CEC">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0" w:type="auto"/>
            <w:tcBorders>
              <w:bottom w:val="single" w:color="000000" w:sz="8" w:space="0"/>
            </w:tcBorders>
            <w:tcMar>
              <w:top w:w="70" w:type="dxa"/>
              <w:left w:w="70" w:type="dxa"/>
              <w:bottom w:w="70" w:type="dxa"/>
              <w:right w:w="70" w:type="dxa"/>
            </w:tcMar>
            <w:vAlign w:val="center"/>
          </w:tcPr>
          <w:p w14:paraId="4238FA68">
            <w:pPr>
              <w:spacing w:before="0" w:after="0" w:line="240" w:lineRule="auto"/>
              <w:ind w:firstLine="0"/>
              <w:jc w:val="center"/>
            </w:pPr>
            <w:r>
              <w:rPr>
                <w:rFonts w:ascii="Times New Roman" w:hAnsi="Times New Roman" w:eastAsia="宋体" w:cs="Times New Roman"/>
                <w:b w:val="0"/>
                <w:i w:val="0"/>
                <w:color w:val="000000"/>
                <w:sz w:val="19"/>
              </w:rPr>
              <w:t>求解不可行 / 输出保持次数</w:t>
            </w:r>
          </w:p>
        </w:tc>
        <w:tc>
          <w:tcPr>
            <w:tcW w:w="0" w:type="auto"/>
            <w:tcBorders>
              <w:bottom w:val="single" w:color="000000" w:sz="8" w:space="0"/>
            </w:tcBorders>
            <w:tcMar>
              <w:top w:w="70" w:type="dxa"/>
              <w:left w:w="70" w:type="dxa"/>
              <w:bottom w:w="70" w:type="dxa"/>
              <w:right w:w="70" w:type="dxa"/>
            </w:tcMar>
            <w:vAlign w:val="center"/>
          </w:tcPr>
          <w:p w14:paraId="0A691313">
            <w:pPr>
              <w:spacing w:before="0" w:after="0" w:line="240" w:lineRule="auto"/>
              <w:ind w:firstLine="0"/>
              <w:jc w:val="center"/>
            </w:pPr>
            <w:r>
              <w:rPr>
                <w:rFonts w:ascii="Times New Roman" w:hAnsi="Times New Roman" w:eastAsia="宋体" w:cs="Times New Roman"/>
                <w:b w:val="0"/>
                <w:i w:val="0"/>
                <w:color w:val="000000"/>
                <w:sz w:val="19"/>
              </w:rPr>
              <w:t>0/0</w:t>
            </w:r>
          </w:p>
        </w:tc>
        <w:tc>
          <w:tcPr>
            <w:tcW w:w="0" w:type="auto"/>
            <w:tcBorders>
              <w:bottom w:val="single" w:color="000000" w:sz="8" w:space="0"/>
            </w:tcBorders>
            <w:tcMar>
              <w:top w:w="70" w:type="dxa"/>
              <w:left w:w="70" w:type="dxa"/>
              <w:bottom w:w="70" w:type="dxa"/>
              <w:right w:w="70" w:type="dxa"/>
            </w:tcMar>
            <w:vAlign w:val="center"/>
          </w:tcPr>
          <w:p w14:paraId="4D84015B">
            <w:pPr>
              <w:spacing w:before="0" w:after="0" w:line="240" w:lineRule="auto"/>
              <w:ind w:firstLine="0"/>
              <w:jc w:val="center"/>
            </w:pPr>
            <w:r>
              <w:rPr>
                <w:rFonts w:ascii="Times New Roman" w:hAnsi="Times New Roman" w:eastAsia="宋体" w:cs="Times New Roman"/>
                <w:b w:val="0"/>
                <w:i w:val="0"/>
                <w:color w:val="000000"/>
                <w:sz w:val="19"/>
              </w:rPr>
              <w:t>0/0</w:t>
            </w:r>
          </w:p>
        </w:tc>
        <w:tc>
          <w:tcPr>
            <w:tcW w:w="0" w:type="auto"/>
            <w:tcBorders>
              <w:bottom w:val="single" w:color="000000" w:sz="8" w:space="0"/>
            </w:tcBorders>
            <w:tcMar>
              <w:top w:w="70" w:type="dxa"/>
              <w:left w:w="70" w:type="dxa"/>
              <w:bottom w:w="70" w:type="dxa"/>
              <w:right w:w="70" w:type="dxa"/>
            </w:tcMar>
            <w:vAlign w:val="center"/>
          </w:tcPr>
          <w:p w14:paraId="1B2B977A">
            <w:pPr>
              <w:spacing w:before="0" w:after="0" w:line="240" w:lineRule="auto"/>
              <w:ind w:firstLine="0"/>
              <w:jc w:val="center"/>
            </w:pPr>
            <w:r>
              <w:rPr>
                <w:rFonts w:ascii="Times New Roman" w:hAnsi="Times New Roman" w:eastAsia="宋体" w:cs="Times New Roman"/>
                <w:b w:val="0"/>
                <w:i w:val="0"/>
                <w:color w:val="000000"/>
                <w:sz w:val="19"/>
              </w:rPr>
              <w:t>两组均为0</w:t>
            </w:r>
          </w:p>
        </w:tc>
      </w:tr>
    </w:tbl>
    <w:p w14:paraId="3BA541E9">
      <w:pPr>
        <w:widowControl/>
        <w:spacing w:before="0" w:after="0" w:line="360" w:lineRule="auto"/>
        <w:ind w:firstLine="480"/>
        <w:jc w:val="both"/>
      </w:pPr>
    </w:p>
    <w:p w14:paraId="75F3B6CF">
      <w:pPr>
        <w:pStyle w:val="21"/>
        <w:widowControl/>
        <w:spacing w:before="0" w:after="80" w:line="240" w:lineRule="auto"/>
        <w:ind w:firstLine="0"/>
        <w:jc w:val="both"/>
      </w:pPr>
      <w:r>
        <w:rPr>
          <w:rFonts w:ascii="Times New Roman" w:hAnsi="Times New Roman" w:eastAsia="宋体" w:cs="Times New Roman"/>
          <w:b w:val="0"/>
          <w:i w:val="0"/>
          <w:color w:val="000000"/>
          <w:sz w:val="18"/>
        </w:rPr>
        <w:t>注：三机全局位置跟踪RMSE衡量三架无人机对位置指令的总体跟踪误差；相对队形RMSE衡量两架跟随机相对领机的队形误差。参考修正能量为安全修正前后位置参考之差的平方时间积分；0/0表示未出现求解不可行或输出保持。</w:t>
      </w:r>
    </w:p>
    <w:p w14:paraId="2A813D09">
      <w:pPr>
        <w:widowControl/>
        <w:spacing w:before="0" w:after="0" w:line="360" w:lineRule="auto"/>
        <w:ind w:firstLine="480"/>
        <w:jc w:val="both"/>
      </w:pPr>
      <w:r>
        <w:rPr>
          <w:rFonts w:ascii="Times New Roman" w:hAnsi="Times New Roman" w:eastAsia="宋体" w:cs="Times New Roman"/>
          <w:b w:val="0"/>
          <w:i w:val="0"/>
          <w:color w:val="000000"/>
          <w:sz w:val="24"/>
        </w:rPr>
        <w:t>PP-CBF关闭时，最小两机中心间距为0.3832 m，风险暴露时间为2.04 s。开启后，最小间距提高到0.6113 m，增加0.2282 m，风险暴露时间降为0.00 s。图7-2(b)直观显示，上层安全监督消除了交汇窗口内持续累积的近距离风险。</w:t>
      </w:r>
    </w:p>
    <w:p w14:paraId="45988AC5">
      <w:pPr>
        <w:widowControl/>
        <w:spacing w:before="0" w:after="0" w:line="360" w:lineRule="auto"/>
        <w:ind w:firstLine="480"/>
        <w:jc w:val="both"/>
      </w:pPr>
      <w:r>
        <w:rPr>
          <w:rFonts w:ascii="Times New Roman" w:hAnsi="Times New Roman" w:eastAsia="宋体" w:cs="Times New Roman"/>
          <w:b w:val="0"/>
          <w:i w:val="0"/>
          <w:color w:val="000000"/>
          <w:sz w:val="24"/>
        </w:rPr>
        <w:t>安全收益伴随可量化的任务代价：三机全局位置跟踪RMSE由0.0672 m增至0.0833 m，增幅为23.95%；相对队形RMSE由0.0825 m增至0.2477 m。PP-CBF仅在7.02%的采样时刻介入，说明额外偏差集中在风险规避阶段。</w:t>
      </w:r>
    </w:p>
    <w:p w14:paraId="21E479DF">
      <w:pPr>
        <w:widowControl/>
        <w:spacing w:before="0" w:after="0" w:line="360" w:lineRule="auto"/>
        <w:ind w:firstLine="480"/>
        <w:jc w:val="both"/>
      </w:pPr>
      <w:r>
        <w:rPr>
          <w:rFonts w:ascii="Times New Roman" w:hAnsi="Times New Roman" w:eastAsia="宋体" w:cs="Times New Roman"/>
          <w:b w:val="0"/>
          <w:i w:val="0"/>
          <w:color w:val="000000"/>
          <w:sz w:val="24"/>
        </w:rPr>
        <w:t>开启PP-CBF时，参考修正能量为7.1630 m²·s，参考修正峰值为0.6288 m，最大投影修正为0.4039 m/s²。仿真期间求解不可行与输出保持次数均为0。附图E-1进一步给出参考修正、投影修正和介入状态随时间的对应关系。</w:t>
      </w:r>
    </w:p>
    <w:p w14:paraId="6DFE0638">
      <w:pPr>
        <w:pStyle w:val="3"/>
        <w:keepNext/>
        <w:widowControl/>
        <w:spacing w:before="200" w:after="80"/>
        <w:ind w:firstLine="0"/>
        <w:jc w:val="left"/>
      </w:pPr>
      <w:bookmarkStart w:id="38" w:name="_Toc1524"/>
      <w:r>
        <w:rPr>
          <w:rFonts w:ascii="Times New Roman" w:hAnsi="Times New Roman" w:eastAsia="黑体" w:cs="Times New Roman"/>
          <w:b/>
          <w:i w:val="0"/>
          <w:color w:val="000000"/>
          <w:sz w:val="26"/>
        </w:rPr>
        <w:t>7.3 结果归纳与适用范围</w:t>
      </w:r>
      <w:bookmarkEnd w:id="38"/>
    </w:p>
    <w:p w14:paraId="75029BAB">
      <w:pPr>
        <w:widowControl/>
        <w:spacing w:before="0" w:after="0" w:line="360" w:lineRule="auto"/>
        <w:ind w:firstLine="480"/>
        <w:jc w:val="both"/>
      </w:pPr>
      <w:r>
        <w:rPr>
          <w:rFonts w:ascii="Times New Roman" w:hAnsi="Times New Roman" w:eastAsia="宋体" w:cs="Times New Roman"/>
          <w:b w:val="0"/>
          <w:i w:val="0"/>
          <w:color w:val="000000"/>
          <w:sz w:val="24"/>
        </w:rPr>
        <w:t>表7-2汇总三机协同跟踪、安全监督关闭与开启结果，以及安全保护带来的跟踪变化。队形跟踪能力与PP-CBF的作用分别列出，便于直接比较。</w:t>
      </w:r>
    </w:p>
    <w:p w14:paraId="4A88F355">
      <w:pPr>
        <w:pStyle w:val="4"/>
        <w:keepNext/>
        <w:keepLines/>
        <w:widowControl/>
        <w:spacing w:before="40" w:after="40" w:line="240" w:lineRule="auto"/>
        <w:ind w:firstLine="0"/>
        <w:jc w:val="center"/>
      </w:pPr>
      <w:r>
        <w:rPr>
          <w:rFonts w:ascii="Times New Roman" w:hAnsi="Times New Roman" w:eastAsia="宋体" w:cs="Times New Roman"/>
          <w:b/>
          <w:i w:val="0"/>
          <w:color w:val="000000"/>
          <w:sz w:val="21"/>
        </w:rPr>
        <w:t>表7-2 三机协同与安全监督结果归纳</w:t>
      </w:r>
    </w:p>
    <w:tbl>
      <w:tblPr>
        <w:tblStyle w:val="11"/>
        <w:tblW w:w="0" w:type="auto"/>
        <w:jc w:val="center"/>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445"/>
        <w:gridCol w:w="2297"/>
        <w:gridCol w:w="3208"/>
        <w:gridCol w:w="2261"/>
      </w:tblGrid>
      <w:tr w14:paraId="184B59C3">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blHeader/>
          <w:jc w:val="center"/>
        </w:trPr>
        <w:tc>
          <w:tcPr>
            <w:tcW w:w="0" w:type="auto"/>
            <w:tcBorders>
              <w:bottom w:val="single" w:color="000000" w:sz="4" w:space="0"/>
            </w:tcBorders>
            <w:tcMar>
              <w:top w:w="70" w:type="dxa"/>
              <w:left w:w="70" w:type="dxa"/>
              <w:bottom w:w="70" w:type="dxa"/>
              <w:right w:w="70" w:type="dxa"/>
            </w:tcMar>
            <w:vAlign w:val="center"/>
          </w:tcPr>
          <w:p w14:paraId="5E3490E6">
            <w:pPr>
              <w:spacing w:before="0" w:after="0" w:line="240" w:lineRule="auto"/>
              <w:ind w:firstLine="0"/>
              <w:jc w:val="center"/>
            </w:pPr>
            <w:r>
              <w:rPr>
                <w:rFonts w:ascii="Times New Roman" w:hAnsi="Times New Roman" w:eastAsia="宋体" w:cs="Times New Roman"/>
                <w:b/>
                <w:i w:val="0"/>
                <w:color w:val="000000"/>
                <w:sz w:val="19"/>
              </w:rPr>
              <w:t>评价内容</w:t>
            </w:r>
          </w:p>
        </w:tc>
        <w:tc>
          <w:tcPr>
            <w:tcW w:w="0" w:type="auto"/>
            <w:tcBorders>
              <w:bottom w:val="single" w:color="000000" w:sz="4" w:space="0"/>
            </w:tcBorders>
            <w:tcMar>
              <w:top w:w="70" w:type="dxa"/>
              <w:left w:w="70" w:type="dxa"/>
              <w:bottom w:w="70" w:type="dxa"/>
              <w:right w:w="70" w:type="dxa"/>
            </w:tcMar>
            <w:vAlign w:val="center"/>
          </w:tcPr>
          <w:p w14:paraId="26C8D6E4">
            <w:pPr>
              <w:spacing w:before="0" w:after="0" w:line="240" w:lineRule="auto"/>
              <w:ind w:firstLine="0"/>
              <w:jc w:val="center"/>
            </w:pPr>
            <w:r>
              <w:rPr>
                <w:rFonts w:ascii="Times New Roman" w:hAnsi="Times New Roman" w:eastAsia="宋体" w:cs="Times New Roman"/>
                <w:b/>
                <w:i w:val="0"/>
                <w:color w:val="000000"/>
                <w:sz w:val="19"/>
              </w:rPr>
              <w:t>控制配置</w:t>
            </w:r>
          </w:p>
        </w:tc>
        <w:tc>
          <w:tcPr>
            <w:tcW w:w="0" w:type="auto"/>
            <w:tcBorders>
              <w:bottom w:val="single" w:color="000000" w:sz="4" w:space="0"/>
            </w:tcBorders>
            <w:tcMar>
              <w:top w:w="70" w:type="dxa"/>
              <w:left w:w="70" w:type="dxa"/>
              <w:bottom w:w="70" w:type="dxa"/>
              <w:right w:w="70" w:type="dxa"/>
            </w:tcMar>
            <w:vAlign w:val="center"/>
          </w:tcPr>
          <w:p w14:paraId="42D7E0F1">
            <w:pPr>
              <w:spacing w:before="0" w:after="0" w:line="240" w:lineRule="auto"/>
              <w:ind w:firstLine="0"/>
              <w:jc w:val="center"/>
            </w:pPr>
            <w:r>
              <w:rPr>
                <w:rFonts w:ascii="Times New Roman" w:hAnsi="Times New Roman" w:eastAsia="宋体" w:cs="Times New Roman"/>
                <w:b/>
                <w:i w:val="0"/>
                <w:color w:val="000000"/>
                <w:sz w:val="19"/>
              </w:rPr>
              <w:t>主要结果</w:t>
            </w:r>
          </w:p>
        </w:tc>
        <w:tc>
          <w:tcPr>
            <w:tcW w:w="0" w:type="auto"/>
            <w:tcBorders>
              <w:bottom w:val="single" w:color="000000" w:sz="4" w:space="0"/>
            </w:tcBorders>
            <w:tcMar>
              <w:top w:w="70" w:type="dxa"/>
              <w:left w:w="70" w:type="dxa"/>
              <w:bottom w:w="70" w:type="dxa"/>
              <w:right w:w="70" w:type="dxa"/>
            </w:tcMar>
            <w:vAlign w:val="center"/>
          </w:tcPr>
          <w:p w14:paraId="42FFE71A">
            <w:pPr>
              <w:spacing w:before="0" w:after="0" w:line="240" w:lineRule="auto"/>
              <w:ind w:firstLine="0"/>
              <w:jc w:val="center"/>
            </w:pPr>
            <w:r>
              <w:rPr>
                <w:rFonts w:ascii="Times New Roman" w:hAnsi="Times New Roman" w:eastAsia="宋体" w:cs="Times New Roman"/>
                <w:b/>
                <w:i w:val="0"/>
                <w:color w:val="000000"/>
                <w:sz w:val="19"/>
              </w:rPr>
              <w:t>结果说明</w:t>
            </w:r>
          </w:p>
        </w:tc>
      </w:tr>
      <w:tr w14:paraId="13882D74">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0" w:type="auto"/>
            <w:tcMar>
              <w:top w:w="70" w:type="dxa"/>
              <w:left w:w="70" w:type="dxa"/>
              <w:bottom w:w="70" w:type="dxa"/>
              <w:right w:w="70" w:type="dxa"/>
            </w:tcMar>
            <w:vAlign w:val="center"/>
          </w:tcPr>
          <w:p w14:paraId="68933294">
            <w:pPr>
              <w:spacing w:before="0" w:after="0" w:line="240" w:lineRule="auto"/>
              <w:ind w:firstLine="0"/>
              <w:jc w:val="center"/>
            </w:pPr>
            <w:r>
              <w:rPr>
                <w:rFonts w:ascii="Times New Roman" w:hAnsi="Times New Roman" w:eastAsia="宋体" w:cs="Times New Roman"/>
                <w:b w:val="0"/>
                <w:i w:val="0"/>
                <w:color w:val="000000"/>
                <w:sz w:val="19"/>
              </w:rPr>
              <w:t>编队跟踪与队形变换</w:t>
            </w:r>
          </w:p>
        </w:tc>
        <w:tc>
          <w:tcPr>
            <w:tcW w:w="0" w:type="auto"/>
            <w:tcMar>
              <w:top w:w="70" w:type="dxa"/>
              <w:left w:w="70" w:type="dxa"/>
              <w:bottom w:w="70" w:type="dxa"/>
              <w:right w:w="70" w:type="dxa"/>
            </w:tcMar>
            <w:vAlign w:val="center"/>
          </w:tcPr>
          <w:p w14:paraId="1EA19040">
            <w:pPr>
              <w:spacing w:before="0" w:after="0" w:line="240" w:lineRule="auto"/>
              <w:ind w:firstLine="0"/>
              <w:jc w:val="center"/>
            </w:pPr>
            <w:r>
              <w:rPr>
                <w:rFonts w:ascii="Times New Roman" w:hAnsi="Times New Roman" w:eastAsia="宋体" w:cs="Times New Roman"/>
                <w:b w:val="0"/>
                <w:i w:val="0"/>
                <w:color w:val="000000"/>
                <w:sz w:val="19"/>
              </w:rPr>
              <w:t>三机均使用RA-GCA-CGHTE</w:t>
            </w:r>
          </w:p>
        </w:tc>
        <w:tc>
          <w:tcPr>
            <w:tcW w:w="0" w:type="auto"/>
            <w:tcMar>
              <w:top w:w="70" w:type="dxa"/>
              <w:left w:w="70" w:type="dxa"/>
              <w:bottom w:w="70" w:type="dxa"/>
              <w:right w:w="70" w:type="dxa"/>
            </w:tcMar>
            <w:vAlign w:val="center"/>
          </w:tcPr>
          <w:p w14:paraId="38C4851C">
            <w:pPr>
              <w:spacing w:before="0" w:after="0" w:line="240" w:lineRule="auto"/>
              <w:ind w:firstLine="0"/>
              <w:jc w:val="center"/>
            </w:pPr>
            <w:r>
              <w:rPr>
                <w:rFonts w:ascii="Times New Roman" w:hAnsi="Times New Roman" w:eastAsia="宋体" w:cs="Times New Roman"/>
                <w:b w:val="0"/>
                <w:i w:val="0"/>
                <w:color w:val="000000"/>
                <w:sz w:val="19"/>
              </w:rPr>
              <w:t>队形RMSE 0.0383 m；全局跟踪RMSE 0.0287 m</w:t>
            </w:r>
          </w:p>
        </w:tc>
        <w:tc>
          <w:tcPr>
            <w:tcW w:w="0" w:type="auto"/>
            <w:tcMar>
              <w:top w:w="70" w:type="dxa"/>
              <w:left w:w="70" w:type="dxa"/>
              <w:bottom w:w="70" w:type="dxa"/>
              <w:right w:w="70" w:type="dxa"/>
            </w:tcMar>
            <w:vAlign w:val="center"/>
          </w:tcPr>
          <w:p w14:paraId="7430367E">
            <w:pPr>
              <w:spacing w:before="0" w:after="0" w:line="240" w:lineRule="auto"/>
              <w:ind w:firstLine="0"/>
              <w:jc w:val="center"/>
            </w:pPr>
            <w:r>
              <w:rPr>
                <w:rFonts w:ascii="Times New Roman" w:hAnsi="Times New Roman" w:eastAsia="宋体" w:cs="Times New Roman"/>
                <w:b w:val="0"/>
                <w:i w:val="0"/>
                <w:color w:val="000000"/>
                <w:sz w:val="19"/>
              </w:rPr>
              <w:t>三机完成轨迹跟踪和队形变换</w:t>
            </w:r>
          </w:p>
        </w:tc>
      </w:tr>
      <w:tr w14:paraId="3E9B326B">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0" w:type="auto"/>
            <w:tcMar>
              <w:top w:w="70" w:type="dxa"/>
              <w:left w:w="70" w:type="dxa"/>
              <w:bottom w:w="70" w:type="dxa"/>
              <w:right w:w="70" w:type="dxa"/>
            </w:tcMar>
            <w:vAlign w:val="center"/>
          </w:tcPr>
          <w:p w14:paraId="6933A22A">
            <w:pPr>
              <w:spacing w:before="0" w:after="0" w:line="240" w:lineRule="auto"/>
              <w:ind w:firstLine="0"/>
              <w:jc w:val="center"/>
            </w:pPr>
            <w:r>
              <w:rPr>
                <w:rFonts w:ascii="Times New Roman" w:hAnsi="Times New Roman" w:eastAsia="宋体" w:cs="Times New Roman"/>
                <w:b w:val="0"/>
                <w:i w:val="0"/>
                <w:color w:val="000000"/>
                <w:sz w:val="19"/>
              </w:rPr>
              <w:t>安全监督关闭</w:t>
            </w:r>
          </w:p>
        </w:tc>
        <w:tc>
          <w:tcPr>
            <w:tcW w:w="0" w:type="auto"/>
            <w:tcMar>
              <w:top w:w="70" w:type="dxa"/>
              <w:left w:w="70" w:type="dxa"/>
              <w:bottom w:w="70" w:type="dxa"/>
              <w:right w:w="70" w:type="dxa"/>
            </w:tcMar>
            <w:vAlign w:val="center"/>
          </w:tcPr>
          <w:p w14:paraId="40C79CF6">
            <w:pPr>
              <w:spacing w:before="0" w:after="0" w:line="240" w:lineRule="auto"/>
              <w:ind w:firstLine="0"/>
              <w:jc w:val="center"/>
            </w:pPr>
            <w:r>
              <w:rPr>
                <w:rFonts w:ascii="Times New Roman" w:hAnsi="Times New Roman" w:eastAsia="宋体" w:cs="Times New Roman"/>
                <w:b w:val="0"/>
                <w:i w:val="0"/>
                <w:color w:val="000000"/>
                <w:sz w:val="19"/>
              </w:rPr>
              <w:t>PP-CBF关闭</w:t>
            </w:r>
          </w:p>
        </w:tc>
        <w:tc>
          <w:tcPr>
            <w:tcW w:w="0" w:type="auto"/>
            <w:tcMar>
              <w:top w:w="70" w:type="dxa"/>
              <w:left w:w="70" w:type="dxa"/>
              <w:bottom w:w="70" w:type="dxa"/>
              <w:right w:w="70" w:type="dxa"/>
            </w:tcMar>
            <w:vAlign w:val="center"/>
          </w:tcPr>
          <w:p w14:paraId="18B807D4">
            <w:pPr>
              <w:spacing w:before="0" w:after="0" w:line="240" w:lineRule="auto"/>
              <w:ind w:firstLine="0"/>
              <w:jc w:val="center"/>
            </w:pPr>
            <w:r>
              <w:rPr>
                <w:rFonts w:ascii="Times New Roman" w:hAnsi="Times New Roman" w:eastAsia="宋体" w:cs="Times New Roman"/>
                <w:b w:val="0"/>
                <w:i w:val="0"/>
                <w:color w:val="000000"/>
                <w:sz w:val="19"/>
              </w:rPr>
              <w:t>最小间距0.3832 m；风险暴露2.04 s</w:t>
            </w:r>
          </w:p>
        </w:tc>
        <w:tc>
          <w:tcPr>
            <w:tcW w:w="0" w:type="auto"/>
            <w:tcMar>
              <w:top w:w="70" w:type="dxa"/>
              <w:left w:w="70" w:type="dxa"/>
              <w:bottom w:w="70" w:type="dxa"/>
              <w:right w:w="70" w:type="dxa"/>
            </w:tcMar>
            <w:vAlign w:val="center"/>
          </w:tcPr>
          <w:p w14:paraId="3CCA2452">
            <w:pPr>
              <w:spacing w:before="0" w:after="0" w:line="240" w:lineRule="auto"/>
              <w:ind w:firstLine="0"/>
              <w:jc w:val="center"/>
            </w:pPr>
            <w:r>
              <w:rPr>
                <w:rFonts w:ascii="Times New Roman" w:hAnsi="Times New Roman" w:eastAsia="宋体" w:cs="Times New Roman"/>
                <w:b w:val="0"/>
                <w:i w:val="0"/>
                <w:color w:val="000000"/>
                <w:sz w:val="19"/>
              </w:rPr>
              <w:t>用于与开启安全监督的结果比较</w:t>
            </w:r>
          </w:p>
        </w:tc>
      </w:tr>
      <w:tr w14:paraId="29CF0C8F">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0" w:type="auto"/>
            <w:tcMar>
              <w:top w:w="70" w:type="dxa"/>
              <w:left w:w="70" w:type="dxa"/>
              <w:bottom w:w="70" w:type="dxa"/>
              <w:right w:w="70" w:type="dxa"/>
            </w:tcMar>
            <w:vAlign w:val="center"/>
          </w:tcPr>
          <w:p w14:paraId="07800080">
            <w:pPr>
              <w:spacing w:before="0" w:after="0" w:line="240" w:lineRule="auto"/>
              <w:ind w:firstLine="0"/>
              <w:jc w:val="center"/>
            </w:pPr>
            <w:r>
              <w:rPr>
                <w:rFonts w:ascii="Times New Roman" w:hAnsi="Times New Roman" w:eastAsia="宋体" w:cs="Times New Roman"/>
                <w:b w:val="0"/>
                <w:i w:val="0"/>
                <w:color w:val="000000"/>
                <w:sz w:val="19"/>
              </w:rPr>
              <w:t>安全监督开启</w:t>
            </w:r>
          </w:p>
        </w:tc>
        <w:tc>
          <w:tcPr>
            <w:tcW w:w="0" w:type="auto"/>
            <w:tcMar>
              <w:top w:w="70" w:type="dxa"/>
              <w:left w:w="70" w:type="dxa"/>
              <w:bottom w:w="70" w:type="dxa"/>
              <w:right w:w="70" w:type="dxa"/>
            </w:tcMar>
            <w:vAlign w:val="center"/>
          </w:tcPr>
          <w:p w14:paraId="538504C7">
            <w:pPr>
              <w:spacing w:before="0" w:after="0" w:line="240" w:lineRule="auto"/>
              <w:ind w:firstLine="0"/>
              <w:jc w:val="center"/>
            </w:pPr>
            <w:r>
              <w:rPr>
                <w:rFonts w:ascii="Times New Roman" w:hAnsi="Times New Roman" w:eastAsia="宋体" w:cs="Times New Roman"/>
                <w:b w:val="0"/>
                <w:i w:val="0"/>
                <w:color w:val="000000"/>
                <w:sz w:val="19"/>
              </w:rPr>
              <w:t>PP-CBF开启</w:t>
            </w:r>
          </w:p>
        </w:tc>
        <w:tc>
          <w:tcPr>
            <w:tcW w:w="0" w:type="auto"/>
            <w:tcMar>
              <w:top w:w="70" w:type="dxa"/>
              <w:left w:w="70" w:type="dxa"/>
              <w:bottom w:w="70" w:type="dxa"/>
              <w:right w:w="70" w:type="dxa"/>
            </w:tcMar>
            <w:vAlign w:val="center"/>
          </w:tcPr>
          <w:p w14:paraId="0E2BD20E">
            <w:pPr>
              <w:spacing w:before="0" w:after="0" w:line="240" w:lineRule="auto"/>
              <w:ind w:firstLine="0"/>
              <w:jc w:val="center"/>
            </w:pPr>
            <w:r>
              <w:rPr>
                <w:rFonts w:ascii="Times New Roman" w:hAnsi="Times New Roman" w:eastAsia="宋体" w:cs="Times New Roman"/>
                <w:b w:val="0"/>
                <w:i w:val="0"/>
                <w:color w:val="000000"/>
                <w:sz w:val="19"/>
              </w:rPr>
              <w:t>最小间距0.6113 m；风险暴露0 s</w:t>
            </w:r>
          </w:p>
        </w:tc>
        <w:tc>
          <w:tcPr>
            <w:tcW w:w="0" w:type="auto"/>
            <w:tcMar>
              <w:top w:w="70" w:type="dxa"/>
              <w:left w:w="70" w:type="dxa"/>
              <w:bottom w:w="70" w:type="dxa"/>
              <w:right w:w="70" w:type="dxa"/>
            </w:tcMar>
            <w:vAlign w:val="center"/>
          </w:tcPr>
          <w:p w14:paraId="02FB0E09">
            <w:pPr>
              <w:spacing w:before="0" w:after="0" w:line="240" w:lineRule="auto"/>
              <w:ind w:firstLine="0"/>
              <w:jc w:val="center"/>
            </w:pPr>
            <w:r>
              <w:rPr>
                <w:rFonts w:ascii="Times New Roman" w:hAnsi="Times New Roman" w:eastAsia="宋体" w:cs="Times New Roman"/>
                <w:b w:val="0"/>
                <w:i w:val="0"/>
                <w:color w:val="000000"/>
                <w:sz w:val="19"/>
              </w:rPr>
              <w:t>PP-CBF降低近距离交汇风险</w:t>
            </w:r>
          </w:p>
        </w:tc>
      </w:tr>
      <w:tr w14:paraId="79D3042A">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0" w:type="auto"/>
            <w:tcBorders>
              <w:bottom w:val="single" w:color="000000" w:sz="8" w:space="0"/>
            </w:tcBorders>
            <w:tcMar>
              <w:top w:w="70" w:type="dxa"/>
              <w:left w:w="70" w:type="dxa"/>
              <w:bottom w:w="70" w:type="dxa"/>
              <w:right w:w="70" w:type="dxa"/>
            </w:tcMar>
            <w:vAlign w:val="center"/>
          </w:tcPr>
          <w:p w14:paraId="5D5A699A">
            <w:pPr>
              <w:spacing w:before="0" w:after="0" w:line="240" w:lineRule="auto"/>
              <w:ind w:firstLine="0"/>
              <w:jc w:val="center"/>
            </w:pPr>
            <w:r>
              <w:rPr>
                <w:rFonts w:ascii="Times New Roman" w:hAnsi="Times New Roman" w:eastAsia="宋体" w:cs="Times New Roman"/>
                <w:b w:val="0"/>
                <w:i w:val="0"/>
                <w:color w:val="000000"/>
                <w:sz w:val="19"/>
              </w:rPr>
              <w:t>跟踪与队形误差变化</w:t>
            </w:r>
          </w:p>
        </w:tc>
        <w:tc>
          <w:tcPr>
            <w:tcW w:w="0" w:type="auto"/>
            <w:tcBorders>
              <w:bottom w:val="single" w:color="000000" w:sz="8" w:space="0"/>
            </w:tcBorders>
            <w:tcMar>
              <w:top w:w="70" w:type="dxa"/>
              <w:left w:w="70" w:type="dxa"/>
              <w:bottom w:w="70" w:type="dxa"/>
              <w:right w:w="70" w:type="dxa"/>
            </w:tcMar>
            <w:vAlign w:val="center"/>
          </w:tcPr>
          <w:p w14:paraId="47CBA6F8">
            <w:pPr>
              <w:spacing w:before="0" w:after="0" w:line="240" w:lineRule="auto"/>
              <w:ind w:firstLine="0"/>
              <w:jc w:val="center"/>
            </w:pPr>
            <w:r>
              <w:rPr>
                <w:rFonts w:ascii="Times New Roman" w:hAnsi="Times New Roman" w:eastAsia="宋体" w:cs="Times New Roman"/>
                <w:b w:val="0"/>
                <w:i w:val="0"/>
                <w:color w:val="000000"/>
                <w:sz w:val="19"/>
              </w:rPr>
              <w:t>PP-CBF开启</w:t>
            </w:r>
          </w:p>
        </w:tc>
        <w:tc>
          <w:tcPr>
            <w:tcW w:w="0" w:type="auto"/>
            <w:tcBorders>
              <w:bottom w:val="single" w:color="000000" w:sz="8" w:space="0"/>
            </w:tcBorders>
            <w:tcMar>
              <w:top w:w="70" w:type="dxa"/>
              <w:left w:w="70" w:type="dxa"/>
              <w:bottom w:w="70" w:type="dxa"/>
              <w:right w:w="70" w:type="dxa"/>
            </w:tcMar>
            <w:vAlign w:val="center"/>
          </w:tcPr>
          <w:p w14:paraId="69FB59F1">
            <w:pPr>
              <w:spacing w:before="0" w:after="0" w:line="240" w:lineRule="auto"/>
              <w:ind w:firstLine="0"/>
              <w:jc w:val="center"/>
            </w:pPr>
            <w:r>
              <w:rPr>
                <w:rFonts w:ascii="Times New Roman" w:hAnsi="Times New Roman" w:eastAsia="宋体" w:cs="Times New Roman"/>
                <w:b w:val="0"/>
                <w:i w:val="0"/>
                <w:color w:val="000000"/>
                <w:sz w:val="19"/>
              </w:rPr>
              <w:t>全局跟踪RMSE 0.0833 m；求解不可行0次</w:t>
            </w:r>
          </w:p>
        </w:tc>
        <w:tc>
          <w:tcPr>
            <w:tcW w:w="0" w:type="auto"/>
            <w:tcBorders>
              <w:bottom w:val="single" w:color="000000" w:sz="8" w:space="0"/>
            </w:tcBorders>
            <w:tcMar>
              <w:top w:w="70" w:type="dxa"/>
              <w:left w:w="70" w:type="dxa"/>
              <w:bottom w:w="70" w:type="dxa"/>
              <w:right w:w="70" w:type="dxa"/>
            </w:tcMar>
            <w:vAlign w:val="center"/>
          </w:tcPr>
          <w:p w14:paraId="22DE7538">
            <w:pPr>
              <w:spacing w:before="0" w:after="0" w:line="240" w:lineRule="auto"/>
              <w:ind w:firstLine="0"/>
              <w:jc w:val="center"/>
            </w:pPr>
            <w:r>
              <w:rPr>
                <w:rFonts w:ascii="Times New Roman" w:hAnsi="Times New Roman" w:eastAsia="宋体" w:cs="Times New Roman"/>
                <w:b w:val="0"/>
                <w:i w:val="0"/>
                <w:color w:val="000000"/>
                <w:sz w:val="19"/>
              </w:rPr>
              <w:t>避让阶段的跟踪与队形误差增大</w:t>
            </w:r>
          </w:p>
        </w:tc>
      </w:tr>
    </w:tbl>
    <w:p w14:paraId="72F60756">
      <w:pPr>
        <w:widowControl/>
        <w:spacing w:before="0" w:after="0" w:line="360" w:lineRule="auto"/>
        <w:ind w:firstLine="480"/>
        <w:jc w:val="both"/>
      </w:pPr>
    </w:p>
    <w:p w14:paraId="55AF897F">
      <w:pPr>
        <w:pStyle w:val="21"/>
        <w:widowControl/>
        <w:spacing w:before="0" w:after="80" w:line="240" w:lineRule="auto"/>
        <w:ind w:firstLine="0"/>
        <w:jc w:val="both"/>
      </w:pPr>
      <w:r>
        <w:rPr>
          <w:rFonts w:ascii="Times New Roman" w:hAnsi="Times New Roman" w:eastAsia="宋体" w:cs="Times New Roman"/>
          <w:b w:val="0"/>
          <w:i w:val="0"/>
          <w:color w:val="000000"/>
          <w:sz w:val="18"/>
        </w:rPr>
        <w:t>注：本章结果适用于三架无人机的固定编队关系、同步仿真、给定参考轨迹、受测初值和本文设定的安全距离。</w:t>
      </w:r>
    </w:p>
    <w:p w14:paraId="100C1CE9">
      <w:pPr>
        <w:widowControl/>
        <w:spacing w:before="0" w:after="0" w:line="360" w:lineRule="auto"/>
        <w:ind w:firstLine="480"/>
        <w:jc w:val="both"/>
      </w:pPr>
      <w:r>
        <w:rPr>
          <w:rFonts w:ascii="Times New Roman" w:hAnsi="Times New Roman" w:eastAsia="宋体" w:cs="Times New Roman"/>
          <w:b w:val="0"/>
          <w:i w:val="0"/>
          <w:color w:val="000000"/>
          <w:sz w:val="24"/>
        </w:rPr>
        <w:t>综合两项任务，RA-GCA-CGHTE为固定三机编队提供低层协同跟踪，PP-CBF在不更换低层控制器的条件下提供按需交汇保护。安全监督使最小间距由0.3832 m提高至0.6113 m，并将风险暴露时间由2.04 s降至0 s；对应的跟踪和队形代价已在表7-1中同步报告。</w:t>
      </w:r>
    </w:p>
    <w:p w14:paraId="7D294996">
      <w:pPr>
        <w:widowControl/>
        <w:spacing w:before="0" w:after="0" w:line="360" w:lineRule="auto"/>
        <w:ind w:firstLine="480"/>
        <w:jc w:val="both"/>
      </w:pPr>
    </w:p>
    <w:p w14:paraId="62E4F079">
      <w:pPr>
        <w:pStyle w:val="2"/>
      </w:pPr>
      <w:bookmarkStart w:id="39" w:name="_Toc8767"/>
      <w:r>
        <w:rPr>
          <w:rFonts w:ascii="Times New Roman" w:hAnsi="Times New Roman" w:eastAsia="黑体" w:cs="Times New Roman"/>
          <w:b/>
          <w:color w:val="000000"/>
          <w:sz w:val="32"/>
        </w:rPr>
        <w:t>第8章 讨论、结论与展望</w:t>
      </w:r>
      <w:bookmarkEnd w:id="39"/>
    </w:p>
    <w:p w14:paraId="4A1C69B5">
      <w:pPr>
        <w:spacing w:before="0" w:after="0" w:line="360" w:lineRule="auto"/>
        <w:ind w:firstLine="480"/>
        <w:jc w:val="both"/>
      </w:pPr>
      <w:r>
        <w:rPr>
          <w:rFonts w:ascii="Times New Roman" w:hAnsi="Times New Roman" w:eastAsia="宋体" w:cs="Times New Roman"/>
          <w:color w:val="000000"/>
          <w:sz w:val="24"/>
        </w:rPr>
        <w:t>本章综合单机跟踪、参数变化、外部扰动和三机编队结果，分析RA-GCA-CGHTE各组成部分的实际作用，并说明性能取舍与适用范围。讨论只使用前文已经给出的同条件结果，不以单一指标对五种控制方法作总体排名。</w:t>
      </w:r>
    </w:p>
    <w:p w14:paraId="6F87324A">
      <w:pPr>
        <w:pStyle w:val="3"/>
      </w:pPr>
      <w:bookmarkStart w:id="40" w:name="_Toc7612"/>
      <w:r>
        <w:rPr>
          <w:rFonts w:ascii="Times New Roman" w:hAnsi="Times New Roman" w:eastAsia="黑体" w:cs="Times New Roman"/>
          <w:b/>
          <w:color w:val="000000"/>
          <w:sz w:val="26"/>
        </w:rPr>
        <w:t>8.1 不同任务中的性能与方法作用</w:t>
      </w:r>
      <w:bookmarkEnd w:id="40"/>
    </w:p>
    <w:p w14:paraId="5AA90CFF">
      <w:pPr>
        <w:spacing w:before="0" w:after="0" w:line="360" w:lineRule="auto"/>
        <w:ind w:firstLine="480"/>
        <w:jc w:val="both"/>
      </w:pPr>
      <w:r>
        <w:rPr>
          <w:rFonts w:ascii="Times New Roman" w:hAnsi="Times New Roman" w:eastAsia="宋体" w:cs="Times New Roman"/>
          <w:color w:val="000000"/>
          <w:sz w:val="24"/>
        </w:rPr>
        <w:t>RA-GCA-CGHTE由位置控制、约化姿态控制、约束感知分配和CGHTE推力尺度估计共同组成。位置控制根据期望合力确定推力方向，约化姿态控制优先对准与平移运动直接相关的机体推力轴，控制分配再将总推力及滚转、俯仰力矩转换为四路电机指令。该结构与几何控制、倾斜优先控制和约束控制分配的一般思路一致（Lee et al., 2010; Brescianini &amp; D'Andrea, 2020; Johansen &amp; Fossen, 2013）。CGHTE在满足稳定飞行条件时修正推力尺度，用于减小载荷或升力效能变化造成的高度误差。</w:t>
      </w:r>
    </w:p>
    <w:p w14:paraId="1FB0AA4D">
      <w:pPr>
        <w:spacing w:before="0" w:after="0" w:line="360" w:lineRule="auto"/>
        <w:ind w:firstLine="480"/>
        <w:jc w:val="both"/>
      </w:pPr>
      <w:r>
        <w:rPr>
          <w:rFonts w:ascii="Times New Roman" w:hAnsi="Times New Roman" w:eastAsia="宋体" w:cs="Times New Roman"/>
          <w:color w:val="000000"/>
          <w:sz w:val="24"/>
        </w:rPr>
        <w:t>标准阶跃结果表明，PID在X、Y、Z三个方向的超调量分别为24.29%、24.28%和23.81%，RA-GCA-CGHTE对应为0、0和1.98%。由于PID阶跃数据没有与主算法一致的三维位置RMSE，本文只比较超调量，不计算阶跃RMSE改善率。在分段爬升、定点悬停、螺旋爬升和8字轨迹中，主算法相对PID的位置RMSE分别降低43.7%、91.2%、25.0%和70.0%。这些结果说明，推力方向控制与约化姿态调节能够兼顾静态保持、升降运动和连续曲线跟踪。</w:t>
      </w:r>
    </w:p>
    <w:p w14:paraId="0D822B2D">
      <w:pPr>
        <w:spacing w:before="0" w:after="0" w:line="360" w:lineRule="auto"/>
        <w:ind w:firstLine="480"/>
        <w:jc w:val="both"/>
      </w:pPr>
      <w:r>
        <w:rPr>
          <w:rFonts w:ascii="Times New Roman" w:hAnsi="Times New Roman" w:eastAsia="宋体" w:cs="Times New Roman"/>
          <w:color w:val="000000"/>
          <w:sz w:val="24"/>
        </w:rPr>
        <w:t>图8-1将三类结果分开展示。左图比较PID与主算法的三轴阶跃超调，中图比较PID、RA-GCA/Base和主算法在四个共同任务中的位置RMSE，右图同时报告PP-CBF带来的安全收益和任务代价。三类指标的物理含义不同，因此分别分析。</w:t>
      </w:r>
    </w:p>
    <w:p w14:paraId="2F63CED5">
      <w:pPr>
        <w:keepNext/>
        <w:spacing w:before="0" w:after="60"/>
        <w:ind w:firstLine="0"/>
        <w:jc w:val="center"/>
      </w:pPr>
      <w:r>
        <w:rPr>
          <w:rFonts w:ascii="Times New Roman" w:hAnsi="Times New Roman" w:eastAsia="宋体" w:cs="Times New Roman"/>
          <w:color w:val="000000"/>
        </w:rPr>
        <w:drawing>
          <wp:inline distT="0" distB="0" distL="114300" distR="114300">
            <wp:extent cx="5525770" cy="3105785"/>
            <wp:effectExtent l="0" t="0" r="17780" b="18415"/>
            <wp:docPr id="22" name="图8-1 不同任务中的主要结果与性能取舍" descr="三部分综合图：PID与主算法的阶跃超调、PID和Base及主算法的共同任务结果、PP-CBF安全收益与跟踪代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8-1 不同任务中的主要结果与性能取舍" descr="三部分综合图：PID与主算法的阶跃超调、PID和Base及主算法的共同任务结果、PP-CBF安全收益与跟踪代价"/>
                    <pic:cNvPicPr>
                      <a:picLocks noChangeAspect="1"/>
                    </pic:cNvPicPr>
                  </pic:nvPicPr>
                  <pic:blipFill>
                    <a:blip r:embed="rId33"/>
                    <a:stretch>
                      <a:fillRect/>
                    </a:stretch>
                  </pic:blipFill>
                  <pic:spPr>
                    <a:xfrm>
                      <a:off x="0" y="0"/>
                      <a:ext cx="5526000" cy="3106208"/>
                    </a:xfrm>
                    <a:prstGeom prst="rect">
                      <a:avLst/>
                    </a:prstGeom>
                  </pic:spPr>
                </pic:pic>
              </a:graphicData>
            </a:graphic>
          </wp:inline>
        </w:drawing>
      </w:r>
    </w:p>
    <w:p w14:paraId="57A423C5">
      <w:pPr>
        <w:pStyle w:val="4"/>
      </w:pPr>
      <w:r>
        <w:rPr>
          <w:rFonts w:ascii="Times New Roman" w:hAnsi="Times New Roman" w:eastAsia="宋体" w:cs="Times New Roman"/>
          <w:b/>
          <w:color w:val="000000"/>
          <w:sz w:val="21"/>
        </w:rPr>
        <w:t>图8-1 不同任务中的主要结果与性能取舍</w:t>
      </w:r>
    </w:p>
    <w:p w14:paraId="002B27FB">
      <w:pPr>
        <w:pStyle w:val="21"/>
      </w:pPr>
      <w:r>
        <w:rPr>
          <w:rFonts w:ascii="Times New Roman" w:hAnsi="Times New Roman" w:eastAsia="宋体" w:cs="Times New Roman"/>
          <w:color w:val="000000"/>
          <w:sz w:val="18"/>
        </w:rPr>
        <w:t>注：(a)比较PID与主算法的三轴阶跃超调；(b)比较PID、RA-GCA/Base和主算法的四个共同任务；(c)中的0.60 m为本文采用的评价距离。</w:t>
      </w:r>
    </w:p>
    <w:p w14:paraId="5FAEFB8C">
      <w:pPr>
        <w:spacing w:before="0" w:after="0" w:line="360" w:lineRule="auto"/>
        <w:ind w:firstLine="480"/>
        <w:jc w:val="both"/>
      </w:pPr>
      <w:r>
        <w:rPr>
          <w:rFonts w:ascii="Times New Roman" w:hAnsi="Times New Roman" w:eastAsia="宋体" w:cs="Times New Roman"/>
          <w:color w:val="000000"/>
          <w:sz w:val="24"/>
        </w:rPr>
        <w:t>四个共同任务提供了主算法与PID、RA-GCA/Base的统一比较。在分段爬升、定点悬停、8字轨迹和三事件外扰中，主算法相对RA-GCA/Base的位置RMSE分别降低4.7%、2.3%、6.1%和15.3%；相对PID分别降低43.7%、91.2%、70.0%和3.9%。这些结果只对应四个共同任务，不用于推断缺少同组数据的参数、风扰和传感器场景。</w:t>
      </w:r>
    </w:p>
    <w:p w14:paraId="18DDF5CB">
      <w:pPr>
        <w:spacing w:before="0" w:after="0" w:line="360" w:lineRule="auto"/>
        <w:ind w:firstLine="480"/>
        <w:jc w:val="both"/>
      </w:pPr>
      <w:r>
        <w:rPr>
          <w:rFonts w:ascii="Times New Roman" w:hAnsi="Times New Roman" w:eastAsia="宋体" w:cs="Times New Roman"/>
          <w:color w:val="000000"/>
          <w:sz w:val="24"/>
        </w:rPr>
        <w:t>主算法在11项参数设置中的位置RMSE为0.01469 m至0.03368 m，其中升力降低10%时为0.02251 m，载荷增加10%时为0.02152 m。CGHTE用于在稳定飞行条件下修正推力尺度，上述绝对结果表明集成后的主算法在受测载荷和升力效能变化下保持了较小的跟踪误差。由于PID和RA-GCA/Base没有同组11项参数结果，本章不计算参数场景的横向改善率。</w:t>
      </w:r>
    </w:p>
    <w:p w14:paraId="7012B87B">
      <w:pPr>
        <w:spacing w:before="0" w:after="0" w:line="360" w:lineRule="auto"/>
        <w:ind w:firstLine="480"/>
        <w:jc w:val="both"/>
      </w:pPr>
      <w:r>
        <w:rPr>
          <w:rFonts w:ascii="Times New Roman" w:hAnsi="Times New Roman" w:eastAsia="宋体" w:cs="Times New Roman"/>
          <w:color w:val="000000"/>
          <w:sz w:val="24"/>
        </w:rPr>
        <w:t>五种控制对象在共同任务中的结果显示，各方法的优势随任务变化。三事件外扰中，CP-INDI的位置RMSE为0.06212 m，低于RA-GCA-CGHTE的0.29490 m，说明增量动态逆在该突发扰动设置下具有明显优势（Smeur et al., 2016）。主算法在标准跟踪、参数变化和统一工程实现方面表现较均衡，但这一结果不能替代分场景比较。</w:t>
      </w:r>
    </w:p>
    <w:p w14:paraId="1CD780F4">
      <w:pPr>
        <w:spacing w:before="0" w:after="0" w:line="360" w:lineRule="auto"/>
        <w:ind w:firstLine="480"/>
        <w:jc w:val="both"/>
      </w:pPr>
      <w:r>
        <w:rPr>
          <w:rFonts w:ascii="Times New Roman" w:hAnsi="Times New Roman" w:eastAsia="宋体" w:cs="Times New Roman"/>
          <w:color w:val="000000"/>
          <w:sz w:val="24"/>
        </w:rPr>
        <w:t>固定三机队形变换中，RA-GCA-CGHTE低层控制器取得0.0383 m的相对队形RMSE、0.0287 m的三机全局位置RMSE和0.8530 m的最小间距。近距离交汇时，开启PP-CBF使最小间距由0.3832 m增至0.6113 m，低于0.60 m的累计时间由2.04 s降为0 s。PP-CBF通过修正上层参考提高机间距离（Ames et al., 2017），同时使全局位置RMSE由0.0672 m增至0.0833 m，相对队形RMSE由0.0825 m增至0.2477 m。安全收益及其跟踪代价需要同时评价。</w:t>
      </w:r>
    </w:p>
    <w:p w14:paraId="6215B452">
      <w:pPr>
        <w:pStyle w:val="4"/>
        <w:keepNext/>
      </w:pPr>
      <w:r>
        <w:rPr>
          <w:rFonts w:ascii="Times New Roman" w:hAnsi="Times New Roman" w:eastAsia="宋体" w:cs="Times New Roman"/>
          <w:b/>
          <w:color w:val="000000"/>
          <w:sz w:val="21"/>
        </w:rPr>
        <w:t>表8-1 主要方法与代表结果</w:t>
      </w:r>
    </w:p>
    <w:tbl>
      <w:tblPr>
        <w:tblStyle w:val="10"/>
        <w:tblW w:w="5000" w:type="pct"/>
        <w:jc w:val="center"/>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2617"/>
        <w:gridCol w:w="6634"/>
      </w:tblGrid>
      <w:tr w14:paraId="7505510E">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blHeader/>
          <w:jc w:val="center"/>
        </w:trPr>
        <w:tc>
          <w:tcPr>
            <w:tcW w:w="1414" w:type="pct"/>
            <w:tcBorders>
              <w:bottom w:val="single" w:color="000000" w:sz="4" w:space="0"/>
            </w:tcBorders>
            <w:tcMar>
              <w:top w:w="70" w:type="dxa"/>
              <w:left w:w="90" w:type="dxa"/>
              <w:bottom w:w="70" w:type="dxa"/>
              <w:right w:w="90" w:type="dxa"/>
            </w:tcMar>
            <w:vAlign w:val="center"/>
          </w:tcPr>
          <w:p w14:paraId="086DCC51">
            <w:pPr>
              <w:spacing w:before="0" w:after="0" w:line="240" w:lineRule="auto"/>
              <w:ind w:firstLine="0"/>
              <w:jc w:val="center"/>
            </w:pPr>
            <w:r>
              <w:rPr>
                <w:rFonts w:ascii="Times New Roman" w:hAnsi="Times New Roman" w:eastAsia="宋体" w:cs="Times New Roman"/>
                <w:b/>
                <w:color w:val="000000"/>
                <w:sz w:val="19"/>
              </w:rPr>
              <w:t>方法或比较</w:t>
            </w:r>
          </w:p>
        </w:tc>
        <w:tc>
          <w:tcPr>
            <w:tcW w:w="3585" w:type="pct"/>
            <w:tcBorders>
              <w:bottom w:val="single" w:color="000000" w:sz="4" w:space="0"/>
            </w:tcBorders>
            <w:tcMar>
              <w:top w:w="70" w:type="dxa"/>
              <w:left w:w="90" w:type="dxa"/>
              <w:bottom w:w="70" w:type="dxa"/>
              <w:right w:w="90" w:type="dxa"/>
            </w:tcMar>
            <w:vAlign w:val="center"/>
          </w:tcPr>
          <w:p w14:paraId="0BF13FBA">
            <w:pPr>
              <w:spacing w:before="0" w:after="0" w:line="240" w:lineRule="auto"/>
              <w:ind w:firstLine="0"/>
              <w:jc w:val="center"/>
            </w:pPr>
            <w:r>
              <w:rPr>
                <w:rFonts w:ascii="Times New Roman" w:hAnsi="Times New Roman" w:eastAsia="宋体" w:cs="Times New Roman"/>
                <w:b/>
                <w:color w:val="000000"/>
                <w:sz w:val="19"/>
              </w:rPr>
              <w:t>代表结果</w:t>
            </w:r>
          </w:p>
        </w:tc>
      </w:tr>
      <w:tr w14:paraId="074E50BE">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414" w:type="pct"/>
            <w:tcMar>
              <w:top w:w="70" w:type="dxa"/>
              <w:left w:w="90" w:type="dxa"/>
              <w:bottom w:w="70" w:type="dxa"/>
              <w:right w:w="90" w:type="dxa"/>
            </w:tcMar>
            <w:vAlign w:val="center"/>
          </w:tcPr>
          <w:p w14:paraId="437943C1">
            <w:pPr>
              <w:spacing w:before="0" w:after="0" w:line="240" w:lineRule="auto"/>
              <w:ind w:firstLine="0"/>
              <w:jc w:val="center"/>
            </w:pPr>
            <w:r>
              <w:rPr>
                <w:rFonts w:ascii="Times New Roman" w:hAnsi="Times New Roman" w:eastAsia="宋体" w:cs="Times New Roman"/>
                <w:color w:val="000000"/>
                <w:sz w:val="19"/>
              </w:rPr>
              <w:t>RA-GCA-CGHTE / PID</w:t>
            </w:r>
          </w:p>
        </w:tc>
        <w:tc>
          <w:tcPr>
            <w:tcW w:w="3585" w:type="pct"/>
            <w:tcMar>
              <w:top w:w="70" w:type="dxa"/>
              <w:left w:w="90" w:type="dxa"/>
              <w:bottom w:w="70" w:type="dxa"/>
              <w:right w:w="90" w:type="dxa"/>
            </w:tcMar>
            <w:vAlign w:val="center"/>
          </w:tcPr>
          <w:p w14:paraId="01B6D170">
            <w:pPr>
              <w:spacing w:before="0" w:after="0" w:line="240" w:lineRule="auto"/>
              <w:ind w:firstLine="0"/>
              <w:jc w:val="center"/>
            </w:pPr>
            <w:r>
              <w:rPr>
                <w:rFonts w:ascii="Times New Roman" w:hAnsi="Times New Roman" w:eastAsia="宋体" w:cs="Times New Roman"/>
                <w:color w:val="000000"/>
                <w:sz w:val="19"/>
              </w:rPr>
              <w:t>四类连续任务RMSE降低25.0%至91.2%；三轴阶跃超调明显减小</w:t>
            </w:r>
          </w:p>
        </w:tc>
      </w:tr>
      <w:tr w14:paraId="474E4E98">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414" w:type="pct"/>
            <w:tcMar>
              <w:top w:w="70" w:type="dxa"/>
              <w:left w:w="90" w:type="dxa"/>
              <w:bottom w:w="70" w:type="dxa"/>
              <w:right w:w="90" w:type="dxa"/>
            </w:tcMar>
            <w:vAlign w:val="center"/>
          </w:tcPr>
          <w:p w14:paraId="64A15493">
            <w:pPr>
              <w:spacing w:before="0" w:after="0" w:line="240" w:lineRule="auto"/>
              <w:ind w:firstLine="0"/>
              <w:jc w:val="center"/>
            </w:pPr>
            <w:r>
              <w:rPr>
                <w:rFonts w:ascii="Times New Roman" w:hAnsi="Times New Roman" w:eastAsia="宋体" w:cs="Times New Roman"/>
                <w:color w:val="000000"/>
                <w:sz w:val="19"/>
              </w:rPr>
              <w:t>RA-GCA-CGHTE / RA-GCA/Base</w:t>
            </w:r>
          </w:p>
        </w:tc>
        <w:tc>
          <w:tcPr>
            <w:tcW w:w="3585" w:type="pct"/>
            <w:tcMar>
              <w:top w:w="70" w:type="dxa"/>
              <w:left w:w="90" w:type="dxa"/>
              <w:bottom w:w="70" w:type="dxa"/>
              <w:right w:w="90" w:type="dxa"/>
            </w:tcMar>
            <w:vAlign w:val="center"/>
          </w:tcPr>
          <w:p w14:paraId="35DCE496">
            <w:pPr>
              <w:spacing w:before="0" w:after="0" w:line="240" w:lineRule="auto"/>
              <w:ind w:firstLine="0"/>
              <w:jc w:val="center"/>
            </w:pPr>
            <w:r>
              <w:rPr>
                <w:rFonts w:ascii="Times New Roman" w:hAnsi="Times New Roman" w:eastAsia="宋体" w:cs="Times New Roman"/>
                <w:color w:val="000000"/>
                <w:sz w:val="19"/>
              </w:rPr>
              <w:t>四个共同任务的RMSE均较低，降幅为2.3%至15.3%</w:t>
            </w:r>
          </w:p>
        </w:tc>
      </w:tr>
      <w:tr w14:paraId="2F73023F">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414" w:type="pct"/>
            <w:tcMar>
              <w:top w:w="70" w:type="dxa"/>
              <w:left w:w="90" w:type="dxa"/>
              <w:bottom w:w="70" w:type="dxa"/>
              <w:right w:w="90" w:type="dxa"/>
            </w:tcMar>
            <w:vAlign w:val="center"/>
          </w:tcPr>
          <w:p w14:paraId="1C537DCA">
            <w:pPr>
              <w:spacing w:before="0" w:after="0" w:line="240" w:lineRule="auto"/>
              <w:ind w:firstLine="0"/>
              <w:jc w:val="center"/>
            </w:pPr>
            <w:r>
              <w:rPr>
                <w:rFonts w:ascii="Times New Roman" w:hAnsi="Times New Roman" w:eastAsia="宋体" w:cs="Times New Roman"/>
                <w:color w:val="000000"/>
                <w:sz w:val="19"/>
              </w:rPr>
              <w:t>RA-GCA-CGHTE参数变化</w:t>
            </w:r>
          </w:p>
        </w:tc>
        <w:tc>
          <w:tcPr>
            <w:tcW w:w="3585" w:type="pct"/>
            <w:tcMar>
              <w:top w:w="70" w:type="dxa"/>
              <w:left w:w="90" w:type="dxa"/>
              <w:bottom w:w="70" w:type="dxa"/>
              <w:right w:w="90" w:type="dxa"/>
            </w:tcMar>
            <w:vAlign w:val="center"/>
          </w:tcPr>
          <w:p w14:paraId="7B923A80">
            <w:pPr>
              <w:spacing w:before="0" w:after="0" w:line="240" w:lineRule="auto"/>
              <w:ind w:firstLine="0"/>
              <w:jc w:val="center"/>
            </w:pPr>
            <w:r>
              <w:rPr>
                <w:rFonts w:ascii="Times New Roman" w:hAnsi="Times New Roman" w:eastAsia="宋体" w:cs="Times New Roman"/>
                <w:color w:val="000000"/>
                <w:sz w:val="19"/>
              </w:rPr>
              <w:t>11项设置的位置RMSE为0.01469 m至0.03368 m</w:t>
            </w:r>
          </w:p>
        </w:tc>
      </w:tr>
      <w:tr w14:paraId="2A305245">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414" w:type="pct"/>
            <w:tcMar>
              <w:top w:w="70" w:type="dxa"/>
              <w:left w:w="90" w:type="dxa"/>
              <w:bottom w:w="70" w:type="dxa"/>
              <w:right w:w="90" w:type="dxa"/>
            </w:tcMar>
            <w:vAlign w:val="center"/>
          </w:tcPr>
          <w:p w14:paraId="699C364A">
            <w:pPr>
              <w:spacing w:before="0" w:after="0" w:line="240" w:lineRule="auto"/>
              <w:ind w:firstLine="0"/>
              <w:jc w:val="center"/>
            </w:pPr>
            <w:r>
              <w:rPr>
                <w:rFonts w:ascii="Times New Roman" w:hAnsi="Times New Roman" w:eastAsia="宋体" w:cs="Times New Roman"/>
                <w:color w:val="000000"/>
                <w:sz w:val="19"/>
              </w:rPr>
              <w:t>PP-CBF开 / 关</w:t>
            </w:r>
          </w:p>
        </w:tc>
        <w:tc>
          <w:tcPr>
            <w:tcW w:w="3585" w:type="pct"/>
            <w:tcMar>
              <w:top w:w="70" w:type="dxa"/>
              <w:left w:w="90" w:type="dxa"/>
              <w:bottom w:w="70" w:type="dxa"/>
              <w:right w:w="90" w:type="dxa"/>
            </w:tcMar>
            <w:vAlign w:val="center"/>
          </w:tcPr>
          <w:p w14:paraId="42ECCB82">
            <w:pPr>
              <w:spacing w:before="0" w:after="0" w:line="240" w:lineRule="auto"/>
              <w:ind w:firstLine="0"/>
              <w:jc w:val="center"/>
            </w:pPr>
            <w:r>
              <w:rPr>
                <w:rFonts w:ascii="Times New Roman" w:hAnsi="Times New Roman" w:eastAsia="宋体" w:cs="Times New Roman"/>
                <w:color w:val="000000"/>
                <w:sz w:val="19"/>
              </w:rPr>
              <w:t>最小间距0.3832 m增至0.6113 m；低于0.60 m的时间2.04 s降至0 s；跟踪RMSE增加23.95%</w:t>
            </w:r>
          </w:p>
        </w:tc>
      </w:tr>
      <w:tr w14:paraId="2217CC63">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414" w:type="pct"/>
            <w:tcMar>
              <w:top w:w="70" w:type="dxa"/>
              <w:left w:w="90" w:type="dxa"/>
              <w:bottom w:w="70" w:type="dxa"/>
              <w:right w:w="90" w:type="dxa"/>
            </w:tcMar>
            <w:vAlign w:val="center"/>
          </w:tcPr>
          <w:p w14:paraId="03C4FA53">
            <w:pPr>
              <w:spacing w:before="0" w:after="0" w:line="240" w:lineRule="auto"/>
              <w:ind w:firstLine="0"/>
              <w:jc w:val="center"/>
            </w:pPr>
            <w:r>
              <w:rPr>
                <w:rFonts w:ascii="Times New Roman" w:hAnsi="Times New Roman" w:eastAsia="宋体" w:cs="Times New Roman"/>
                <w:color w:val="000000"/>
                <w:sz w:val="19"/>
              </w:rPr>
              <w:t>三事件外扰</w:t>
            </w:r>
          </w:p>
        </w:tc>
        <w:tc>
          <w:tcPr>
            <w:tcW w:w="3585" w:type="pct"/>
            <w:tcMar>
              <w:top w:w="70" w:type="dxa"/>
              <w:left w:w="90" w:type="dxa"/>
              <w:bottom w:w="70" w:type="dxa"/>
              <w:right w:w="90" w:type="dxa"/>
            </w:tcMar>
            <w:vAlign w:val="center"/>
          </w:tcPr>
          <w:p w14:paraId="66D9F83E">
            <w:pPr>
              <w:spacing w:before="0" w:after="0" w:line="240" w:lineRule="auto"/>
              <w:ind w:firstLine="0"/>
              <w:jc w:val="center"/>
            </w:pPr>
            <w:r>
              <w:rPr>
                <w:rFonts w:ascii="Times New Roman" w:hAnsi="Times New Roman" w:eastAsia="宋体" w:cs="Times New Roman"/>
                <w:color w:val="000000"/>
                <w:sz w:val="19"/>
              </w:rPr>
              <w:t>CP-INDI为0.06212 m，RA-GCA-CGHTE为0.29490 m</w:t>
            </w:r>
          </w:p>
        </w:tc>
      </w:tr>
    </w:tbl>
    <w:p w14:paraId="5B143440">
      <w:pPr>
        <w:pStyle w:val="21"/>
      </w:pPr>
      <w:r>
        <w:rPr>
          <w:rFonts w:ascii="Times New Roman" w:hAnsi="Times New Roman" w:eastAsia="宋体" w:cs="Times New Roman"/>
          <w:color w:val="000000"/>
          <w:sz w:val="18"/>
        </w:rPr>
        <w:t>注：结果仅对应本文相同任务和评价时间范围。</w:t>
      </w:r>
    </w:p>
    <w:p w14:paraId="13F0DB0C">
      <w:pPr>
        <w:pStyle w:val="3"/>
      </w:pPr>
      <w:bookmarkStart w:id="41" w:name="_Toc7513"/>
      <w:r>
        <w:rPr>
          <w:rFonts w:ascii="Times New Roman" w:hAnsi="Times New Roman" w:eastAsia="黑体" w:cs="Times New Roman"/>
          <w:b/>
          <w:color w:val="000000"/>
          <w:sz w:val="26"/>
        </w:rPr>
        <w:t>8.2 性能取舍、控制能力与适用范围</w:t>
      </w:r>
      <w:bookmarkEnd w:id="41"/>
    </w:p>
    <w:p w14:paraId="5D98E75F">
      <w:pPr>
        <w:spacing w:before="0" w:after="0" w:line="360" w:lineRule="auto"/>
        <w:ind w:firstLine="480"/>
        <w:jc w:val="both"/>
      </w:pPr>
      <w:r>
        <w:rPr>
          <w:rFonts w:ascii="Times New Roman" w:hAnsi="Times New Roman" w:eastAsia="宋体" w:cs="Times New Roman"/>
          <w:color w:val="000000"/>
          <w:sz w:val="24"/>
        </w:rPr>
        <w:t>外扰结果反映了控制方法的任务差异。CP-INDI在三事件外扰中的局部优势值得保留。六组复合参数与外扰测试中，主算法的位置RMSE为0.210 m至0.317 m，恢复时间为1.61 s至1.72 s。系统能够在受测复合条件下恢复跟踪，但误差峰值和恢复速度仍有改进空间。</w:t>
      </w:r>
    </w:p>
    <w:p w14:paraId="60902729">
      <w:pPr>
        <w:spacing w:before="0" w:after="0" w:line="360" w:lineRule="auto"/>
        <w:ind w:firstLine="480"/>
        <w:jc w:val="both"/>
      </w:pPr>
      <w:r>
        <w:rPr>
          <w:rFonts w:ascii="Times New Roman" w:hAnsi="Times New Roman" w:eastAsia="宋体" w:cs="Times New Roman"/>
          <w:color w:val="000000"/>
          <w:sz w:val="24"/>
        </w:rPr>
        <w:t>在五个风扰初始相位下，主算法的位置RMSE均值为0.03216 m，结果范围为0.03196 m至0.03231 m；在含延迟与噪声的五个传感器设置下，均值为0.01866 m，结果范围为0.018657 m至0.018668 m。上述结果说明受测设置之间的波动较小。由于PID、RA-GCA/Base、CAP-ADRC和CP-INDI没有同组风扰、传感器及11项参数结果，本文不作这些场景的横向排名。</w:t>
      </w:r>
    </w:p>
    <w:p w14:paraId="27709C7D">
      <w:pPr>
        <w:spacing w:before="0" w:after="0" w:line="360" w:lineRule="auto"/>
        <w:ind w:firstLine="480"/>
        <w:jc w:val="both"/>
      </w:pPr>
      <w:r>
        <w:rPr>
          <w:rFonts w:ascii="Times New Roman" w:hAnsi="Times New Roman" w:eastAsia="宋体" w:cs="Times New Roman"/>
          <w:color w:val="000000"/>
          <w:sz w:val="24"/>
        </w:rPr>
        <w:t>RA-GCA-CGHTE控制位置、滚转和俯仰，持续偏航不属于本文验证范围。所用四旋翼模型未提供可持续调节的偏航反扭矩，因此相关结果不能解释为完整六自由度姿态跟踪。控制器包含约束感知分配和去饱和处理，但当前场景没有触发主动去饱和，其性能仍需在明确的执行器受限任务中测试。</w:t>
      </w:r>
    </w:p>
    <w:p w14:paraId="143B20AC">
      <w:pPr>
        <w:spacing w:before="0" w:after="0" w:line="360" w:lineRule="auto"/>
        <w:ind w:firstLine="480"/>
        <w:jc w:val="both"/>
      </w:pPr>
      <w:r>
        <w:rPr>
          <w:rFonts w:ascii="Times New Roman" w:hAnsi="Times New Roman" w:eastAsia="宋体" w:cs="Times New Roman"/>
          <w:color w:val="000000"/>
          <w:sz w:val="24"/>
        </w:rPr>
        <w:t>编队结论适用于固定三机、给定轨迹、同步状态输入和本文测试初值。0.60 m是本文采用的评价距离。通信延迟、丢包、更多成员、不同编队拓扑、硬件在环和实机飞行尚未开展，因此仿真结果主要说明方法在当前模型和测试条件下的可行性。</w:t>
      </w:r>
    </w:p>
    <w:p w14:paraId="7DD87A25">
      <w:pPr>
        <w:pStyle w:val="3"/>
      </w:pPr>
      <w:bookmarkStart w:id="42" w:name="_Toc24247"/>
      <w:r>
        <w:rPr>
          <w:rFonts w:ascii="Times New Roman" w:hAnsi="Times New Roman" w:eastAsia="黑体" w:cs="Times New Roman"/>
          <w:b/>
          <w:color w:val="000000"/>
          <w:sz w:val="26"/>
        </w:rPr>
        <w:t>8.3 主要结论</w:t>
      </w:r>
      <w:bookmarkEnd w:id="42"/>
    </w:p>
    <w:p w14:paraId="7514F7C8">
      <w:pPr>
        <w:spacing w:before="0" w:after="0" w:line="360" w:lineRule="auto"/>
        <w:ind w:firstLine="480"/>
        <w:jc w:val="both"/>
      </w:pPr>
      <w:r>
        <w:rPr>
          <w:rFonts w:ascii="Times New Roman" w:hAnsi="Times New Roman" w:eastAsia="宋体" w:cs="Times New Roman"/>
          <w:color w:val="000000"/>
          <w:sz w:val="24"/>
        </w:rPr>
        <w:t>根据本文仿真结果，可以得到以下结论。</w:t>
      </w:r>
    </w:p>
    <w:p w14:paraId="65E4F964">
      <w:pPr>
        <w:pStyle w:val="22"/>
      </w:pPr>
      <w:r>
        <w:rPr>
          <w:rFonts w:ascii="Times New Roman" w:hAnsi="Times New Roman" w:eastAsia="宋体" w:cs="Times New Roman"/>
          <w:color w:val="000000"/>
          <w:sz w:val="24"/>
        </w:rPr>
        <w:t>（1）RA-GCA-CGHTE在标准阶跃、分段爬升、定点悬停、螺旋爬升和8字轨迹中保持稳定跟踪。相对PID，四类连续任务的位置RMSE降低25.0%至91.2%，三轴阶跃超调也明显减小。</w:t>
      </w:r>
    </w:p>
    <w:p w14:paraId="0BCA26F4">
      <w:pPr>
        <w:pStyle w:val="22"/>
      </w:pPr>
      <w:r>
        <w:rPr>
          <w:rFonts w:ascii="Times New Roman" w:hAnsi="Times New Roman" w:eastAsia="宋体" w:cs="Times New Roman"/>
          <w:color w:val="000000"/>
          <w:sz w:val="24"/>
        </w:rPr>
        <w:t>（2）RA-GCA-CGHTE在11项受测参数设置中的位置RMSE为0.01469 m至0.03368 m，升力降低10%和载荷增加10%时分别为0.02251 m和0.02152 m。这些结果支持主算法在本文参数变化范围内的跟踪能力，不构成与缺少同组数据算法的横向排名。</w:t>
      </w:r>
    </w:p>
    <w:p w14:paraId="5B90C650">
      <w:pPr>
        <w:pStyle w:val="22"/>
      </w:pPr>
      <w:r>
        <w:rPr>
          <w:rFonts w:ascii="Times New Roman" w:hAnsi="Times New Roman" w:eastAsia="宋体" w:cs="Times New Roman"/>
          <w:color w:val="000000"/>
          <w:sz w:val="24"/>
        </w:rPr>
        <w:t>（3）RA-GCA-CGHTE能够支持固定三机队形变换。PP-CBF在相同低层控制器下提高了近距离交汇的最小间距，并消除了低于本文评价距离的累计时间；代价是全局位置和相对队形误差增加。</w:t>
      </w:r>
    </w:p>
    <w:p w14:paraId="4C36F0D0">
      <w:pPr>
        <w:pStyle w:val="22"/>
      </w:pPr>
      <w:r>
        <w:rPr>
          <w:rFonts w:ascii="Times New Roman" w:hAnsi="Times New Roman" w:eastAsia="宋体" w:cs="Times New Roman"/>
          <w:color w:val="000000"/>
          <w:sz w:val="24"/>
        </w:rPr>
        <w:t>（4）不同控制方法存在任务相关的优势。CP-INDI在受测三事件外扰中优于主算法，主算法在复合测试中的恢复时间为1.61 s至1.72 s。本文结论限于位置与约化姿态控制、给定仿真模型和测试场景，不延伸到持续偏航、未触发的主动去饱和或实机条件。</w:t>
      </w:r>
    </w:p>
    <w:p w14:paraId="2BC9180E">
      <w:pPr>
        <w:pStyle w:val="3"/>
      </w:pPr>
      <w:bookmarkStart w:id="43" w:name="_Toc22184"/>
      <w:r>
        <w:rPr>
          <w:rFonts w:ascii="Times New Roman" w:hAnsi="Times New Roman" w:eastAsia="黑体" w:cs="Times New Roman"/>
          <w:b/>
          <w:color w:val="000000"/>
          <w:sz w:val="26"/>
        </w:rPr>
        <w:t>8.4 后续工作与未来展望</w:t>
      </w:r>
      <w:bookmarkEnd w:id="43"/>
    </w:p>
    <w:p w14:paraId="3211CD1A">
      <w:pPr>
        <w:spacing w:before="0" w:after="0" w:line="360" w:lineRule="auto"/>
        <w:ind w:firstLine="480"/>
        <w:jc w:val="both"/>
      </w:pPr>
      <w:r>
        <w:rPr>
          <w:rFonts w:ascii="Times New Roman" w:hAnsi="Times New Roman" w:eastAsia="宋体" w:cs="Times New Roman"/>
          <w:color w:val="000000"/>
          <w:sz w:val="24"/>
        </w:rPr>
        <w:t>后续首先开展硬件在环和实机飞行测试，测量控制周期、计算负载、传感器误差和执行器差异对结果的影响，并使用多次重复实验给出均值、离散程度和置信区间。参数变化与外扰同时出现时，应进一步降低误差峰值并缩短恢复时间。</w:t>
      </w:r>
    </w:p>
    <w:p w14:paraId="1FC50C70">
      <w:pPr>
        <w:spacing w:before="0" w:after="0" w:line="360" w:lineRule="auto"/>
        <w:ind w:firstLine="480"/>
        <w:jc w:val="both"/>
      </w:pPr>
      <w:r>
        <w:rPr>
          <w:rFonts w:ascii="Times New Roman" w:hAnsi="Times New Roman" w:eastAsia="宋体" w:cs="Times New Roman"/>
          <w:color w:val="000000"/>
          <w:sz w:val="24"/>
        </w:rPr>
        <w:t>其次，在包含桨叶反扭矩的模型和实物平台上补充偏航控制；设计能够稳定触发电机上下限的任务，评价约束分配与主动去饱和对姿态保持和电机使用的实际作用。还可结合外扰观测与推力尺度估计，提高突发扰动和参数变化同时出现时的控制性能。</w:t>
      </w:r>
    </w:p>
    <w:p w14:paraId="392B26ED">
      <w:pPr>
        <w:spacing w:before="0" w:after="0" w:line="360" w:lineRule="auto"/>
        <w:ind w:firstLine="480"/>
        <w:jc w:val="both"/>
      </w:pPr>
      <w:r>
        <w:rPr>
          <w:rFonts w:ascii="Times New Roman" w:hAnsi="Times New Roman" w:eastAsia="宋体" w:cs="Times New Roman"/>
          <w:color w:val="000000"/>
          <w:sz w:val="24"/>
        </w:rPr>
        <w:t>多机部分将扩展到更多成员、不同拓扑以及通信延迟和丢包条件，并研究安全距离、跟踪精度和控制修正之间的自适应调节。通过仿真、硬件在环和实机逐级验证，可进一步评估该方法在巡检、运输和多机协同任务中的应用条件。</w:t>
      </w:r>
    </w:p>
    <w:p w14:paraId="0BC671F6">
      <w:pPr>
        <w:pStyle w:val="2"/>
      </w:pPr>
      <w:bookmarkStart w:id="44" w:name="_Toc1192"/>
      <w:r>
        <w:rPr>
          <w:rFonts w:ascii="Times New Roman" w:hAnsi="Times New Roman" w:eastAsia="黑体" w:cs="Times New Roman"/>
          <w:b/>
          <w:color w:val="000000"/>
          <w:sz w:val="32"/>
        </w:rPr>
        <w:t>参考文献</w:t>
      </w:r>
      <w:bookmarkEnd w:id="44"/>
    </w:p>
    <w:p w14:paraId="0F8328A2">
      <w:pPr>
        <w:pStyle w:val="23"/>
      </w:pPr>
      <w:r>
        <w:rPr>
          <w:rFonts w:ascii="Times New Roman" w:hAnsi="Times New Roman" w:eastAsia="宋体" w:cs="Times New Roman"/>
          <w:color w:val="000000"/>
          <w:sz w:val="21"/>
        </w:rPr>
        <w:t>Abdelmaksoud, S. I., Mailah, M., &amp; Abdallah, A. M. (2020). Control strategies and novel techniques for autonomous rotorcraft unmanned aerial vehicles: A review. IEEE Access, 8, 195142-195169. https://doi.org/10.1109/ACCESS.2020.3031326</w:t>
      </w:r>
    </w:p>
    <w:p w14:paraId="224BBE88">
      <w:pPr>
        <w:pStyle w:val="23"/>
      </w:pPr>
      <w:r>
        <w:rPr>
          <w:rFonts w:ascii="Times New Roman" w:hAnsi="Times New Roman" w:eastAsia="宋体" w:cs="Times New Roman"/>
          <w:color w:val="000000"/>
          <w:sz w:val="21"/>
        </w:rPr>
        <w:t>Ames, A. D., Coogan, S., Egerstedt, M., Notomista, G., Sreenath, K., &amp; Tabuada, P. (2019). Control barrier functions: Theory and applications. 2019 18th European Control Conference (ECC), 3420-3431. https://doi.org/10.23919/ECC.2019.8796030</w:t>
      </w:r>
    </w:p>
    <w:p w14:paraId="37B1365F">
      <w:pPr>
        <w:pStyle w:val="23"/>
      </w:pPr>
      <w:r>
        <w:rPr>
          <w:rFonts w:ascii="Times New Roman" w:hAnsi="Times New Roman" w:eastAsia="宋体" w:cs="Times New Roman"/>
          <w:color w:val="000000"/>
          <w:sz w:val="21"/>
        </w:rPr>
        <w:t>Ames, A. D., Xu, X., Grizzle, J. W., &amp; Tabuada, P. (2017). Control barrier function based quadratic programs for safety critical systems. IEEE Transactions on Automatic Control, 62(8), 3861-3876. https://doi.org/10.1109/TAC.2016.2638961</w:t>
      </w:r>
    </w:p>
    <w:p w14:paraId="1D232E15">
      <w:pPr>
        <w:pStyle w:val="23"/>
      </w:pPr>
      <w:r>
        <w:rPr>
          <w:rFonts w:ascii="Times New Roman" w:hAnsi="Times New Roman" w:eastAsia="宋体" w:cs="Times New Roman"/>
          <w:color w:val="000000"/>
          <w:sz w:val="21"/>
        </w:rPr>
        <w:t>Bitcraze. (n.d.). crazyflie-firmware (Commit f45ff8fdce4e73e5ce88ec06eee76309d2fa9a39) [Computer software]. GitHub. https://github.com/bitcraze/crazyflie-firmware</w:t>
      </w:r>
    </w:p>
    <w:p w14:paraId="603C8426">
      <w:pPr>
        <w:pStyle w:val="23"/>
      </w:pPr>
      <w:r>
        <w:rPr>
          <w:rFonts w:ascii="Times New Roman" w:hAnsi="Times New Roman" w:eastAsia="宋体" w:cs="Times New Roman"/>
          <w:color w:val="000000"/>
          <w:sz w:val="21"/>
        </w:rPr>
        <w:t>Brescianini, D., &amp; D'Andrea, R. (2020). Tilt-prioritized quadrocopter attitude control. IEEE Transactions on Control Systems Technology, 28(2), 376-387. https://doi.org/10.1109/TCST.2018.2873224</w:t>
      </w:r>
    </w:p>
    <w:p w14:paraId="2C7F44AF">
      <w:pPr>
        <w:pStyle w:val="23"/>
      </w:pPr>
      <w:r>
        <w:rPr>
          <w:rFonts w:ascii="Times New Roman" w:hAnsi="Times New Roman" w:eastAsia="宋体" w:cs="Times New Roman"/>
          <w:color w:val="000000"/>
          <w:sz w:val="21"/>
        </w:rPr>
        <w:t>Chung, S.-J., Paranjape, A. A., Dames, P., Shen, S., &amp; Kumar, V. (2018). A survey on aerial swarm robotics. IEEE Transactions on Robotics, 34(4), 837-855. https://doi.org/10.1109/TRO.2018.2857475</w:t>
      </w:r>
    </w:p>
    <w:p w14:paraId="7117C2D8">
      <w:pPr>
        <w:pStyle w:val="23"/>
      </w:pPr>
      <w:r>
        <w:rPr>
          <w:rFonts w:ascii="Times New Roman" w:hAnsi="Times New Roman" w:eastAsia="宋体" w:cs="Times New Roman"/>
          <w:color w:val="000000"/>
          <w:sz w:val="21"/>
        </w:rPr>
        <w:t>de Oliveira Evald, P. J. D., Aoki, V. M., da Silva, C. B., Cardoso, D. S., Pinheiro, P. M., da Costa Botelho, S. S., &amp; Drews, P. L. J., Jr. (2024). A review on quadrotor attitude control strategies. International Journal of Intelligent Robotics and Applications, 8(1), 230-250. https://doi.org/10.1007/s41315-023-00308-9</w:t>
      </w:r>
    </w:p>
    <w:p w14:paraId="6AA54EDB">
      <w:pPr>
        <w:pStyle w:val="23"/>
      </w:pPr>
      <w:r>
        <w:rPr>
          <w:rFonts w:ascii="Times New Roman" w:hAnsi="Times New Roman" w:eastAsia="宋体" w:cs="Times New Roman"/>
          <w:color w:val="000000"/>
          <w:sz w:val="21"/>
        </w:rPr>
        <w:t>Donthu, N., Kumar, S., Mukherjee, D., Pandey, N., &amp; Lim, W. M. (2021). How to conduct a bibliometric analysis: An overview and guidelines. Journal of Business Research, 133, 285-296. https://doi.org/10.1016/j.jbusres.2021.04.070</w:t>
      </w:r>
    </w:p>
    <w:p w14:paraId="7A4BE3AF">
      <w:pPr>
        <w:pStyle w:val="23"/>
      </w:pPr>
      <w:r>
        <w:rPr>
          <w:rFonts w:ascii="Times New Roman" w:hAnsi="Times New Roman" w:eastAsia="宋体" w:cs="Times New Roman"/>
          <w:color w:val="000000"/>
          <w:sz w:val="21"/>
        </w:rPr>
        <w:t>Faessler, M., Franchi, A., &amp; Scaramuzza, D. (2018). Differential flatness of quadrotor dynamics subject to rotor drag for accurate tracking of high-speed trajectories. IEEE Robotics and Automation Letters, 3(2), 620-626. https://doi.org/10.1109/LRA.2017.2776353</w:t>
      </w:r>
    </w:p>
    <w:p w14:paraId="06C90D21">
      <w:pPr>
        <w:pStyle w:val="23"/>
      </w:pPr>
      <w:r>
        <w:rPr>
          <w:rFonts w:ascii="Times New Roman" w:hAnsi="Times New Roman" w:eastAsia="宋体" w:cs="Times New Roman"/>
          <w:color w:val="000000"/>
          <w:sz w:val="21"/>
        </w:rPr>
        <w:t>Flight Dynamics and Control Laboratory. (n.d.). uav_geometric_control (Commit f5fcb51c3b962152a4895a9d2e86e4a184655741) [Computer software]. GitHub. https://github.com/fdcl-gwu/uav_geometric_control</w:t>
      </w:r>
    </w:p>
    <w:p w14:paraId="68F8DCE3">
      <w:pPr>
        <w:pStyle w:val="23"/>
      </w:pPr>
      <w:r>
        <w:rPr>
          <w:rFonts w:ascii="Times New Roman" w:hAnsi="Times New Roman" w:eastAsia="宋体" w:cs="Times New Roman"/>
          <w:color w:val="000000"/>
          <w:sz w:val="21"/>
        </w:rPr>
        <w:t>Gao, T., Izumita, M., Tomita, K., &amp; Kamimura, A. (2026). A sliced learning framework for online disturbance identification in quadrotor SO(3) attitude control. IEEE/ASME Transactions on Mechatronics, 1-12. https://doi.org/10.1109/TMECH.2026.3689054</w:t>
      </w:r>
    </w:p>
    <w:p w14:paraId="7300362E">
      <w:pPr>
        <w:pStyle w:val="23"/>
      </w:pPr>
      <w:r>
        <w:rPr>
          <w:rFonts w:ascii="Times New Roman" w:hAnsi="Times New Roman" w:eastAsia="宋体" w:cs="Times New Roman"/>
          <w:color w:val="000000"/>
          <w:sz w:val="21"/>
        </w:rPr>
        <w:t>Goodarzi, F., Lee, D., &amp; Lee, T. (2013). Geometric nonlinear PID control of a quadrotor UAV on SE(3). In 2013 European Control Conference (ECC) (pp. 3845-3850). IEEE. https://doi.org/10.23919/ECC.2013.6669644</w:t>
      </w:r>
    </w:p>
    <w:p w14:paraId="45D89B44">
      <w:pPr>
        <w:pStyle w:val="23"/>
      </w:pPr>
      <w:r>
        <w:rPr>
          <w:rFonts w:ascii="Times New Roman" w:hAnsi="Times New Roman" w:eastAsia="宋体" w:cs="Times New Roman"/>
          <w:color w:val="000000"/>
          <w:sz w:val="21"/>
        </w:rPr>
        <w:t>Han, J. (2009). From PID to active disturbance rejection control. IEEE Transactions on Industrial Electronics, 56(3), 900-906. https://doi.org/10.1109/TIE.2008.2011621</w:t>
      </w:r>
    </w:p>
    <w:p w14:paraId="12AE739B">
      <w:pPr>
        <w:pStyle w:val="23"/>
      </w:pPr>
      <w:r>
        <w:rPr>
          <w:rFonts w:ascii="Times New Roman" w:hAnsi="Times New Roman" w:eastAsia="宋体" w:cs="Times New Roman"/>
          <w:color w:val="000000"/>
          <w:sz w:val="21"/>
        </w:rPr>
        <w:t>Hoffmann, G. M., Huang, H., Waslander, S. L., &amp; Tomlin, C. J. (2007). Quadrotor helicopter flight dynamics and control: Theory and experiment. In AIAA Guidance, Navigation and Control Conference and Exhibit. American Institute of Aeronautics and Astronautics. https://doi.org/10.2514/6.2007-6461</w:t>
      </w:r>
    </w:p>
    <w:p w14:paraId="6E89D7D2">
      <w:pPr>
        <w:pStyle w:val="23"/>
      </w:pPr>
      <w:r>
        <w:rPr>
          <w:rFonts w:ascii="Times New Roman" w:hAnsi="Times New Roman" w:eastAsia="宋体" w:cs="Times New Roman"/>
          <w:color w:val="000000"/>
          <w:sz w:val="21"/>
        </w:rPr>
        <w:t>Jeong, H., Suk, J., &amp; Kim, S. (2024). Hybrid incremental nonlinear dynamic inversion-based control of UAV in urban wind environment. International Journal of Control, Automation and Systems, 22(12), 3653-3665. https://doi.org/10.1007/s12555-024-0539-3</w:t>
      </w:r>
    </w:p>
    <w:p w14:paraId="2B78B73C">
      <w:pPr>
        <w:pStyle w:val="23"/>
      </w:pPr>
      <w:r>
        <w:rPr>
          <w:rFonts w:ascii="Times New Roman" w:hAnsi="Times New Roman" w:eastAsia="宋体" w:cs="Times New Roman"/>
          <w:color w:val="000000"/>
          <w:sz w:val="21"/>
        </w:rPr>
        <w:t>Johansen, T. A., &amp; Fossen, T. I. (2013). Control allocation - A survey. Automatica, 49(5), 1087-1103. https://doi.org/10.1016/j.automatica.2013.01.035</w:t>
      </w:r>
    </w:p>
    <w:p w14:paraId="5490E2C6">
      <w:pPr>
        <w:pStyle w:val="23"/>
      </w:pPr>
      <w:r>
        <w:rPr>
          <w:rFonts w:ascii="Times New Roman" w:hAnsi="Times New Roman" w:eastAsia="宋体" w:cs="Times New Roman"/>
          <w:color w:val="000000"/>
          <w:sz w:val="21"/>
        </w:rPr>
        <w:t>Lee, T., Leok, M., &amp; McClamroch, N. H. (2010). Geometric tracking control of a quadrotor UAV on SE(3). In 49th IEEE Conference on Decision and Control (pp. 5420-5425). IEEE. https://doi.org/10.1109/CDC.2010.5717652</w:t>
      </w:r>
    </w:p>
    <w:p w14:paraId="5A42E42B">
      <w:pPr>
        <w:pStyle w:val="23"/>
      </w:pPr>
      <w:r>
        <w:rPr>
          <w:rFonts w:ascii="Times New Roman" w:hAnsi="Times New Roman" w:eastAsia="宋体" w:cs="Times New Roman"/>
          <w:color w:val="000000"/>
          <w:sz w:val="21"/>
        </w:rPr>
        <w:t>Lee, T., Leok, M., &amp; McClamroch, N. H. (2013). Nonlinear robust tracking control of a quadrotor UAV on SE(3). Asian Journal of Control, 15(2), 391-408. https://doi.org/10.1002/asjc.567</w:t>
      </w:r>
    </w:p>
    <w:p w14:paraId="763D227F">
      <w:pPr>
        <w:pStyle w:val="23"/>
      </w:pPr>
      <w:r>
        <w:rPr>
          <w:rFonts w:ascii="Times New Roman" w:hAnsi="Times New Roman" w:eastAsia="宋体" w:cs="Times New Roman"/>
          <w:color w:val="000000"/>
          <w:sz w:val="21"/>
        </w:rPr>
        <w:t>López-Sánchez, I., &amp; Moreno-Valenzuela, J. (2023). PID control of quadrotor UAVs: A survey. Annual Reviews in Control, 56, 100900. https://doi.org/10.1016/j.arcontrol.2023.100900</w:t>
      </w:r>
    </w:p>
    <w:p w14:paraId="04E05496">
      <w:pPr>
        <w:pStyle w:val="23"/>
      </w:pPr>
      <w:r>
        <w:rPr>
          <w:rFonts w:ascii="Times New Roman" w:hAnsi="Times New Roman" w:eastAsia="宋体" w:cs="Times New Roman"/>
          <w:color w:val="000000"/>
          <w:sz w:val="21"/>
        </w:rPr>
        <w:t>Mancinelli, A., Voß, N., &amp; Smeur, E. J. J. (2025). Fault tolerant control in over-actuated hybrid tilt-rotor unmanned aerial vehicles. In AIAA SciTech 2025 Forum. American Institute of Aeronautics and Astronautics. https://doi.org/10.2514/6.2025-0317</w:t>
      </w:r>
    </w:p>
    <w:p w14:paraId="38AFB106">
      <w:pPr>
        <w:pStyle w:val="23"/>
      </w:pPr>
      <w:r>
        <w:rPr>
          <w:rFonts w:ascii="Times New Roman" w:hAnsi="Times New Roman" w:eastAsia="宋体" w:cs="Times New Roman"/>
          <w:color w:val="000000"/>
          <w:sz w:val="21"/>
        </w:rPr>
        <w:t>Montañez-Molina, C., &amp; Pliego-Jiménez, J. (2024). Position and reduced attitude trajectory tracking control of quadrotors: Theory and experiments. Aerospace Science and Technology, 155, 109683. https://doi.org/10.1016/j.ast.2024.109683</w:t>
      </w:r>
    </w:p>
    <w:p w14:paraId="083A2A62">
      <w:pPr>
        <w:pStyle w:val="23"/>
      </w:pPr>
      <w:r>
        <w:rPr>
          <w:rFonts w:ascii="Times New Roman" w:hAnsi="Times New Roman" w:eastAsia="宋体" w:cs="Times New Roman"/>
          <w:color w:val="000000"/>
          <w:sz w:val="21"/>
        </w:rPr>
        <w:t>Paparazzi UAV. (n.d.). paparazzi (Commit a5755b9d0878752a161e08a1c6de75015fb9b580) [Computer software]. GitHub. https://github.com/paparazzi/paparazzi</w:t>
      </w:r>
    </w:p>
    <w:p w14:paraId="1A6CD1F9">
      <w:pPr>
        <w:pStyle w:val="23"/>
      </w:pPr>
      <w:r>
        <w:rPr>
          <w:rFonts w:ascii="Times New Roman" w:hAnsi="Times New Roman" w:eastAsia="宋体" w:cs="Times New Roman"/>
          <w:color w:val="000000"/>
          <w:sz w:val="21"/>
        </w:rPr>
        <w:t>Priem, J., Piwowar, H., &amp; Orr, R. (2022). OpenAlex: A fully-open index of scholarly works, authors, venues, institutions, and concepts. arXiv. https://doi.org/10.48550/arXiv.2205.01833</w:t>
      </w:r>
    </w:p>
    <w:p w14:paraId="4B3A9469">
      <w:pPr>
        <w:pStyle w:val="23"/>
      </w:pPr>
      <w:r>
        <w:rPr>
          <w:rFonts w:ascii="Times New Roman" w:hAnsi="Times New Roman" w:eastAsia="宋体" w:cs="Times New Roman"/>
          <w:color w:val="000000"/>
          <w:sz w:val="21"/>
        </w:rPr>
        <w:t>PX4 Development Team. (n.d.). PX4-Autopilot (Commit d60fea65d23f87b4f65c111a8e49d9d4fabf94d6) [Computer software]. GitHub. https://github.com/PX4/PX4-Autopilot</w:t>
      </w:r>
    </w:p>
    <w:p w14:paraId="4FD123DB">
      <w:pPr>
        <w:pStyle w:val="23"/>
      </w:pPr>
      <w:r>
        <w:rPr>
          <w:rFonts w:ascii="Times New Roman" w:hAnsi="Times New Roman" w:eastAsia="宋体" w:cs="Times New Roman"/>
          <w:color w:val="000000"/>
          <w:sz w:val="21"/>
        </w:rPr>
        <w:t>Robotics and Perception Group. (n.d.). rpg_quadrotor_control (Commit 22b55b085546a3322c302a68c2b67108a092a298) [Computer software]. GitHub. https://github.com/uzh-rpg/rpg_quadrotor_control</w:t>
      </w:r>
    </w:p>
    <w:p w14:paraId="02BD5D5B">
      <w:pPr>
        <w:pStyle w:val="23"/>
      </w:pPr>
      <w:r>
        <w:rPr>
          <w:rFonts w:ascii="Times New Roman" w:hAnsi="Times New Roman" w:eastAsia="宋体" w:cs="Times New Roman"/>
          <w:color w:val="000000"/>
          <w:sz w:val="21"/>
        </w:rPr>
        <w:t>Smeur, E. J. J., Chu, Q. P., &amp; de Croon, G. C. H. E. (2016). Adaptive incremental nonlinear dynamic inversion for attitude control of micro air vehicles. Journal of Guidance, Control, and Dynamics, 39(3), 450-461. https://doi.org/10.2514/1.G001490</w:t>
      </w:r>
    </w:p>
    <w:p w14:paraId="1007691F">
      <w:pPr>
        <w:pStyle w:val="23"/>
      </w:pPr>
      <w:r>
        <w:rPr>
          <w:rFonts w:ascii="Times New Roman" w:hAnsi="Times New Roman" w:eastAsia="宋体" w:cs="Times New Roman"/>
          <w:color w:val="000000"/>
          <w:sz w:val="21"/>
        </w:rPr>
        <w:t>Wang, G., Wei, Z., Zuo, Z., Zhan, H., &amp; Li, P. (2026). Adaptive augmentation of incremental nonlinear dynamic inversion for microquadrotor aerobatic flight control. IEEE Transactions on Aerospace and Electronic Systems, 62, 6225-6235. https://doi.org/10.1109/TAES.2026.3663140</w:t>
      </w:r>
    </w:p>
    <w:p w14:paraId="6AE4D8A1">
      <w:pPr>
        <w:pStyle w:val="23"/>
      </w:pPr>
      <w:r>
        <w:rPr>
          <w:rFonts w:ascii="Times New Roman" w:hAnsi="Times New Roman" w:eastAsia="宋体" w:cs="Times New Roman"/>
          <w:color w:val="000000"/>
          <w:sz w:val="21"/>
        </w:rPr>
        <w:t>Wang, L., Ames, A. D., &amp; Egerstedt, M. (2017). Safety barrier certificates for collisions-free multirobot systems. IEEE Transactions on Robotics, 33(3), 661-674. https://doi.org/10.1109/TRO.2017.2659727</w:t>
      </w:r>
    </w:p>
    <w:p w14:paraId="011D3228">
      <w:pPr>
        <w:pStyle w:val="23"/>
      </w:pPr>
      <w:r>
        <w:rPr>
          <w:rFonts w:ascii="Times New Roman" w:hAnsi="Times New Roman" w:eastAsia="宋体" w:cs="Times New Roman"/>
          <w:color w:val="000000"/>
          <w:sz w:val="21"/>
        </w:rPr>
        <w:t>Wang, W., &amp; Han, L. (2026). UAV formation control with obstacle avoidance using high-order control barrier functions in complex environments. In 2026 38th Chinese Control and Decision Conference (CCDC) (pp. 6939-6944). IEEE. https://doi.org/10.1109/CCDC69976.2026.11560452</w:t>
      </w:r>
    </w:p>
    <w:p w14:paraId="7AD45B9C">
      <w:pPr>
        <w:pStyle w:val="23"/>
      </w:pPr>
      <w:r>
        <w:rPr>
          <w:rFonts w:ascii="Times New Roman" w:hAnsi="Times New Roman" w:eastAsia="宋体" w:cs="Times New Roman"/>
          <w:color w:val="000000"/>
          <w:sz w:val="21"/>
        </w:rPr>
        <w:t>Wu, G., &amp; Sreenath, K. (2015). Safety-critical and constrained geometric control synthesis using control Lyapunov and control barrier functions for systems evolving on manifolds. In 2015 American Control Conference (ACC) (pp. 2038-2044). IEEE. https://doi.org/10.1109/ACC.2015.7171033</w:t>
      </w:r>
    </w:p>
    <w:p w14:paraId="7785EE10">
      <w:pPr>
        <w:pStyle w:val="23"/>
      </w:pPr>
      <w:r>
        <w:rPr>
          <w:rFonts w:ascii="Times New Roman" w:hAnsi="Times New Roman" w:eastAsia="宋体" w:cs="Times New Roman"/>
          <w:color w:val="000000"/>
          <w:sz w:val="21"/>
        </w:rPr>
        <w:t>Zuo, Z., Liu, C., Han, Q.-L., &amp; Song, J. (2022). Unmanned aerial vehicles: Control methods and future challenges. IEEE/CAA Journal of Automatica Sinica, 9(4), 601-614. https://doi.org/10.1109/JAS.2022.105410</w:t>
      </w:r>
    </w:p>
    <w:p w14:paraId="2FE806FA">
      <w:pPr>
        <w:pStyle w:val="2"/>
        <w:keepNext/>
        <w:keepLines/>
      </w:pPr>
      <w:bookmarkStart w:id="45" w:name="_Toc7007"/>
      <w:r>
        <w:rPr>
          <w:rFonts w:ascii="Times New Roman" w:hAnsi="Times New Roman" w:eastAsia="黑体" w:cs="Times New Roman"/>
          <w:b/>
          <w:color w:val="000000"/>
          <w:sz w:val="32"/>
        </w:rPr>
        <w:t>附录 A  文献检索与补充图</w:t>
      </w:r>
      <w:bookmarkEnd w:id="45"/>
    </w:p>
    <w:p w14:paraId="70AB868D">
      <w:pPr>
        <w:widowControl/>
        <w:spacing w:before="0" w:after="0" w:line="360" w:lineRule="auto"/>
        <w:ind w:firstLine="480"/>
        <w:jc w:val="both"/>
      </w:pPr>
      <w:r>
        <w:rPr>
          <w:rFonts w:ascii="Times New Roman" w:hAnsi="Times New Roman" w:eastAsia="宋体" w:cs="Times New Roman"/>
          <w:b w:val="0"/>
          <w:i w:val="0"/>
          <w:color w:val="000000"/>
          <w:sz w:val="24"/>
        </w:rPr>
        <w:t>本章使用OpenAlex Works API检索2015-2025年文献，以quadrotor、quadcopter和multirotor为题名关键词，并用控制相关词筛选；去重后共纳入6153篇文献。</w:t>
      </w:r>
    </w:p>
    <w:p w14:paraId="41E1F5EB">
      <w:pPr>
        <w:widowControl/>
        <w:spacing w:before="0" w:after="0" w:line="360" w:lineRule="auto"/>
        <w:ind w:firstLine="480"/>
        <w:jc w:val="both"/>
      </w:pPr>
      <w:r>
        <w:rPr>
          <w:rFonts w:ascii="Times New Roman" w:hAnsi="Times New Roman" w:eastAsia="宋体" w:cs="Times New Roman"/>
          <w:b w:val="0"/>
          <w:i w:val="0"/>
          <w:color w:val="000000"/>
          <w:sz w:val="24"/>
        </w:rPr>
        <w:t>附图A-1根据关键词出现频次和共现关系绘制，颜色越暖表示相关关键词越集中。非线性控制、滑模、自适应、姿态控制和扰动观测位于主要热点区域，MPC、编队控制和路径规划分布在外围。该图只用于说明研究热点分布。</w:t>
      </w:r>
    </w:p>
    <w:p w14:paraId="03CBA594">
      <w:pPr>
        <w:keepNext/>
        <w:keepLines/>
        <w:spacing w:before="0" w:after="60"/>
        <w:ind w:firstLine="0"/>
        <w:jc w:val="center"/>
      </w:pPr>
      <w:r>
        <w:drawing>
          <wp:inline distT="0" distB="0" distL="114300" distR="114300">
            <wp:extent cx="5327650" cy="4138295"/>
            <wp:effectExtent l="0" t="0" r="6350" b="14605"/>
            <wp:docPr id="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
                    <pic:cNvPicPr>
                      <a:picLocks noChangeAspect="1"/>
                    </pic:cNvPicPr>
                  </pic:nvPicPr>
                  <pic:blipFill>
                    <a:blip r:embed="rId34"/>
                    <a:stretch>
                      <a:fillRect/>
                    </a:stretch>
                  </pic:blipFill>
                  <pic:spPr>
                    <a:xfrm>
                      <a:off x="0" y="0"/>
                      <a:ext cx="5328000" cy="4138918"/>
                    </a:xfrm>
                    <a:prstGeom prst="rect">
                      <a:avLst/>
                    </a:prstGeom>
                  </pic:spPr>
                </pic:pic>
              </a:graphicData>
            </a:graphic>
          </wp:inline>
        </w:drawing>
      </w:r>
    </w:p>
    <w:p w14:paraId="46F8D1EC">
      <w:pPr>
        <w:pStyle w:val="4"/>
        <w:keepNext w:val="0"/>
        <w:ind w:firstLine="0"/>
        <w:jc w:val="center"/>
      </w:pPr>
      <w:r>
        <w:rPr>
          <w:rFonts w:ascii="Times New Roman" w:hAnsi="Times New Roman" w:eastAsia="宋体" w:cs="Times New Roman"/>
          <w:b/>
          <w:i w:val="0"/>
          <w:color w:val="000000"/>
          <w:sz w:val="21"/>
        </w:rPr>
        <w:t>附图 A-1  2015-2025年四旋翼控制研究关键词相对密度分布</w:t>
      </w:r>
    </w:p>
    <w:p w14:paraId="64907E42">
      <w:pPr>
        <w:spacing w:before="0" w:after="0" w:line="360" w:lineRule="auto"/>
        <w:ind w:left="283" w:right="283" w:firstLine="480"/>
        <w:jc w:val="both"/>
      </w:pPr>
      <w:r>
        <w:rPr>
          <w:rFonts w:ascii="Times New Roman" w:hAnsi="Times New Roman" w:eastAsia="宋体" w:cs="Times New Roman"/>
          <w:b w:val="0"/>
          <w:i w:val="0"/>
          <w:color w:val="000000"/>
          <w:sz w:val="24"/>
        </w:rPr>
        <w:t>注：颜色表示同一批文献中关键词的相对研究密度。</w:t>
      </w:r>
    </w:p>
    <w:p w14:paraId="76E4EAB5">
      <w:r>
        <w:br w:type="page"/>
      </w:r>
    </w:p>
    <w:p w14:paraId="58937C6D">
      <w:pPr>
        <w:pStyle w:val="2"/>
        <w:spacing w:before="80" w:after="40"/>
      </w:pPr>
      <w:bookmarkStart w:id="46" w:name="_Toc3715"/>
      <w:r>
        <w:rPr>
          <w:rFonts w:ascii="Times New Roman" w:hAnsi="Times New Roman" w:eastAsia="黑体" w:cs="Times New Roman"/>
          <w:b/>
          <w:color w:val="000000"/>
          <w:sz w:val="32"/>
        </w:rPr>
        <w:t>附录B 接口、指标与数据来源</w:t>
      </w:r>
      <w:bookmarkEnd w:id="46"/>
    </w:p>
    <w:p w14:paraId="6270CCC1">
      <w:pPr>
        <w:spacing w:before="0" w:after="0" w:line="360" w:lineRule="auto"/>
        <w:ind w:firstLine="480"/>
        <w:jc w:val="both"/>
      </w:pPr>
      <w:r>
        <w:rPr>
          <w:rFonts w:ascii="Times New Roman" w:hAnsi="Times New Roman" w:eastAsia="宋体" w:cs="Times New Roman"/>
          <w:color w:val="000000"/>
          <w:sz w:val="24"/>
        </w:rPr>
        <w:t>本附录说明第2章使用的控制器接口、指标计算方法和数据来源。正文保留主要结果，附录补充信号组成和计算定义，便于读者理解后续算法如何接入同一模型并进行比较。</w:t>
      </w:r>
    </w:p>
    <w:p w14:paraId="3BA1064B">
      <w:pPr>
        <w:pStyle w:val="3"/>
        <w:spacing w:before="80" w:after="40"/>
      </w:pPr>
      <w:bookmarkStart w:id="47" w:name="_Toc747"/>
      <w:r>
        <w:rPr>
          <w:rFonts w:ascii="Times New Roman" w:hAnsi="Times New Roman" w:eastAsia="黑体" w:cs="Times New Roman"/>
          <w:b/>
          <w:color w:val="000000"/>
          <w:sz w:val="26"/>
        </w:rPr>
        <w:t>B.1  标准化接口定义</w:t>
      </w:r>
      <w:bookmarkEnd w:id="47"/>
    </w:p>
    <w:p w14:paraId="489879C4">
      <w:pPr>
        <w:spacing w:before="0" w:after="0" w:line="360" w:lineRule="auto"/>
        <w:ind w:firstLine="480"/>
        <w:jc w:val="both"/>
      </w:pPr>
      <w:r>
        <w:rPr>
          <w:rFonts w:ascii="Times New Roman" w:hAnsi="Times New Roman" w:eastAsia="宋体" w:cs="Times New Roman"/>
          <w:color w:val="000000"/>
          <w:sz w:val="24"/>
        </w:rPr>
        <w:t>附表B-1给出后续Sysblock控制器与赛题模型之间的统一接口。正文说明各组信号的维数，附表进一步列出信号组成和用途，便于比较不同控制器的输入与输出。</w:t>
      </w:r>
    </w:p>
    <w:p w14:paraId="6F5B110A">
      <w:pPr>
        <w:pStyle w:val="4"/>
        <w:keepNext/>
      </w:pPr>
      <w:r>
        <w:rPr>
          <w:rFonts w:ascii="Times New Roman" w:hAnsi="Times New Roman" w:eastAsia="宋体" w:cs="Times New Roman"/>
          <w:b/>
          <w:color w:val="000000"/>
          <w:sz w:val="21"/>
        </w:rPr>
        <w:t>表B-1  标准化控制器接口与信号顺序</w:t>
      </w:r>
    </w:p>
    <w:tbl>
      <w:tblPr>
        <w:tblStyle w:val="11"/>
        <w:tblW w:w="0" w:type="auto"/>
        <w:jc w:val="center"/>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Layout w:type="fixed"/>
        <w:tblCellMar>
          <w:top w:w="20" w:type="dxa"/>
          <w:left w:w="35" w:type="dxa"/>
          <w:bottom w:w="20" w:type="dxa"/>
          <w:right w:w="35" w:type="dxa"/>
        </w:tblCellMar>
      </w:tblPr>
      <w:tblGrid>
        <w:gridCol w:w="2197"/>
        <w:gridCol w:w="2197"/>
        <w:gridCol w:w="2197"/>
        <w:gridCol w:w="2197"/>
      </w:tblGrid>
      <w:tr w14:paraId="2F33D2F7">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20" w:type="dxa"/>
            <w:left w:w="35" w:type="dxa"/>
            <w:bottom w:w="20" w:type="dxa"/>
            <w:right w:w="35" w:type="dxa"/>
          </w:tblCellMar>
        </w:tblPrEx>
        <w:trPr>
          <w:cantSplit/>
          <w:tblHeader/>
          <w:jc w:val="center"/>
        </w:trPr>
        <w:tc>
          <w:tcPr>
            <w:tcW w:w="1531" w:type="dxa"/>
            <w:tcBorders>
              <w:bottom w:val="single" w:color="000000" w:sz="4" w:space="0"/>
            </w:tcBorders>
            <w:tcMar>
              <w:top w:w="80" w:type="dxa"/>
              <w:left w:w="80" w:type="dxa"/>
              <w:bottom w:w="80" w:type="dxa"/>
              <w:right w:w="80" w:type="dxa"/>
            </w:tcMar>
            <w:vAlign w:val="center"/>
          </w:tcPr>
          <w:p w14:paraId="7BC5BC64">
            <w:pPr>
              <w:spacing w:before="0" w:after="0" w:line="240" w:lineRule="auto"/>
              <w:ind w:firstLine="0"/>
              <w:jc w:val="center"/>
            </w:pPr>
            <w:r>
              <w:rPr>
                <w:rFonts w:ascii="Times New Roman" w:hAnsi="Times New Roman" w:eastAsia="宋体" w:cs="Times New Roman"/>
                <w:b/>
                <w:color w:val="000000"/>
                <w:sz w:val="19"/>
              </w:rPr>
              <w:t>接口</w:t>
            </w:r>
          </w:p>
        </w:tc>
        <w:tc>
          <w:tcPr>
            <w:tcW w:w="737" w:type="dxa"/>
            <w:tcBorders>
              <w:bottom w:val="single" w:color="000000" w:sz="4" w:space="0"/>
            </w:tcBorders>
            <w:tcMar>
              <w:top w:w="80" w:type="dxa"/>
              <w:left w:w="80" w:type="dxa"/>
              <w:bottom w:w="80" w:type="dxa"/>
              <w:right w:w="80" w:type="dxa"/>
            </w:tcMar>
            <w:vAlign w:val="center"/>
          </w:tcPr>
          <w:p w14:paraId="5EF6A12F">
            <w:pPr>
              <w:spacing w:before="0" w:after="0" w:line="240" w:lineRule="auto"/>
              <w:ind w:firstLine="0"/>
              <w:jc w:val="center"/>
            </w:pPr>
            <w:r>
              <w:rPr>
                <w:rFonts w:ascii="Times New Roman" w:hAnsi="Times New Roman" w:eastAsia="宋体" w:cs="Times New Roman"/>
                <w:b/>
                <w:color w:val="000000"/>
                <w:sz w:val="19"/>
              </w:rPr>
              <w:t>维数</w:t>
            </w:r>
          </w:p>
        </w:tc>
        <w:tc>
          <w:tcPr>
            <w:tcW w:w="4025" w:type="dxa"/>
            <w:tcBorders>
              <w:bottom w:val="single" w:color="000000" w:sz="4" w:space="0"/>
            </w:tcBorders>
            <w:tcMar>
              <w:top w:w="80" w:type="dxa"/>
              <w:left w:w="80" w:type="dxa"/>
              <w:bottom w:w="80" w:type="dxa"/>
              <w:right w:w="80" w:type="dxa"/>
            </w:tcMar>
            <w:vAlign w:val="center"/>
          </w:tcPr>
          <w:p w14:paraId="3DA2FC4D">
            <w:pPr>
              <w:spacing w:before="0" w:after="0" w:line="240" w:lineRule="auto"/>
              <w:ind w:firstLine="0"/>
              <w:jc w:val="center"/>
            </w:pPr>
            <w:r>
              <w:rPr>
                <w:rFonts w:ascii="Times New Roman" w:hAnsi="Times New Roman" w:eastAsia="宋体" w:cs="Times New Roman"/>
                <w:b/>
                <w:color w:val="000000"/>
                <w:sz w:val="19"/>
              </w:rPr>
              <w:t>分量顺序</w:t>
            </w:r>
          </w:p>
        </w:tc>
        <w:tc>
          <w:tcPr>
            <w:tcW w:w="2494" w:type="dxa"/>
            <w:tcBorders>
              <w:bottom w:val="single" w:color="000000" w:sz="4" w:space="0"/>
            </w:tcBorders>
            <w:tcMar>
              <w:top w:w="80" w:type="dxa"/>
              <w:left w:w="80" w:type="dxa"/>
              <w:bottom w:w="80" w:type="dxa"/>
              <w:right w:w="80" w:type="dxa"/>
            </w:tcMar>
            <w:vAlign w:val="center"/>
          </w:tcPr>
          <w:p w14:paraId="2E452196">
            <w:pPr>
              <w:spacing w:before="0" w:after="0" w:line="240" w:lineRule="auto"/>
              <w:ind w:firstLine="0"/>
              <w:jc w:val="center"/>
            </w:pPr>
            <w:r>
              <w:rPr>
                <w:rFonts w:ascii="Times New Roman" w:hAnsi="Times New Roman" w:eastAsia="宋体" w:cs="Times New Roman"/>
                <w:b/>
                <w:color w:val="000000"/>
                <w:sz w:val="19"/>
              </w:rPr>
              <w:t>用途</w:t>
            </w:r>
          </w:p>
        </w:tc>
      </w:tr>
      <w:tr w14:paraId="72FD0989">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20" w:type="dxa"/>
            <w:left w:w="35" w:type="dxa"/>
            <w:bottom w:w="20" w:type="dxa"/>
            <w:right w:w="35" w:type="dxa"/>
          </w:tblCellMar>
        </w:tblPrEx>
        <w:trPr>
          <w:cantSplit/>
          <w:jc w:val="center"/>
        </w:trPr>
        <w:tc>
          <w:tcPr>
            <w:tcW w:w="1531" w:type="dxa"/>
            <w:tcMar>
              <w:top w:w="80" w:type="dxa"/>
              <w:left w:w="80" w:type="dxa"/>
              <w:bottom w:w="80" w:type="dxa"/>
              <w:right w:w="80" w:type="dxa"/>
            </w:tcMar>
            <w:vAlign w:val="center"/>
          </w:tcPr>
          <w:p w14:paraId="39E684D4">
            <w:pPr>
              <w:spacing w:before="0" w:after="0" w:line="240" w:lineRule="auto"/>
              <w:ind w:firstLine="0"/>
              <w:jc w:val="center"/>
            </w:pPr>
            <w:r>
              <w:rPr>
                <w:rFonts w:ascii="Times New Roman" w:hAnsi="Times New Roman" w:eastAsia="宋体" w:cs="Times New Roman"/>
                <w:b w:val="0"/>
                <w:color w:val="000000"/>
                <w:sz w:val="19"/>
              </w:rPr>
              <w:t>参考向量 reference</w:t>
            </w:r>
          </w:p>
        </w:tc>
        <w:tc>
          <w:tcPr>
            <w:tcW w:w="737" w:type="dxa"/>
            <w:tcMar>
              <w:top w:w="80" w:type="dxa"/>
              <w:left w:w="80" w:type="dxa"/>
              <w:bottom w:w="80" w:type="dxa"/>
              <w:right w:w="80" w:type="dxa"/>
            </w:tcMar>
            <w:vAlign w:val="center"/>
          </w:tcPr>
          <w:p w14:paraId="155879FD">
            <w:pPr>
              <w:spacing w:before="0" w:after="0" w:line="240" w:lineRule="auto"/>
              <w:ind w:firstLine="0"/>
              <w:jc w:val="center"/>
            </w:pPr>
            <w:r>
              <w:rPr>
                <w:rFonts w:ascii="Times New Roman" w:hAnsi="Times New Roman" w:eastAsia="宋体" w:cs="Times New Roman"/>
                <w:b w:val="0"/>
                <w:color w:val="000000"/>
                <w:sz w:val="19"/>
              </w:rPr>
              <w:t>11</w:t>
            </w:r>
          </w:p>
        </w:tc>
        <w:tc>
          <w:tcPr>
            <w:tcW w:w="4025" w:type="dxa"/>
            <w:tcMar>
              <w:top w:w="80" w:type="dxa"/>
              <w:left w:w="80" w:type="dxa"/>
              <w:bottom w:w="80" w:type="dxa"/>
              <w:right w:w="80" w:type="dxa"/>
            </w:tcMar>
            <w:vAlign w:val="center"/>
          </w:tcPr>
          <w:p w14:paraId="50F5C380">
            <w:pPr>
              <w:spacing w:before="0" w:after="0" w:line="240" w:lineRule="auto"/>
              <w:ind w:firstLine="0"/>
              <w:jc w:val="center"/>
            </w:pPr>
            <w:r>
              <w:rPr>
                <w:rFonts w:ascii="Times New Roman" w:hAnsi="Times New Roman" w:eastAsia="宋体" w:cs="Times New Roman"/>
                <w:b w:val="0"/>
                <w:color w:val="000000"/>
                <w:sz w:val="19"/>
              </w:rPr>
              <w:t>期望位置(3)、速度(3)、加速度(3)、期望偏航角、期望偏航角速度</w:t>
            </w:r>
          </w:p>
        </w:tc>
        <w:tc>
          <w:tcPr>
            <w:tcW w:w="2494" w:type="dxa"/>
            <w:tcMar>
              <w:top w:w="80" w:type="dxa"/>
              <w:left w:w="80" w:type="dxa"/>
              <w:bottom w:w="80" w:type="dxa"/>
              <w:right w:w="80" w:type="dxa"/>
            </w:tcMar>
            <w:vAlign w:val="center"/>
          </w:tcPr>
          <w:p w14:paraId="3D6D0FEF">
            <w:pPr>
              <w:spacing w:before="0" w:after="0" w:line="240" w:lineRule="auto"/>
              <w:ind w:firstLine="0"/>
              <w:jc w:val="center"/>
            </w:pPr>
            <w:r>
              <w:rPr>
                <w:rFonts w:ascii="Times New Roman" w:hAnsi="Times New Roman" w:eastAsia="宋体" w:cs="Times New Roman"/>
                <w:b w:val="0"/>
                <w:color w:val="000000"/>
                <w:sz w:val="19"/>
              </w:rPr>
              <w:t>轨迹指令；本章场景的后两维为零</w:t>
            </w:r>
          </w:p>
        </w:tc>
      </w:tr>
      <w:tr w14:paraId="4AC53DA5">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20" w:type="dxa"/>
            <w:left w:w="35" w:type="dxa"/>
            <w:bottom w:w="20" w:type="dxa"/>
            <w:right w:w="35" w:type="dxa"/>
          </w:tblCellMar>
        </w:tblPrEx>
        <w:trPr>
          <w:cantSplit/>
          <w:jc w:val="center"/>
        </w:trPr>
        <w:tc>
          <w:tcPr>
            <w:tcW w:w="1531" w:type="dxa"/>
            <w:tcMar>
              <w:top w:w="80" w:type="dxa"/>
              <w:left w:w="80" w:type="dxa"/>
              <w:bottom w:w="80" w:type="dxa"/>
              <w:right w:w="80" w:type="dxa"/>
            </w:tcMar>
            <w:vAlign w:val="center"/>
          </w:tcPr>
          <w:p w14:paraId="4CA024B1">
            <w:pPr>
              <w:spacing w:before="0" w:after="0" w:line="240" w:lineRule="auto"/>
              <w:ind w:firstLine="0"/>
              <w:jc w:val="center"/>
            </w:pPr>
            <w:r>
              <w:rPr>
                <w:rFonts w:ascii="Times New Roman" w:hAnsi="Times New Roman" w:eastAsia="宋体" w:cs="Times New Roman"/>
                <w:b w:val="0"/>
                <w:color w:val="000000"/>
                <w:sz w:val="19"/>
              </w:rPr>
              <w:t>状态向量 state</w:t>
            </w:r>
          </w:p>
        </w:tc>
        <w:tc>
          <w:tcPr>
            <w:tcW w:w="737" w:type="dxa"/>
            <w:tcMar>
              <w:top w:w="80" w:type="dxa"/>
              <w:left w:w="80" w:type="dxa"/>
              <w:bottom w:w="80" w:type="dxa"/>
              <w:right w:w="80" w:type="dxa"/>
            </w:tcMar>
            <w:vAlign w:val="center"/>
          </w:tcPr>
          <w:p w14:paraId="27BA1D18">
            <w:pPr>
              <w:spacing w:before="0" w:after="0" w:line="240" w:lineRule="auto"/>
              <w:ind w:firstLine="0"/>
              <w:jc w:val="center"/>
            </w:pPr>
            <w:r>
              <w:rPr>
                <w:rFonts w:ascii="Times New Roman" w:hAnsi="Times New Roman" w:eastAsia="宋体" w:cs="Times New Roman"/>
                <w:b w:val="0"/>
                <w:color w:val="000000"/>
                <w:sz w:val="19"/>
              </w:rPr>
              <w:t>18</w:t>
            </w:r>
          </w:p>
        </w:tc>
        <w:tc>
          <w:tcPr>
            <w:tcW w:w="4025" w:type="dxa"/>
            <w:tcMar>
              <w:top w:w="80" w:type="dxa"/>
              <w:left w:w="80" w:type="dxa"/>
              <w:bottom w:w="80" w:type="dxa"/>
              <w:right w:w="80" w:type="dxa"/>
            </w:tcMar>
            <w:vAlign w:val="center"/>
          </w:tcPr>
          <w:p w14:paraId="2DF1FA14">
            <w:pPr>
              <w:spacing w:before="0" w:after="0" w:line="240" w:lineRule="auto"/>
              <w:ind w:firstLine="0"/>
              <w:jc w:val="center"/>
            </w:pPr>
            <w:r>
              <w:rPr>
                <w:rFonts w:ascii="Times New Roman" w:hAnsi="Times New Roman" w:eastAsia="宋体" w:cs="Times New Roman"/>
                <w:b w:val="0"/>
                <w:color w:val="000000"/>
                <w:sz w:val="19"/>
              </w:rPr>
              <w:t>位置(3)、速度(3)、旋转矩阵三个列向量(9)、机体角速度(3)</w:t>
            </w:r>
          </w:p>
        </w:tc>
        <w:tc>
          <w:tcPr>
            <w:tcW w:w="2494" w:type="dxa"/>
            <w:tcMar>
              <w:top w:w="80" w:type="dxa"/>
              <w:left w:w="80" w:type="dxa"/>
              <w:bottom w:w="80" w:type="dxa"/>
              <w:right w:w="80" w:type="dxa"/>
            </w:tcMar>
            <w:vAlign w:val="center"/>
          </w:tcPr>
          <w:p w14:paraId="2A2C29DA">
            <w:pPr>
              <w:spacing w:before="0" w:after="0" w:line="240" w:lineRule="auto"/>
              <w:ind w:firstLine="0"/>
              <w:jc w:val="center"/>
            </w:pPr>
            <w:r>
              <w:rPr>
                <w:rFonts w:ascii="Times New Roman" w:hAnsi="Times New Roman" w:eastAsia="宋体" w:cs="Times New Roman"/>
                <w:color w:val="000000"/>
                <w:sz w:val="19"/>
              </w:rPr>
              <w:t>状态反馈与姿态计算</w:t>
            </w:r>
          </w:p>
        </w:tc>
      </w:tr>
      <w:tr w14:paraId="7BF99CC9">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20" w:type="dxa"/>
            <w:left w:w="35" w:type="dxa"/>
            <w:bottom w:w="20" w:type="dxa"/>
            <w:right w:w="35" w:type="dxa"/>
          </w:tblCellMar>
        </w:tblPrEx>
        <w:trPr>
          <w:cantSplit/>
          <w:jc w:val="center"/>
        </w:trPr>
        <w:tc>
          <w:tcPr>
            <w:tcW w:w="1531" w:type="dxa"/>
            <w:tcMar>
              <w:top w:w="80" w:type="dxa"/>
              <w:left w:w="80" w:type="dxa"/>
              <w:bottom w:w="80" w:type="dxa"/>
              <w:right w:w="80" w:type="dxa"/>
            </w:tcMar>
            <w:vAlign w:val="center"/>
          </w:tcPr>
          <w:p w14:paraId="2118F1D4">
            <w:pPr>
              <w:spacing w:before="0" w:after="0" w:line="240" w:lineRule="auto"/>
              <w:ind w:firstLine="0"/>
              <w:jc w:val="center"/>
            </w:pPr>
            <w:r>
              <w:rPr>
                <w:rFonts w:ascii="Times New Roman" w:hAnsi="Times New Roman" w:eastAsia="宋体" w:cs="Times New Roman"/>
                <w:b w:val="0"/>
                <w:color w:val="000000"/>
                <w:sz w:val="19"/>
              </w:rPr>
              <w:t>分配器限制 allocator_limit</w:t>
            </w:r>
          </w:p>
        </w:tc>
        <w:tc>
          <w:tcPr>
            <w:tcW w:w="737" w:type="dxa"/>
            <w:tcMar>
              <w:top w:w="80" w:type="dxa"/>
              <w:left w:w="80" w:type="dxa"/>
              <w:bottom w:w="80" w:type="dxa"/>
              <w:right w:w="80" w:type="dxa"/>
            </w:tcMar>
            <w:vAlign w:val="center"/>
          </w:tcPr>
          <w:p w14:paraId="62B97D93">
            <w:pPr>
              <w:spacing w:before="0" w:after="0" w:line="240" w:lineRule="auto"/>
              <w:ind w:firstLine="0"/>
              <w:jc w:val="center"/>
            </w:pPr>
            <w:r>
              <w:rPr>
                <w:rFonts w:ascii="Times New Roman" w:hAnsi="Times New Roman" w:eastAsia="宋体" w:cs="Times New Roman"/>
                <w:b w:val="0"/>
                <w:color w:val="000000"/>
                <w:sz w:val="19"/>
              </w:rPr>
              <w:t>2</w:t>
            </w:r>
          </w:p>
        </w:tc>
        <w:tc>
          <w:tcPr>
            <w:tcW w:w="4025" w:type="dxa"/>
            <w:tcMar>
              <w:top w:w="80" w:type="dxa"/>
              <w:left w:w="80" w:type="dxa"/>
              <w:bottom w:w="80" w:type="dxa"/>
              <w:right w:w="80" w:type="dxa"/>
            </w:tcMar>
            <w:vAlign w:val="center"/>
          </w:tcPr>
          <w:p w14:paraId="6D42AE9B">
            <w:pPr>
              <w:spacing w:before="0" w:after="0" w:line="240" w:lineRule="auto"/>
              <w:ind w:firstLine="0"/>
              <w:jc w:val="center"/>
            </w:pPr>
            <w:r>
              <w:rPr>
                <w:rFonts w:ascii="Times New Roman" w:hAnsi="Times New Roman" w:eastAsia="宋体" w:cs="Times New Roman"/>
                <w:b w:val="0"/>
                <w:color w:val="000000"/>
                <w:sz w:val="19"/>
              </w:rPr>
              <w:t>四个旋翼平方转速的统一下限和上限</w:t>
            </w:r>
          </w:p>
        </w:tc>
        <w:tc>
          <w:tcPr>
            <w:tcW w:w="2494" w:type="dxa"/>
            <w:tcMar>
              <w:top w:w="80" w:type="dxa"/>
              <w:left w:w="80" w:type="dxa"/>
              <w:bottom w:w="80" w:type="dxa"/>
              <w:right w:w="80" w:type="dxa"/>
            </w:tcMar>
            <w:vAlign w:val="center"/>
          </w:tcPr>
          <w:p w14:paraId="0B10A48B">
            <w:pPr>
              <w:spacing w:before="0" w:after="0" w:line="240" w:lineRule="auto"/>
              <w:ind w:firstLine="0"/>
              <w:jc w:val="center"/>
            </w:pPr>
            <w:r>
              <w:rPr>
                <w:rFonts w:ascii="Times New Roman" w:hAnsi="Times New Roman" w:eastAsia="宋体" w:cs="Times New Roman"/>
                <w:b w:val="0"/>
                <w:color w:val="000000"/>
                <w:sz w:val="19"/>
              </w:rPr>
              <w:t>电机分配、饱和处理和最终限幅</w:t>
            </w:r>
          </w:p>
        </w:tc>
      </w:tr>
      <w:tr w14:paraId="46C501BE">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20" w:type="dxa"/>
            <w:left w:w="35" w:type="dxa"/>
            <w:bottom w:w="20" w:type="dxa"/>
            <w:right w:w="35" w:type="dxa"/>
          </w:tblCellMar>
        </w:tblPrEx>
        <w:trPr>
          <w:cantSplit/>
          <w:jc w:val="center"/>
        </w:trPr>
        <w:tc>
          <w:tcPr>
            <w:tcW w:w="1531" w:type="dxa"/>
            <w:tcMar>
              <w:top w:w="80" w:type="dxa"/>
              <w:left w:w="80" w:type="dxa"/>
              <w:bottom w:w="80" w:type="dxa"/>
              <w:right w:w="80" w:type="dxa"/>
            </w:tcMar>
            <w:vAlign w:val="center"/>
          </w:tcPr>
          <w:p w14:paraId="692BA3B2">
            <w:pPr>
              <w:spacing w:before="0" w:after="0" w:line="240" w:lineRule="auto"/>
              <w:ind w:firstLine="0"/>
              <w:jc w:val="center"/>
            </w:pPr>
            <w:r>
              <w:rPr>
                <w:rFonts w:ascii="Times New Roman" w:hAnsi="Times New Roman" w:eastAsia="宋体" w:cs="Times New Roman"/>
                <w:b w:val="0"/>
                <w:color w:val="000000"/>
                <w:sz w:val="19"/>
              </w:rPr>
              <w:t>电机指令 motor_cmd</w:t>
            </w:r>
          </w:p>
        </w:tc>
        <w:tc>
          <w:tcPr>
            <w:tcW w:w="737" w:type="dxa"/>
            <w:tcMar>
              <w:top w:w="80" w:type="dxa"/>
              <w:left w:w="80" w:type="dxa"/>
              <w:bottom w:w="80" w:type="dxa"/>
              <w:right w:w="80" w:type="dxa"/>
            </w:tcMar>
            <w:vAlign w:val="center"/>
          </w:tcPr>
          <w:p w14:paraId="4D461538">
            <w:pPr>
              <w:spacing w:before="0" w:after="0" w:line="240" w:lineRule="auto"/>
              <w:ind w:firstLine="0"/>
              <w:jc w:val="center"/>
            </w:pPr>
            <w:r>
              <w:rPr>
                <w:rFonts w:ascii="Times New Roman" w:hAnsi="Times New Roman" w:eastAsia="宋体" w:cs="Times New Roman"/>
                <w:b w:val="0"/>
                <w:color w:val="000000"/>
                <w:sz w:val="19"/>
              </w:rPr>
              <w:t>4</w:t>
            </w:r>
          </w:p>
        </w:tc>
        <w:tc>
          <w:tcPr>
            <w:tcW w:w="4025" w:type="dxa"/>
            <w:tcMar>
              <w:top w:w="80" w:type="dxa"/>
              <w:left w:w="80" w:type="dxa"/>
              <w:bottom w:w="80" w:type="dxa"/>
              <w:right w:w="80" w:type="dxa"/>
            </w:tcMar>
            <w:vAlign w:val="center"/>
          </w:tcPr>
          <w:p w14:paraId="3B76A362">
            <w:pPr>
              <w:spacing w:before="0" w:after="0" w:line="240" w:lineRule="auto"/>
              <w:ind w:firstLine="0"/>
              <w:jc w:val="center"/>
            </w:pPr>
            <w:r>
              <w:rPr>
                <w:rFonts w:ascii="Times New Roman" w:hAnsi="Times New Roman" w:eastAsia="宋体" w:cs="Times New Roman"/>
                <w:b w:val="0"/>
                <w:color w:val="000000"/>
                <w:sz w:val="19"/>
              </w:rPr>
              <w:t>第1至第4路电机控制指令</w:t>
            </w:r>
          </w:p>
        </w:tc>
        <w:tc>
          <w:tcPr>
            <w:tcW w:w="2494" w:type="dxa"/>
            <w:tcMar>
              <w:top w:w="80" w:type="dxa"/>
              <w:left w:w="80" w:type="dxa"/>
              <w:bottom w:w="80" w:type="dxa"/>
              <w:right w:w="80" w:type="dxa"/>
            </w:tcMar>
            <w:vAlign w:val="center"/>
          </w:tcPr>
          <w:p w14:paraId="5C308185">
            <w:pPr>
              <w:spacing w:before="0" w:after="0" w:line="240" w:lineRule="auto"/>
              <w:ind w:firstLine="0"/>
              <w:jc w:val="center"/>
            </w:pPr>
            <w:r>
              <w:rPr>
                <w:rFonts w:ascii="Times New Roman" w:hAnsi="Times New Roman" w:eastAsia="宋体" w:cs="Times New Roman"/>
                <w:b w:val="0"/>
                <w:color w:val="000000"/>
                <w:sz w:val="19"/>
              </w:rPr>
              <w:t>连接官方四路执行器</w:t>
            </w:r>
          </w:p>
        </w:tc>
      </w:tr>
      <w:tr w14:paraId="01F48F0E">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20" w:type="dxa"/>
            <w:left w:w="35" w:type="dxa"/>
            <w:bottom w:w="20" w:type="dxa"/>
            <w:right w:w="35" w:type="dxa"/>
          </w:tblCellMar>
        </w:tblPrEx>
        <w:trPr>
          <w:cantSplit/>
          <w:jc w:val="center"/>
        </w:trPr>
        <w:tc>
          <w:tcPr>
            <w:tcW w:w="1531" w:type="dxa"/>
            <w:tcMar>
              <w:top w:w="80" w:type="dxa"/>
              <w:left w:w="80" w:type="dxa"/>
              <w:bottom w:w="80" w:type="dxa"/>
              <w:right w:w="80" w:type="dxa"/>
            </w:tcMar>
            <w:vAlign w:val="center"/>
          </w:tcPr>
          <w:p w14:paraId="7C46802F">
            <w:pPr>
              <w:spacing w:before="0" w:after="0" w:line="240" w:lineRule="auto"/>
              <w:ind w:firstLine="0"/>
              <w:jc w:val="center"/>
            </w:pPr>
            <w:r>
              <w:rPr>
                <w:rFonts w:ascii="Times New Roman" w:hAnsi="Times New Roman" w:eastAsia="宋体" w:cs="Times New Roman"/>
                <w:b w:val="0"/>
                <w:color w:val="000000"/>
                <w:sz w:val="19"/>
              </w:rPr>
              <w:t>诊断向量 diagnostics</w:t>
            </w:r>
          </w:p>
        </w:tc>
        <w:tc>
          <w:tcPr>
            <w:tcW w:w="737" w:type="dxa"/>
            <w:tcMar>
              <w:top w:w="80" w:type="dxa"/>
              <w:left w:w="80" w:type="dxa"/>
              <w:bottom w:w="80" w:type="dxa"/>
              <w:right w:w="80" w:type="dxa"/>
            </w:tcMar>
            <w:vAlign w:val="center"/>
          </w:tcPr>
          <w:p w14:paraId="4B3101E3">
            <w:pPr>
              <w:spacing w:before="0" w:after="0" w:line="240" w:lineRule="auto"/>
              <w:ind w:firstLine="0"/>
              <w:jc w:val="center"/>
            </w:pPr>
            <w:r>
              <w:rPr>
                <w:rFonts w:ascii="Times New Roman" w:hAnsi="Times New Roman" w:eastAsia="宋体" w:cs="Times New Roman"/>
                <w:b w:val="0"/>
                <w:color w:val="000000"/>
                <w:sz w:val="19"/>
              </w:rPr>
              <w:t>16</w:t>
            </w:r>
          </w:p>
        </w:tc>
        <w:tc>
          <w:tcPr>
            <w:tcW w:w="4025" w:type="dxa"/>
            <w:tcMar>
              <w:top w:w="80" w:type="dxa"/>
              <w:left w:w="80" w:type="dxa"/>
              <w:bottom w:w="80" w:type="dxa"/>
              <w:right w:w="80" w:type="dxa"/>
            </w:tcMar>
            <w:vAlign w:val="center"/>
          </w:tcPr>
          <w:p w14:paraId="4821EFAA">
            <w:pPr>
              <w:spacing w:before="0" w:after="0" w:line="240" w:lineRule="auto"/>
              <w:ind w:firstLine="0"/>
              <w:jc w:val="center"/>
            </w:pPr>
            <w:r>
              <w:rPr>
                <w:rFonts w:ascii="Times New Roman" w:hAnsi="Times New Roman" w:eastAsia="宋体" w:cs="Times New Roman"/>
                <w:b w:val="0"/>
                <w:color w:val="000000"/>
                <w:sz w:val="19"/>
              </w:rPr>
              <w:t>前10项记录力、力矩、分配误差和控制误差；后6项记录推力尺度估计、估计有效状态和电机限制状态</w:t>
            </w:r>
          </w:p>
        </w:tc>
        <w:tc>
          <w:tcPr>
            <w:tcW w:w="2494" w:type="dxa"/>
            <w:tcMar>
              <w:top w:w="80" w:type="dxa"/>
              <w:left w:w="80" w:type="dxa"/>
              <w:bottom w:w="80" w:type="dxa"/>
              <w:right w:w="80" w:type="dxa"/>
            </w:tcMar>
            <w:vAlign w:val="center"/>
          </w:tcPr>
          <w:p w14:paraId="423840D0">
            <w:pPr>
              <w:spacing w:before="0" w:after="0" w:line="240" w:lineRule="auto"/>
              <w:ind w:firstLine="0"/>
              <w:jc w:val="center"/>
            </w:pPr>
            <w:r>
              <w:rPr>
                <w:rFonts w:ascii="Times New Roman" w:hAnsi="Times New Roman" w:eastAsia="宋体" w:cs="Times New Roman"/>
                <w:b w:val="0"/>
                <w:color w:val="000000"/>
                <w:sz w:val="19"/>
              </w:rPr>
              <w:t>分析控制器状态和电机限制</w:t>
            </w:r>
          </w:p>
        </w:tc>
      </w:tr>
    </w:tbl>
    <w:p w14:paraId="430B4423">
      <w:pPr>
        <w:spacing w:before="0" w:after="40"/>
        <w:ind w:firstLine="0"/>
      </w:pPr>
    </w:p>
    <w:p w14:paraId="57318568">
      <w:pPr>
        <w:pStyle w:val="3"/>
        <w:spacing w:before="80" w:after="40"/>
      </w:pPr>
      <w:bookmarkStart w:id="48" w:name="_Toc8485"/>
      <w:r>
        <w:rPr>
          <w:rFonts w:ascii="Times New Roman" w:hAnsi="Times New Roman" w:eastAsia="黑体" w:cs="Times New Roman"/>
          <w:b/>
          <w:color w:val="000000"/>
          <w:sz w:val="26"/>
        </w:rPr>
        <w:t>B.2  指标计算方法</w:t>
      </w:r>
      <w:bookmarkEnd w:id="48"/>
    </w:p>
    <w:p w14:paraId="77709FDD">
      <w:pPr>
        <w:spacing w:before="0" w:after="0" w:line="360" w:lineRule="auto"/>
        <w:ind w:firstLine="480"/>
        <w:jc w:val="both"/>
      </w:pPr>
      <w:r>
        <w:rPr>
          <w:rFonts w:ascii="Times New Roman" w:hAnsi="Times New Roman" w:eastAsia="宋体" w:cs="Times New Roman"/>
          <w:color w:val="000000"/>
          <w:sz w:val="24"/>
        </w:rPr>
        <w:t>附表B-2给出表2-3及后续同条件实验采用的指标定义。超调量和调节时间均从10 s阶跃时刻起计算，Z轴阶跃前的缓升过程不计入阶跃指标。</w:t>
      </w:r>
    </w:p>
    <w:p w14:paraId="5CD9F20D">
      <w:pPr>
        <w:pStyle w:val="4"/>
        <w:keepNext/>
      </w:pPr>
      <w:r>
        <w:rPr>
          <w:rFonts w:ascii="Times New Roman" w:hAnsi="Times New Roman" w:eastAsia="宋体" w:cs="Times New Roman"/>
          <w:b/>
          <w:color w:val="000000"/>
          <w:sz w:val="21"/>
        </w:rPr>
        <w:t>表B-2  三轴阶跃指标的计算方法</w:t>
      </w:r>
    </w:p>
    <w:tbl>
      <w:tblPr>
        <w:tblStyle w:val="11"/>
        <w:tblW w:w="0" w:type="auto"/>
        <w:jc w:val="center"/>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Layout w:type="fixed"/>
        <w:tblCellMar>
          <w:top w:w="20" w:type="dxa"/>
          <w:left w:w="35" w:type="dxa"/>
          <w:bottom w:w="20" w:type="dxa"/>
          <w:right w:w="35" w:type="dxa"/>
        </w:tblCellMar>
      </w:tblPr>
      <w:tblGrid>
        <w:gridCol w:w="2929"/>
        <w:gridCol w:w="2929"/>
        <w:gridCol w:w="2929"/>
      </w:tblGrid>
      <w:tr w14:paraId="6A06F50B">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20" w:type="dxa"/>
            <w:left w:w="35" w:type="dxa"/>
            <w:bottom w:w="20" w:type="dxa"/>
            <w:right w:w="35" w:type="dxa"/>
          </w:tblCellMar>
        </w:tblPrEx>
        <w:trPr>
          <w:cantSplit/>
          <w:tblHeader/>
          <w:jc w:val="center"/>
        </w:trPr>
        <w:tc>
          <w:tcPr>
            <w:tcW w:w="1417" w:type="dxa"/>
            <w:tcBorders>
              <w:bottom w:val="single" w:color="000000" w:sz="4" w:space="0"/>
            </w:tcBorders>
            <w:tcMar>
              <w:top w:w="80" w:type="dxa"/>
              <w:left w:w="80" w:type="dxa"/>
              <w:bottom w:w="80" w:type="dxa"/>
              <w:right w:w="80" w:type="dxa"/>
            </w:tcMar>
            <w:vAlign w:val="center"/>
          </w:tcPr>
          <w:p w14:paraId="315AB1C8">
            <w:pPr>
              <w:spacing w:before="0" w:after="0" w:line="240" w:lineRule="auto"/>
              <w:ind w:firstLine="0"/>
              <w:jc w:val="center"/>
            </w:pPr>
            <w:r>
              <w:rPr>
                <w:rFonts w:ascii="Times New Roman" w:hAnsi="Times New Roman" w:eastAsia="宋体" w:cs="Times New Roman"/>
                <w:b/>
                <w:color w:val="000000"/>
                <w:sz w:val="19"/>
              </w:rPr>
              <w:t>指标</w:t>
            </w:r>
          </w:p>
        </w:tc>
        <w:tc>
          <w:tcPr>
            <w:tcW w:w="4762" w:type="dxa"/>
            <w:tcBorders>
              <w:bottom w:val="single" w:color="000000" w:sz="4" w:space="0"/>
            </w:tcBorders>
            <w:tcMar>
              <w:top w:w="80" w:type="dxa"/>
              <w:left w:w="80" w:type="dxa"/>
              <w:bottom w:w="80" w:type="dxa"/>
              <w:right w:w="80" w:type="dxa"/>
            </w:tcMar>
            <w:vAlign w:val="center"/>
          </w:tcPr>
          <w:p w14:paraId="2662F76B">
            <w:pPr>
              <w:spacing w:before="0" w:after="0" w:line="240" w:lineRule="auto"/>
              <w:ind w:firstLine="0"/>
              <w:jc w:val="center"/>
            </w:pPr>
            <w:r>
              <w:rPr>
                <w:rFonts w:ascii="Times New Roman" w:hAnsi="Times New Roman" w:eastAsia="宋体" w:cs="Times New Roman"/>
                <w:color w:val="000000"/>
                <w:sz w:val="19"/>
              </w:rPr>
              <w:t>计算方法</w:t>
            </w:r>
          </w:p>
        </w:tc>
        <w:tc>
          <w:tcPr>
            <w:tcW w:w="2608" w:type="dxa"/>
            <w:tcBorders>
              <w:bottom w:val="single" w:color="000000" w:sz="4" w:space="0"/>
            </w:tcBorders>
            <w:tcMar>
              <w:top w:w="80" w:type="dxa"/>
              <w:left w:w="80" w:type="dxa"/>
              <w:bottom w:w="80" w:type="dxa"/>
              <w:right w:w="80" w:type="dxa"/>
            </w:tcMar>
            <w:vAlign w:val="center"/>
          </w:tcPr>
          <w:p w14:paraId="415E8B43">
            <w:pPr>
              <w:spacing w:before="0" w:after="0" w:line="240" w:lineRule="auto"/>
              <w:ind w:firstLine="0"/>
              <w:jc w:val="center"/>
            </w:pPr>
            <w:r>
              <w:rPr>
                <w:rFonts w:ascii="Times New Roman" w:hAnsi="Times New Roman" w:eastAsia="宋体" w:cs="Times New Roman"/>
                <w:b/>
                <w:color w:val="000000"/>
                <w:sz w:val="19"/>
              </w:rPr>
              <w:t>表中用途</w:t>
            </w:r>
          </w:p>
        </w:tc>
      </w:tr>
      <w:tr w14:paraId="404FBE3B">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20" w:type="dxa"/>
            <w:left w:w="35" w:type="dxa"/>
            <w:bottom w:w="20" w:type="dxa"/>
            <w:right w:w="35" w:type="dxa"/>
          </w:tblCellMar>
        </w:tblPrEx>
        <w:trPr>
          <w:cantSplit/>
          <w:jc w:val="center"/>
        </w:trPr>
        <w:tc>
          <w:tcPr>
            <w:tcW w:w="1417" w:type="dxa"/>
            <w:tcMar>
              <w:top w:w="80" w:type="dxa"/>
              <w:left w:w="80" w:type="dxa"/>
              <w:bottom w:w="80" w:type="dxa"/>
              <w:right w:w="80" w:type="dxa"/>
            </w:tcMar>
            <w:vAlign w:val="center"/>
          </w:tcPr>
          <w:p w14:paraId="0AE64F3E">
            <w:pPr>
              <w:spacing w:before="0" w:after="0" w:line="240" w:lineRule="auto"/>
              <w:ind w:firstLine="0"/>
              <w:jc w:val="left"/>
            </w:pPr>
            <w:r>
              <w:rPr>
                <w:rFonts w:ascii="Times New Roman" w:hAnsi="Times New Roman" w:eastAsia="宋体" w:cs="Times New Roman"/>
                <w:b w:val="0"/>
                <w:color w:val="000000"/>
                <w:sz w:val="19"/>
              </w:rPr>
              <w:t>上升时间</w:t>
            </w:r>
          </w:p>
        </w:tc>
        <w:tc>
          <w:tcPr>
            <w:tcW w:w="4762" w:type="dxa"/>
            <w:tcMar>
              <w:top w:w="80" w:type="dxa"/>
              <w:left w:w="80" w:type="dxa"/>
              <w:bottom w:w="80" w:type="dxa"/>
              <w:right w:w="80" w:type="dxa"/>
            </w:tcMar>
            <w:vAlign w:val="center"/>
          </w:tcPr>
          <w:p w14:paraId="5AB195CE">
            <w:pPr>
              <w:spacing w:before="0" w:after="0" w:line="240" w:lineRule="auto"/>
              <w:ind w:firstLine="0"/>
              <w:jc w:val="center"/>
            </w:pPr>
            <w:r>
              <w:rPr>
                <w:rFonts w:ascii="Times New Roman" w:hAnsi="Times New Roman" w:eastAsia="宋体" w:cs="Times New Roman"/>
                <w:b w:val="0"/>
                <w:color w:val="000000"/>
                <w:sz w:val="19"/>
              </w:rPr>
              <w:t>响应从阶跃增量的10%上升到90%的时间差，交叉时刻采用线性插值</w:t>
            </w:r>
          </w:p>
        </w:tc>
        <w:tc>
          <w:tcPr>
            <w:tcW w:w="2608" w:type="dxa"/>
            <w:tcMar>
              <w:top w:w="80" w:type="dxa"/>
              <w:left w:w="80" w:type="dxa"/>
              <w:bottom w:w="80" w:type="dxa"/>
              <w:right w:w="80" w:type="dxa"/>
            </w:tcMar>
            <w:vAlign w:val="center"/>
          </w:tcPr>
          <w:p w14:paraId="51BC079E">
            <w:pPr>
              <w:spacing w:before="0" w:after="0" w:line="240" w:lineRule="auto"/>
              <w:ind w:firstLine="0"/>
              <w:jc w:val="center"/>
            </w:pPr>
            <w:r>
              <w:rPr>
                <w:rFonts w:ascii="Times New Roman" w:hAnsi="Times New Roman" w:eastAsia="宋体" w:cs="Times New Roman"/>
                <w:b w:val="0"/>
                <w:color w:val="000000"/>
                <w:sz w:val="19"/>
              </w:rPr>
              <w:t>表2-3的响应速度</w:t>
            </w:r>
          </w:p>
        </w:tc>
      </w:tr>
      <w:tr w14:paraId="5253BCA1">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20" w:type="dxa"/>
            <w:left w:w="35" w:type="dxa"/>
            <w:bottom w:w="20" w:type="dxa"/>
            <w:right w:w="35" w:type="dxa"/>
          </w:tblCellMar>
        </w:tblPrEx>
        <w:trPr>
          <w:cantSplit/>
          <w:jc w:val="center"/>
        </w:trPr>
        <w:tc>
          <w:tcPr>
            <w:tcW w:w="1417" w:type="dxa"/>
            <w:tcMar>
              <w:top w:w="80" w:type="dxa"/>
              <w:left w:w="80" w:type="dxa"/>
              <w:bottom w:w="80" w:type="dxa"/>
              <w:right w:w="80" w:type="dxa"/>
            </w:tcMar>
            <w:vAlign w:val="center"/>
          </w:tcPr>
          <w:p w14:paraId="05781781">
            <w:pPr>
              <w:spacing w:before="0" w:after="0" w:line="240" w:lineRule="auto"/>
              <w:ind w:firstLine="0"/>
              <w:jc w:val="left"/>
            </w:pPr>
            <w:r>
              <w:rPr>
                <w:rFonts w:ascii="Times New Roman" w:hAnsi="Times New Roman" w:eastAsia="宋体" w:cs="Times New Roman"/>
                <w:b w:val="0"/>
                <w:color w:val="000000"/>
                <w:sz w:val="19"/>
              </w:rPr>
              <w:t>超调量</w:t>
            </w:r>
          </w:p>
        </w:tc>
        <w:tc>
          <w:tcPr>
            <w:tcW w:w="4762" w:type="dxa"/>
            <w:tcMar>
              <w:top w:w="80" w:type="dxa"/>
              <w:left w:w="80" w:type="dxa"/>
              <w:bottom w:w="80" w:type="dxa"/>
              <w:right w:w="80" w:type="dxa"/>
            </w:tcMar>
            <w:vAlign w:val="center"/>
          </w:tcPr>
          <w:p w14:paraId="03835284">
            <w:pPr>
              <w:spacing w:before="0" w:after="0" w:line="240" w:lineRule="auto"/>
              <w:ind w:firstLine="0"/>
              <w:jc w:val="center"/>
            </w:pPr>
            <w:r>
              <w:rPr>
                <w:rFonts w:ascii="Times New Roman" w:hAnsi="Times New Roman" w:eastAsia="宋体" w:cs="Times New Roman"/>
                <w:b w:val="0"/>
                <w:color w:val="000000"/>
                <w:sz w:val="19"/>
              </w:rPr>
              <w:t>阶跃后响应超过目标值的最大正偏差，再除以阶跃幅值</w:t>
            </w:r>
          </w:p>
        </w:tc>
        <w:tc>
          <w:tcPr>
            <w:tcW w:w="2608" w:type="dxa"/>
            <w:tcMar>
              <w:top w:w="80" w:type="dxa"/>
              <w:left w:w="80" w:type="dxa"/>
              <w:bottom w:w="80" w:type="dxa"/>
              <w:right w:w="80" w:type="dxa"/>
            </w:tcMar>
            <w:vAlign w:val="center"/>
          </w:tcPr>
          <w:p w14:paraId="6FEE8452">
            <w:pPr>
              <w:spacing w:before="0" w:after="0" w:line="240" w:lineRule="auto"/>
              <w:ind w:firstLine="0"/>
              <w:jc w:val="center"/>
            </w:pPr>
            <w:r>
              <w:rPr>
                <w:rFonts w:ascii="Times New Roman" w:hAnsi="Times New Roman" w:eastAsia="宋体" w:cs="Times New Roman"/>
                <w:b w:val="0"/>
                <w:color w:val="000000"/>
                <w:sz w:val="19"/>
              </w:rPr>
              <w:t>表2-3的百分比超调</w:t>
            </w:r>
          </w:p>
        </w:tc>
      </w:tr>
      <w:tr w14:paraId="5DF6FF72">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20" w:type="dxa"/>
            <w:left w:w="35" w:type="dxa"/>
            <w:bottom w:w="20" w:type="dxa"/>
            <w:right w:w="35" w:type="dxa"/>
          </w:tblCellMar>
        </w:tblPrEx>
        <w:trPr>
          <w:cantSplit/>
          <w:jc w:val="center"/>
        </w:trPr>
        <w:tc>
          <w:tcPr>
            <w:tcW w:w="1417" w:type="dxa"/>
            <w:tcMar>
              <w:top w:w="80" w:type="dxa"/>
              <w:left w:w="80" w:type="dxa"/>
              <w:bottom w:w="80" w:type="dxa"/>
              <w:right w:w="80" w:type="dxa"/>
            </w:tcMar>
            <w:vAlign w:val="center"/>
          </w:tcPr>
          <w:p w14:paraId="3F509B40">
            <w:pPr>
              <w:spacing w:before="0" w:after="0" w:line="240" w:lineRule="auto"/>
              <w:ind w:firstLine="0"/>
              <w:jc w:val="left"/>
            </w:pPr>
            <w:r>
              <w:rPr>
                <w:rFonts w:ascii="Times New Roman" w:hAnsi="Times New Roman" w:eastAsia="宋体" w:cs="Times New Roman"/>
                <w:b w:val="0"/>
                <w:color w:val="000000"/>
                <w:sz w:val="19"/>
              </w:rPr>
              <w:t>调节时间</w:t>
            </w:r>
          </w:p>
        </w:tc>
        <w:tc>
          <w:tcPr>
            <w:tcW w:w="4762" w:type="dxa"/>
            <w:tcMar>
              <w:top w:w="80" w:type="dxa"/>
              <w:left w:w="80" w:type="dxa"/>
              <w:bottom w:w="80" w:type="dxa"/>
              <w:right w:w="80" w:type="dxa"/>
            </w:tcMar>
            <w:vAlign w:val="center"/>
          </w:tcPr>
          <w:p w14:paraId="207DEF4B">
            <w:pPr>
              <w:spacing w:before="0" w:after="0" w:line="240" w:lineRule="auto"/>
              <w:ind w:firstLine="0"/>
              <w:jc w:val="center"/>
            </w:pPr>
            <w:r>
              <w:rPr>
                <w:rFonts w:ascii="Times New Roman" w:hAnsi="Times New Roman" w:eastAsia="宋体" w:cs="Times New Roman"/>
                <w:b w:val="0"/>
                <w:color w:val="000000"/>
                <w:sz w:val="19"/>
              </w:rPr>
              <w:t>首次进入 max(2%阶跃幅值, 0.02 m)误差带并连续保持2 s</w:t>
            </w:r>
          </w:p>
        </w:tc>
        <w:tc>
          <w:tcPr>
            <w:tcW w:w="2608" w:type="dxa"/>
            <w:tcMar>
              <w:top w:w="80" w:type="dxa"/>
              <w:left w:w="80" w:type="dxa"/>
              <w:bottom w:w="80" w:type="dxa"/>
              <w:right w:w="80" w:type="dxa"/>
            </w:tcMar>
            <w:vAlign w:val="center"/>
          </w:tcPr>
          <w:p w14:paraId="364E54DE">
            <w:pPr>
              <w:spacing w:before="0" w:after="0" w:line="240" w:lineRule="auto"/>
              <w:ind w:firstLine="0"/>
              <w:jc w:val="center"/>
            </w:pPr>
            <w:r>
              <w:rPr>
                <w:rFonts w:ascii="Times New Roman" w:hAnsi="Times New Roman" w:eastAsia="宋体" w:cs="Times New Roman"/>
                <w:b w:val="0"/>
                <w:color w:val="000000"/>
                <w:sz w:val="19"/>
              </w:rPr>
              <w:t>表2-3的进入稳态时间</w:t>
            </w:r>
          </w:p>
        </w:tc>
      </w:tr>
      <w:tr w14:paraId="3548B9C7">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20" w:type="dxa"/>
            <w:left w:w="35" w:type="dxa"/>
            <w:bottom w:w="20" w:type="dxa"/>
            <w:right w:w="35" w:type="dxa"/>
          </w:tblCellMar>
        </w:tblPrEx>
        <w:trPr>
          <w:cantSplit/>
          <w:jc w:val="center"/>
        </w:trPr>
        <w:tc>
          <w:tcPr>
            <w:tcW w:w="1417" w:type="dxa"/>
            <w:tcMar>
              <w:top w:w="80" w:type="dxa"/>
              <w:left w:w="80" w:type="dxa"/>
              <w:bottom w:w="80" w:type="dxa"/>
              <w:right w:w="80" w:type="dxa"/>
            </w:tcMar>
            <w:vAlign w:val="center"/>
          </w:tcPr>
          <w:p w14:paraId="4AD5224C">
            <w:pPr>
              <w:spacing w:before="0" w:after="0" w:line="240" w:lineRule="auto"/>
              <w:ind w:firstLine="0"/>
              <w:jc w:val="left"/>
            </w:pPr>
            <w:r>
              <w:rPr>
                <w:rFonts w:ascii="Times New Roman" w:hAnsi="Times New Roman" w:eastAsia="宋体" w:cs="Times New Roman"/>
                <w:b w:val="0"/>
                <w:color w:val="000000"/>
                <w:sz w:val="19"/>
              </w:rPr>
              <w:t>稳态误差</w:t>
            </w:r>
          </w:p>
        </w:tc>
        <w:tc>
          <w:tcPr>
            <w:tcW w:w="4762" w:type="dxa"/>
            <w:tcMar>
              <w:top w:w="80" w:type="dxa"/>
              <w:left w:w="80" w:type="dxa"/>
              <w:bottom w:w="80" w:type="dxa"/>
              <w:right w:w="80" w:type="dxa"/>
            </w:tcMar>
            <w:vAlign w:val="center"/>
          </w:tcPr>
          <w:p w14:paraId="3A1BE774">
            <w:pPr>
              <w:spacing w:before="0" w:after="0" w:line="240" w:lineRule="auto"/>
              <w:ind w:firstLine="0"/>
              <w:jc w:val="center"/>
            </w:pPr>
            <w:r>
              <w:rPr>
                <w:rFonts w:ascii="Times New Roman" w:hAnsi="Times New Roman" w:eastAsia="宋体" w:cs="Times New Roman"/>
                <w:b w:val="0"/>
                <w:color w:val="000000"/>
                <w:sz w:val="19"/>
              </w:rPr>
              <w:t>阶跃后数据最后20%时间窗的有符号误差、绝对误差和均方根</w:t>
            </w:r>
          </w:p>
        </w:tc>
        <w:tc>
          <w:tcPr>
            <w:tcW w:w="2608" w:type="dxa"/>
            <w:tcMar>
              <w:top w:w="80" w:type="dxa"/>
              <w:left w:w="80" w:type="dxa"/>
              <w:bottom w:w="80" w:type="dxa"/>
              <w:right w:w="80" w:type="dxa"/>
            </w:tcMar>
            <w:vAlign w:val="center"/>
          </w:tcPr>
          <w:p w14:paraId="7F9A829B">
            <w:pPr>
              <w:spacing w:before="0" w:after="0" w:line="240" w:lineRule="auto"/>
              <w:ind w:firstLine="0"/>
              <w:jc w:val="center"/>
            </w:pPr>
            <w:r>
              <w:rPr>
                <w:rFonts w:ascii="Times New Roman" w:hAnsi="Times New Roman" w:eastAsia="宋体" w:cs="Times New Roman"/>
                <w:b w:val="0"/>
                <w:color w:val="000000"/>
                <w:sz w:val="19"/>
              </w:rPr>
              <w:t>判断静态精度</w:t>
            </w:r>
          </w:p>
        </w:tc>
      </w:tr>
      <w:tr w14:paraId="1C34F2FE">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20" w:type="dxa"/>
            <w:left w:w="35" w:type="dxa"/>
            <w:bottom w:w="20" w:type="dxa"/>
            <w:right w:w="35" w:type="dxa"/>
          </w:tblCellMar>
        </w:tblPrEx>
        <w:trPr>
          <w:cantSplit/>
          <w:jc w:val="center"/>
        </w:trPr>
        <w:tc>
          <w:tcPr>
            <w:tcW w:w="1417" w:type="dxa"/>
            <w:tcMar>
              <w:top w:w="80" w:type="dxa"/>
              <w:left w:w="80" w:type="dxa"/>
              <w:bottom w:w="80" w:type="dxa"/>
              <w:right w:w="80" w:type="dxa"/>
            </w:tcMar>
            <w:vAlign w:val="center"/>
          </w:tcPr>
          <w:p w14:paraId="1D064A9B">
            <w:pPr>
              <w:spacing w:before="0" w:after="0" w:line="240" w:lineRule="auto"/>
              <w:ind w:firstLine="0"/>
              <w:jc w:val="left"/>
            </w:pPr>
            <w:r>
              <w:rPr>
                <w:rFonts w:ascii="Times New Roman" w:hAnsi="Times New Roman" w:eastAsia="宋体" w:cs="Times New Roman"/>
                <w:b w:val="0"/>
                <w:color w:val="000000"/>
                <w:sz w:val="19"/>
              </w:rPr>
              <w:t>RMSE</w:t>
            </w:r>
          </w:p>
        </w:tc>
        <w:tc>
          <w:tcPr>
            <w:tcW w:w="4762" w:type="dxa"/>
            <w:tcMar>
              <w:top w:w="80" w:type="dxa"/>
              <w:left w:w="80" w:type="dxa"/>
              <w:bottom w:w="80" w:type="dxa"/>
              <w:right w:w="80" w:type="dxa"/>
            </w:tcMar>
            <w:vAlign w:val="center"/>
          </w:tcPr>
          <w:p w14:paraId="5AE7EA5D">
            <w:pPr>
              <w:spacing w:before="0" w:after="0" w:line="240" w:lineRule="auto"/>
              <w:ind w:firstLine="0"/>
              <w:jc w:val="center"/>
            </w:pPr>
            <w:r>
              <w:rPr>
                <w:rFonts w:ascii="Times New Roman" w:hAnsi="Times New Roman" w:eastAsia="宋体" w:cs="Times New Roman"/>
                <w:b w:val="0"/>
                <w:color w:val="000000"/>
                <w:sz w:val="19"/>
              </w:rPr>
              <w:t>完整仿真时域内三维位置误差范数的均方根，单轴场景由被激励轴主导</w:t>
            </w:r>
          </w:p>
        </w:tc>
        <w:tc>
          <w:tcPr>
            <w:tcW w:w="2608" w:type="dxa"/>
            <w:tcMar>
              <w:top w:w="80" w:type="dxa"/>
              <w:left w:w="80" w:type="dxa"/>
              <w:bottom w:w="80" w:type="dxa"/>
              <w:right w:w="80" w:type="dxa"/>
            </w:tcMar>
            <w:vAlign w:val="center"/>
          </w:tcPr>
          <w:p w14:paraId="05C5C431">
            <w:pPr>
              <w:spacing w:before="0" w:after="0" w:line="240" w:lineRule="auto"/>
              <w:ind w:firstLine="0"/>
              <w:jc w:val="center"/>
            </w:pPr>
            <w:r>
              <w:rPr>
                <w:rFonts w:ascii="Times New Roman" w:hAnsi="Times New Roman" w:eastAsia="宋体" w:cs="Times New Roman"/>
                <w:b w:val="0"/>
                <w:color w:val="000000"/>
                <w:sz w:val="19"/>
              </w:rPr>
              <w:t>表2-3的整体跟踪误差</w:t>
            </w:r>
          </w:p>
        </w:tc>
      </w:tr>
    </w:tbl>
    <w:p w14:paraId="60E96737">
      <w:pPr>
        <w:pStyle w:val="3"/>
        <w:spacing w:before="80" w:after="40"/>
        <w:rPr>
          <w:rFonts w:ascii="Times New Roman" w:hAnsi="Times New Roman" w:eastAsia="黑体" w:cs="Times New Roman"/>
          <w:b/>
          <w:color w:val="000000"/>
          <w:sz w:val="26"/>
        </w:rPr>
      </w:pPr>
      <w:bookmarkStart w:id="49" w:name="_Toc25936"/>
    </w:p>
    <w:p w14:paraId="28F1849E">
      <w:pPr>
        <w:pStyle w:val="3"/>
        <w:spacing w:before="80" w:after="40"/>
      </w:pPr>
      <w:r>
        <w:rPr>
          <w:rFonts w:ascii="Times New Roman" w:hAnsi="Times New Roman" w:eastAsia="黑体" w:cs="Times New Roman"/>
          <w:b/>
          <w:color w:val="000000"/>
          <w:sz w:val="26"/>
        </w:rPr>
        <w:t>B.</w:t>
      </w:r>
      <w:r>
        <w:rPr>
          <w:rFonts w:hint="eastAsia" w:ascii="Times New Roman" w:hAnsi="Times New Roman" w:eastAsia="黑体" w:cs="Times New Roman"/>
          <w:b/>
          <w:color w:val="000000"/>
          <w:sz w:val="26"/>
          <w:lang w:val="en-US" w:eastAsia="zh-CN"/>
        </w:rPr>
        <w:t>3</w:t>
      </w:r>
      <w:r>
        <w:rPr>
          <w:rFonts w:ascii="Times New Roman" w:hAnsi="Times New Roman" w:eastAsia="黑体" w:cs="Times New Roman"/>
          <w:b/>
          <w:color w:val="000000"/>
          <w:sz w:val="26"/>
        </w:rPr>
        <w:t xml:space="preserve">  数据来源说明</w:t>
      </w:r>
    </w:p>
    <w:bookmarkEnd w:id="49"/>
    <w:p w14:paraId="13950E15">
      <w:pPr>
        <w:spacing w:before="0" w:after="0" w:line="360" w:lineRule="auto"/>
        <w:ind w:firstLine="480"/>
        <w:jc w:val="both"/>
      </w:pPr>
      <w:r>
        <w:rPr>
          <w:rFonts w:ascii="Times New Roman" w:hAnsi="Times New Roman" w:eastAsia="宋体" w:cs="Times New Roman"/>
          <w:color w:val="000000"/>
          <w:sz w:val="24"/>
        </w:rPr>
        <w:t>本章的模型信息来自赛题提供的四旋翼仿真模型。PID响应数据来自X、Y、Z三个独立阶跃场景，表2-3中的指标由Syslab按照附表B-2的定义计算。附表B-3概括各类数据的生成方式和用途。</w:t>
      </w:r>
    </w:p>
    <w:p w14:paraId="7CA3E1DE">
      <w:pPr>
        <w:pStyle w:val="4"/>
        <w:keepNext/>
      </w:pPr>
      <w:r>
        <w:rPr>
          <w:rFonts w:ascii="Times New Roman" w:hAnsi="Times New Roman" w:eastAsia="宋体" w:cs="Times New Roman"/>
          <w:b/>
          <w:color w:val="000000"/>
          <w:sz w:val="21"/>
        </w:rPr>
        <w:t>表B-3  本章模型与PID数据来源</w:t>
      </w:r>
    </w:p>
    <w:tbl>
      <w:tblPr>
        <w:tblStyle w:val="11"/>
        <w:tblW w:w="0" w:type="auto"/>
        <w:jc w:val="center"/>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Layout w:type="fixed"/>
        <w:tblCellMar>
          <w:top w:w="20" w:type="dxa"/>
          <w:left w:w="35" w:type="dxa"/>
          <w:bottom w:w="20" w:type="dxa"/>
          <w:right w:w="35" w:type="dxa"/>
        </w:tblCellMar>
      </w:tblPr>
      <w:tblGrid>
        <w:gridCol w:w="2929"/>
        <w:gridCol w:w="2929"/>
        <w:gridCol w:w="2929"/>
      </w:tblGrid>
      <w:tr w14:paraId="4A436C3D">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20" w:type="dxa"/>
            <w:left w:w="35" w:type="dxa"/>
            <w:bottom w:w="20" w:type="dxa"/>
            <w:right w:w="35" w:type="dxa"/>
          </w:tblCellMar>
        </w:tblPrEx>
        <w:trPr>
          <w:cantSplit/>
          <w:tblHeader/>
          <w:jc w:val="center"/>
        </w:trPr>
        <w:tc>
          <w:tcPr>
            <w:tcW w:w="1304" w:type="dxa"/>
            <w:tcBorders>
              <w:bottom w:val="single" w:color="000000" w:sz="4" w:space="0"/>
            </w:tcBorders>
            <w:tcMar>
              <w:top w:w="80" w:type="dxa"/>
              <w:left w:w="80" w:type="dxa"/>
              <w:bottom w:w="80" w:type="dxa"/>
              <w:right w:w="80" w:type="dxa"/>
            </w:tcMar>
            <w:vAlign w:val="center"/>
          </w:tcPr>
          <w:p w14:paraId="77C4A661">
            <w:pPr>
              <w:spacing w:before="0" w:after="0" w:line="240" w:lineRule="auto"/>
              <w:ind w:firstLine="0"/>
              <w:jc w:val="center"/>
            </w:pPr>
            <w:r>
              <w:rPr>
                <w:rFonts w:ascii="Times New Roman" w:hAnsi="Times New Roman" w:eastAsia="宋体" w:cs="Times New Roman"/>
                <w:color w:val="000000"/>
                <w:sz w:val="19"/>
              </w:rPr>
              <w:t>数据项目</w:t>
            </w:r>
          </w:p>
        </w:tc>
        <w:tc>
          <w:tcPr>
            <w:tcW w:w="3855" w:type="dxa"/>
            <w:tcBorders>
              <w:bottom w:val="single" w:color="000000" w:sz="4" w:space="0"/>
            </w:tcBorders>
            <w:tcMar>
              <w:top w:w="80" w:type="dxa"/>
              <w:left w:w="80" w:type="dxa"/>
              <w:bottom w:w="80" w:type="dxa"/>
              <w:right w:w="80" w:type="dxa"/>
            </w:tcMar>
            <w:vAlign w:val="center"/>
          </w:tcPr>
          <w:p w14:paraId="3162D5B8">
            <w:pPr>
              <w:spacing w:before="0" w:after="0" w:line="240" w:lineRule="auto"/>
              <w:ind w:firstLine="0"/>
              <w:jc w:val="center"/>
            </w:pPr>
            <w:r>
              <w:rPr>
                <w:rFonts w:ascii="Times New Roman" w:hAnsi="Times New Roman" w:eastAsia="宋体" w:cs="Times New Roman"/>
                <w:color w:val="000000"/>
                <w:sz w:val="19"/>
              </w:rPr>
              <w:t>生成方式</w:t>
            </w:r>
          </w:p>
        </w:tc>
        <w:tc>
          <w:tcPr>
            <w:tcW w:w="3628" w:type="dxa"/>
            <w:tcBorders>
              <w:bottom w:val="single" w:color="000000" w:sz="4" w:space="0"/>
            </w:tcBorders>
            <w:tcMar>
              <w:top w:w="80" w:type="dxa"/>
              <w:left w:w="80" w:type="dxa"/>
              <w:bottom w:w="80" w:type="dxa"/>
              <w:right w:w="80" w:type="dxa"/>
            </w:tcMar>
            <w:vAlign w:val="center"/>
          </w:tcPr>
          <w:p w14:paraId="75EA1156">
            <w:pPr>
              <w:spacing w:before="0" w:after="0" w:line="240" w:lineRule="auto"/>
              <w:ind w:firstLine="0"/>
              <w:jc w:val="center"/>
            </w:pPr>
            <w:r>
              <w:rPr>
                <w:rFonts w:ascii="Times New Roman" w:hAnsi="Times New Roman" w:eastAsia="宋体" w:cs="Times New Roman"/>
                <w:color w:val="000000"/>
                <w:sz w:val="19"/>
              </w:rPr>
              <w:t>本章用途</w:t>
            </w:r>
          </w:p>
        </w:tc>
      </w:tr>
      <w:tr w14:paraId="5FEA805F">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20" w:type="dxa"/>
            <w:left w:w="35" w:type="dxa"/>
            <w:bottom w:w="20" w:type="dxa"/>
            <w:right w:w="35" w:type="dxa"/>
          </w:tblCellMar>
        </w:tblPrEx>
        <w:trPr>
          <w:cantSplit/>
          <w:jc w:val="center"/>
        </w:trPr>
        <w:tc>
          <w:tcPr>
            <w:tcW w:w="1304" w:type="dxa"/>
            <w:tcMar>
              <w:top w:w="80" w:type="dxa"/>
              <w:left w:w="80" w:type="dxa"/>
              <w:bottom w:w="80" w:type="dxa"/>
              <w:right w:w="80" w:type="dxa"/>
            </w:tcMar>
            <w:vAlign w:val="center"/>
          </w:tcPr>
          <w:p w14:paraId="2E04A076">
            <w:pPr>
              <w:spacing w:before="0" w:after="0" w:line="240" w:lineRule="auto"/>
              <w:ind w:firstLine="0"/>
              <w:jc w:val="left"/>
            </w:pPr>
            <w:r>
              <w:rPr>
                <w:rFonts w:ascii="Times New Roman" w:hAnsi="Times New Roman" w:eastAsia="宋体" w:cs="Times New Roman"/>
                <w:color w:val="000000"/>
                <w:sz w:val="19"/>
              </w:rPr>
              <w:t>官方四旋翼模型</w:t>
            </w:r>
          </w:p>
        </w:tc>
        <w:tc>
          <w:tcPr>
            <w:tcW w:w="3855" w:type="dxa"/>
            <w:tcMar>
              <w:top w:w="80" w:type="dxa"/>
              <w:left w:w="80" w:type="dxa"/>
              <w:bottom w:w="80" w:type="dxa"/>
              <w:right w:w="80" w:type="dxa"/>
            </w:tcMar>
            <w:vAlign w:val="center"/>
          </w:tcPr>
          <w:p w14:paraId="659B3E43">
            <w:pPr>
              <w:spacing w:before="0" w:after="0" w:line="240" w:lineRule="auto"/>
              <w:ind w:firstLine="0"/>
              <w:jc w:val="center"/>
            </w:pPr>
            <w:r>
              <w:rPr>
                <w:rFonts w:ascii="Times New Roman" w:hAnsi="Times New Roman" w:eastAsia="宋体" w:cs="Times New Roman"/>
                <w:color w:val="000000"/>
                <w:sz w:val="19"/>
              </w:rPr>
              <w:t>赛题提供的Modelica模型、参数和求解设置</w:t>
            </w:r>
          </w:p>
        </w:tc>
        <w:tc>
          <w:tcPr>
            <w:tcW w:w="3628" w:type="dxa"/>
            <w:tcMar>
              <w:top w:w="80" w:type="dxa"/>
              <w:left w:w="80" w:type="dxa"/>
              <w:bottom w:w="80" w:type="dxa"/>
              <w:right w:w="80" w:type="dxa"/>
            </w:tcMar>
            <w:vAlign w:val="center"/>
          </w:tcPr>
          <w:p w14:paraId="3B685BEB">
            <w:pPr>
              <w:spacing w:before="0" w:after="0" w:line="240" w:lineRule="auto"/>
              <w:ind w:firstLine="0"/>
              <w:jc w:val="center"/>
            </w:pPr>
            <w:r>
              <w:rPr>
                <w:rFonts w:ascii="Times New Roman" w:hAnsi="Times New Roman" w:eastAsia="宋体" w:cs="Times New Roman"/>
                <w:color w:val="000000"/>
                <w:sz w:val="19"/>
              </w:rPr>
              <w:t>说明仿真对象和控制范围</w:t>
            </w:r>
          </w:p>
        </w:tc>
      </w:tr>
      <w:tr w14:paraId="58A9368B">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20" w:type="dxa"/>
            <w:left w:w="35" w:type="dxa"/>
            <w:bottom w:w="20" w:type="dxa"/>
            <w:right w:w="35" w:type="dxa"/>
          </w:tblCellMar>
        </w:tblPrEx>
        <w:trPr>
          <w:cantSplit/>
          <w:jc w:val="center"/>
        </w:trPr>
        <w:tc>
          <w:tcPr>
            <w:tcW w:w="1304" w:type="dxa"/>
            <w:tcMar>
              <w:top w:w="80" w:type="dxa"/>
              <w:left w:w="80" w:type="dxa"/>
              <w:bottom w:w="80" w:type="dxa"/>
              <w:right w:w="80" w:type="dxa"/>
            </w:tcMar>
            <w:vAlign w:val="center"/>
          </w:tcPr>
          <w:p w14:paraId="40BD4067">
            <w:pPr>
              <w:spacing w:before="0" w:after="0" w:line="240" w:lineRule="auto"/>
              <w:ind w:firstLine="0"/>
              <w:jc w:val="left"/>
            </w:pPr>
            <w:r>
              <w:rPr>
                <w:rFonts w:ascii="Times New Roman" w:hAnsi="Times New Roman" w:eastAsia="宋体" w:cs="Times New Roman"/>
                <w:color w:val="000000"/>
                <w:sz w:val="19"/>
              </w:rPr>
              <w:t>PID三轴阶跃数据</w:t>
            </w:r>
          </w:p>
        </w:tc>
        <w:tc>
          <w:tcPr>
            <w:tcW w:w="3855" w:type="dxa"/>
            <w:tcMar>
              <w:top w:w="80" w:type="dxa"/>
              <w:left w:w="80" w:type="dxa"/>
              <w:bottom w:w="80" w:type="dxa"/>
              <w:right w:w="80" w:type="dxa"/>
            </w:tcMar>
            <w:vAlign w:val="center"/>
          </w:tcPr>
          <w:p w14:paraId="22C9BB88">
            <w:pPr>
              <w:spacing w:before="0" w:after="0" w:line="240" w:lineRule="auto"/>
              <w:ind w:firstLine="0"/>
              <w:jc w:val="center"/>
            </w:pPr>
            <w:r>
              <w:rPr>
                <w:rFonts w:ascii="Times New Roman" w:hAnsi="Times New Roman" w:eastAsia="宋体" w:cs="Times New Roman"/>
                <w:color w:val="000000"/>
                <w:sz w:val="19"/>
              </w:rPr>
              <w:t>X、Y、Z三个独立1 m阶跃场景，仿真30 s，输出间隔0.01 s</w:t>
            </w:r>
          </w:p>
        </w:tc>
        <w:tc>
          <w:tcPr>
            <w:tcW w:w="3628" w:type="dxa"/>
            <w:tcMar>
              <w:top w:w="80" w:type="dxa"/>
              <w:left w:w="80" w:type="dxa"/>
              <w:bottom w:w="80" w:type="dxa"/>
              <w:right w:w="80" w:type="dxa"/>
            </w:tcMar>
            <w:vAlign w:val="center"/>
          </w:tcPr>
          <w:p w14:paraId="08FFBE02">
            <w:pPr>
              <w:spacing w:before="0" w:after="0" w:line="240" w:lineRule="auto"/>
              <w:ind w:firstLine="0"/>
              <w:jc w:val="center"/>
            </w:pPr>
            <w:r>
              <w:rPr>
                <w:rFonts w:ascii="Times New Roman" w:hAnsi="Times New Roman" w:eastAsia="宋体" w:cs="Times New Roman"/>
                <w:color w:val="000000"/>
                <w:sz w:val="19"/>
              </w:rPr>
              <w:t>绘制图2-3</w:t>
            </w:r>
          </w:p>
        </w:tc>
      </w:tr>
      <w:tr w14:paraId="2DC771DF">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20" w:type="dxa"/>
            <w:left w:w="35" w:type="dxa"/>
            <w:bottom w:w="20" w:type="dxa"/>
            <w:right w:w="35" w:type="dxa"/>
          </w:tblCellMar>
        </w:tblPrEx>
        <w:trPr>
          <w:cantSplit/>
          <w:jc w:val="center"/>
        </w:trPr>
        <w:tc>
          <w:tcPr>
            <w:tcW w:w="1304" w:type="dxa"/>
            <w:tcMar>
              <w:top w:w="80" w:type="dxa"/>
              <w:left w:w="80" w:type="dxa"/>
              <w:bottom w:w="80" w:type="dxa"/>
              <w:right w:w="80" w:type="dxa"/>
            </w:tcMar>
            <w:vAlign w:val="center"/>
          </w:tcPr>
          <w:p w14:paraId="0BB00C2F">
            <w:pPr>
              <w:spacing w:before="0" w:after="0" w:line="240" w:lineRule="auto"/>
              <w:ind w:firstLine="0"/>
              <w:jc w:val="left"/>
            </w:pPr>
            <w:r>
              <w:rPr>
                <w:rFonts w:ascii="Times New Roman" w:hAnsi="Times New Roman" w:eastAsia="宋体" w:cs="Times New Roman"/>
                <w:color w:val="000000"/>
                <w:sz w:val="19"/>
              </w:rPr>
              <w:t>PID指标结果</w:t>
            </w:r>
          </w:p>
        </w:tc>
        <w:tc>
          <w:tcPr>
            <w:tcW w:w="3855" w:type="dxa"/>
            <w:tcMar>
              <w:top w:w="80" w:type="dxa"/>
              <w:left w:w="80" w:type="dxa"/>
              <w:bottom w:w="80" w:type="dxa"/>
              <w:right w:w="80" w:type="dxa"/>
            </w:tcMar>
            <w:vAlign w:val="center"/>
          </w:tcPr>
          <w:p w14:paraId="3388D5E9">
            <w:pPr>
              <w:spacing w:before="0" w:after="0" w:line="240" w:lineRule="auto"/>
              <w:ind w:firstLine="0"/>
              <w:jc w:val="center"/>
            </w:pPr>
            <w:r>
              <w:rPr>
                <w:rFonts w:ascii="Times New Roman" w:hAnsi="Times New Roman" w:eastAsia="宋体" w:cs="Times New Roman"/>
                <w:color w:val="000000"/>
                <w:sz w:val="19"/>
              </w:rPr>
              <w:t>按附表B-2的定义使用Syslab计算上升时间、超调量、调节时间和RMSE</w:t>
            </w:r>
          </w:p>
        </w:tc>
        <w:tc>
          <w:tcPr>
            <w:tcW w:w="3628" w:type="dxa"/>
            <w:tcMar>
              <w:top w:w="80" w:type="dxa"/>
              <w:left w:w="80" w:type="dxa"/>
              <w:bottom w:w="80" w:type="dxa"/>
              <w:right w:w="80" w:type="dxa"/>
            </w:tcMar>
            <w:vAlign w:val="center"/>
          </w:tcPr>
          <w:p w14:paraId="60F9B998">
            <w:pPr>
              <w:spacing w:before="0" w:after="0" w:line="240" w:lineRule="auto"/>
              <w:ind w:firstLine="0"/>
              <w:jc w:val="center"/>
            </w:pPr>
            <w:r>
              <w:rPr>
                <w:rFonts w:ascii="Times New Roman" w:hAnsi="Times New Roman" w:eastAsia="宋体" w:cs="Times New Roman"/>
                <w:color w:val="000000"/>
                <w:sz w:val="19"/>
              </w:rPr>
              <w:t>形成表2-3</w:t>
            </w:r>
          </w:p>
        </w:tc>
      </w:tr>
      <w:tr w14:paraId="555D9E7A">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20" w:type="dxa"/>
            <w:left w:w="35" w:type="dxa"/>
            <w:bottom w:w="20" w:type="dxa"/>
            <w:right w:w="35" w:type="dxa"/>
          </w:tblCellMar>
        </w:tblPrEx>
        <w:trPr>
          <w:cantSplit/>
          <w:jc w:val="center"/>
        </w:trPr>
        <w:tc>
          <w:tcPr>
            <w:tcW w:w="1304" w:type="dxa"/>
            <w:tcMar>
              <w:top w:w="80" w:type="dxa"/>
              <w:left w:w="80" w:type="dxa"/>
              <w:bottom w:w="80" w:type="dxa"/>
              <w:right w:w="80" w:type="dxa"/>
            </w:tcMar>
            <w:vAlign w:val="center"/>
          </w:tcPr>
          <w:p w14:paraId="4C5DFE69">
            <w:pPr>
              <w:spacing w:before="0" w:after="0" w:line="240" w:lineRule="auto"/>
              <w:ind w:firstLine="0"/>
            </w:pPr>
            <w:r>
              <w:rPr>
                <w:rFonts w:ascii="Times New Roman" w:hAnsi="Times New Roman" w:eastAsia="宋体" w:cs="Times New Roman"/>
                <w:color w:val="000000"/>
                <w:sz w:val="19"/>
              </w:rPr>
              <w:t>统一接口定义</w:t>
            </w:r>
          </w:p>
        </w:tc>
        <w:tc>
          <w:tcPr>
            <w:tcW w:w="3855" w:type="dxa"/>
            <w:tcMar>
              <w:top w:w="80" w:type="dxa"/>
              <w:left w:w="80" w:type="dxa"/>
              <w:bottom w:w="80" w:type="dxa"/>
              <w:right w:w="80" w:type="dxa"/>
            </w:tcMar>
            <w:vAlign w:val="center"/>
          </w:tcPr>
          <w:p w14:paraId="736A922F">
            <w:pPr>
              <w:spacing w:before="0" w:after="0" w:line="240" w:lineRule="auto"/>
              <w:ind w:firstLine="0"/>
            </w:pPr>
            <w:r>
              <w:rPr>
                <w:rFonts w:ascii="Times New Roman" w:hAnsi="Times New Roman" w:eastAsia="宋体" w:cs="Times New Roman"/>
                <w:color w:val="000000"/>
                <w:sz w:val="19"/>
              </w:rPr>
              <w:t>主算法和比较算法使用相同的参考、状态、电机限制和输出格式</w:t>
            </w:r>
          </w:p>
        </w:tc>
        <w:tc>
          <w:tcPr>
            <w:tcW w:w="3628" w:type="dxa"/>
            <w:tcMar>
              <w:top w:w="80" w:type="dxa"/>
              <w:left w:w="80" w:type="dxa"/>
              <w:bottom w:w="80" w:type="dxa"/>
              <w:right w:w="80" w:type="dxa"/>
            </w:tcMar>
            <w:vAlign w:val="center"/>
          </w:tcPr>
          <w:p w14:paraId="2FC0EF61">
            <w:pPr>
              <w:spacing w:before="0" w:after="0" w:line="240" w:lineRule="auto"/>
              <w:ind w:firstLine="0"/>
            </w:pPr>
            <w:r>
              <w:rPr>
                <w:rFonts w:ascii="Times New Roman" w:hAnsi="Times New Roman" w:eastAsia="宋体" w:cs="Times New Roman"/>
                <w:color w:val="000000"/>
                <w:sz w:val="19"/>
              </w:rPr>
              <w:t>支持后续同条件比较</w:t>
            </w:r>
          </w:p>
        </w:tc>
      </w:tr>
    </w:tbl>
    <w:p w14:paraId="0E8BEDED">
      <w:pPr>
        <w:spacing w:before="0" w:after="40"/>
        <w:ind w:firstLine="0"/>
      </w:pPr>
    </w:p>
    <w:p w14:paraId="69D2E8FB">
      <w:pPr>
        <w:pStyle w:val="2"/>
        <w:pageBreakBefore w:val="0"/>
      </w:pPr>
      <w:bookmarkStart w:id="50" w:name="_Toc18614"/>
      <w:r>
        <w:rPr>
          <w:rFonts w:ascii="Times New Roman" w:hAnsi="Times New Roman" w:eastAsia="黑体" w:cs="Times New Roman"/>
          <w:b/>
          <w:color w:val="000000"/>
          <w:sz w:val="32"/>
        </w:rPr>
        <w:t>附录C 控制器实现与来源说明</w:t>
      </w:r>
      <w:bookmarkEnd w:id="50"/>
    </w:p>
    <w:p w14:paraId="5B40C757">
      <w:pPr>
        <w:pageBreakBefore w:val="0"/>
        <w:spacing w:before="0" w:after="0" w:line="360" w:lineRule="auto"/>
        <w:ind w:firstLine="480"/>
        <w:jc w:val="both"/>
      </w:pPr>
      <w:r>
        <w:rPr>
          <w:rFonts w:ascii="Times New Roman" w:hAnsi="Times New Roman" w:eastAsia="宋体" w:cs="Times New Roman"/>
          <w:color w:val="000000"/>
          <w:sz w:val="24"/>
        </w:rPr>
        <w:t>正文重点说明控制方法、平台连接和编队安全机制。本附录补充五种控制器的主要信号路径、RA-GCA-CGHTE的Sysblock实现、核心模块接口以及参考来源，说明不同方法如何接入同一仿真模型。</w:t>
      </w:r>
    </w:p>
    <w:p w14:paraId="5F2C2C7F">
      <w:pPr>
        <w:pStyle w:val="3"/>
        <w:keepNext/>
        <w:pageBreakBefore w:val="0"/>
        <w:spacing w:before="240" w:after="120"/>
      </w:pPr>
      <w:bookmarkStart w:id="51" w:name="_Toc10624"/>
      <w:r>
        <w:rPr>
          <w:rFonts w:ascii="Times New Roman" w:hAnsi="Times New Roman" w:eastAsia="黑体" w:cs="Times New Roman"/>
          <w:b/>
          <w:color w:val="000000"/>
          <w:sz w:val="26"/>
        </w:rPr>
        <w:t>C.1 五种控制器的主要信号路径</w:t>
      </w:r>
      <w:bookmarkEnd w:id="51"/>
    </w:p>
    <w:p w14:paraId="3CB3E073">
      <w:pPr>
        <w:pageBreakBefore w:val="0"/>
        <w:spacing w:before="0" w:after="0" w:line="360" w:lineRule="auto"/>
        <w:ind w:firstLine="480"/>
        <w:jc w:val="both"/>
      </w:pPr>
      <w:r>
        <w:rPr>
          <w:rFonts w:ascii="Times New Roman" w:hAnsi="Times New Roman" w:eastAsia="宋体" w:cs="Times New Roman"/>
          <w:color w:val="000000"/>
          <w:sz w:val="24"/>
        </w:rPr>
        <w:t>五种控制器共享参考、状态、采样周期和四维电机输出接口，内部计算方式存在明显差异。表C-1用一条主要信号路径概括每种方法，便于快速比较控制信息如何形成电机指令。</w:t>
      </w:r>
    </w:p>
    <w:p w14:paraId="5BB66D39">
      <w:pPr>
        <w:pStyle w:val="4"/>
        <w:keepNext/>
        <w:pageBreakBefore w:val="0"/>
      </w:pPr>
      <w:r>
        <w:rPr>
          <w:rFonts w:ascii="Times New Roman" w:hAnsi="Times New Roman" w:eastAsia="宋体" w:cs="Times New Roman"/>
          <w:b/>
          <w:color w:val="000000"/>
          <w:sz w:val="21"/>
        </w:rPr>
        <w:t>表C-1 五种控制器的主要信号路径</w:t>
      </w:r>
    </w:p>
    <w:tbl>
      <w:tblPr>
        <w:tblStyle w:val="10"/>
        <w:tblW w:w="0" w:type="auto"/>
        <w:jc w:val="center"/>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1531"/>
        <w:gridCol w:w="7257"/>
      </w:tblGrid>
      <w:tr w14:paraId="1477E0FB">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blHeader/>
          <w:jc w:val="center"/>
        </w:trPr>
        <w:tc>
          <w:tcPr>
            <w:tcW w:w="1531" w:type="dxa"/>
            <w:tcBorders>
              <w:bottom w:val="single" w:color="000000" w:sz="4" w:space="0"/>
            </w:tcBorders>
            <w:tcMar>
              <w:top w:w="45" w:type="dxa"/>
              <w:left w:w="55" w:type="dxa"/>
              <w:bottom w:w="45" w:type="dxa"/>
              <w:right w:w="55" w:type="dxa"/>
            </w:tcMar>
            <w:vAlign w:val="center"/>
          </w:tcPr>
          <w:p w14:paraId="00890E8F">
            <w:pPr>
              <w:spacing w:before="0" w:after="0" w:line="240" w:lineRule="auto"/>
              <w:ind w:firstLine="0"/>
              <w:jc w:val="center"/>
            </w:pPr>
            <w:r>
              <w:rPr>
                <w:rFonts w:ascii="Times New Roman" w:hAnsi="Times New Roman" w:eastAsia="宋体" w:cs="Times New Roman"/>
                <w:b/>
                <w:color w:val="000000"/>
                <w:sz w:val="19"/>
              </w:rPr>
              <w:t>对象</w:t>
            </w:r>
          </w:p>
        </w:tc>
        <w:tc>
          <w:tcPr>
            <w:tcW w:w="7257" w:type="dxa"/>
            <w:tcBorders>
              <w:bottom w:val="single" w:color="000000" w:sz="4" w:space="0"/>
            </w:tcBorders>
            <w:tcMar>
              <w:top w:w="45" w:type="dxa"/>
              <w:left w:w="55" w:type="dxa"/>
              <w:bottom w:w="45" w:type="dxa"/>
              <w:right w:w="55" w:type="dxa"/>
            </w:tcMar>
            <w:vAlign w:val="center"/>
          </w:tcPr>
          <w:p w14:paraId="2500382D">
            <w:pPr>
              <w:spacing w:before="0" w:after="0" w:line="240" w:lineRule="auto"/>
              <w:ind w:firstLine="0"/>
              <w:jc w:val="center"/>
            </w:pPr>
            <w:r>
              <w:rPr>
                <w:rFonts w:ascii="Times New Roman" w:hAnsi="Times New Roman" w:eastAsia="宋体" w:cs="Times New Roman"/>
                <w:b/>
                <w:color w:val="000000"/>
                <w:sz w:val="19"/>
              </w:rPr>
              <w:t>主要信号路径</w:t>
            </w:r>
          </w:p>
        </w:tc>
      </w:tr>
      <w:tr w14:paraId="296F518F">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531" w:type="dxa"/>
            <w:tcMar>
              <w:top w:w="45" w:type="dxa"/>
              <w:left w:w="55" w:type="dxa"/>
              <w:bottom w:w="45" w:type="dxa"/>
              <w:right w:w="55" w:type="dxa"/>
            </w:tcMar>
            <w:vAlign w:val="center"/>
          </w:tcPr>
          <w:p w14:paraId="55FEB8DD">
            <w:pPr>
              <w:spacing w:before="0" w:after="0" w:line="240" w:lineRule="auto"/>
              <w:ind w:firstLine="0"/>
              <w:jc w:val="left"/>
            </w:pPr>
            <w:r>
              <w:rPr>
                <w:rFonts w:ascii="Times New Roman" w:hAnsi="Times New Roman" w:eastAsia="宋体" w:cs="Times New Roman"/>
                <w:b w:val="0"/>
                <w:color w:val="000000"/>
                <w:sz w:val="19"/>
              </w:rPr>
              <w:t>PID</w:t>
            </w:r>
          </w:p>
        </w:tc>
        <w:tc>
          <w:tcPr>
            <w:tcW w:w="7257" w:type="dxa"/>
            <w:tcMar>
              <w:top w:w="45" w:type="dxa"/>
              <w:left w:w="55" w:type="dxa"/>
              <w:bottom w:w="45" w:type="dxa"/>
              <w:right w:w="55" w:type="dxa"/>
            </w:tcMar>
            <w:vAlign w:val="center"/>
          </w:tcPr>
          <w:p w14:paraId="2806D6E8">
            <w:pPr>
              <w:spacing w:before="0" w:after="0" w:line="240" w:lineRule="auto"/>
              <w:ind w:firstLine="0"/>
              <w:jc w:val="left"/>
            </w:pPr>
            <w:r>
              <w:rPr>
                <w:rFonts w:ascii="Times New Roman" w:hAnsi="Times New Roman" w:eastAsia="宋体" w:cs="Times New Roman"/>
                <w:b w:val="0"/>
                <w:color w:val="000000"/>
                <w:sz w:val="19"/>
              </w:rPr>
              <w:t>跟踪误差 → 位置与姿态级联反馈 → 基础控制分配 → 电机指令</w:t>
            </w:r>
          </w:p>
        </w:tc>
      </w:tr>
      <w:tr w14:paraId="35D7139E">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531" w:type="dxa"/>
            <w:tcMar>
              <w:top w:w="45" w:type="dxa"/>
              <w:left w:w="55" w:type="dxa"/>
              <w:bottom w:w="45" w:type="dxa"/>
              <w:right w:w="55" w:type="dxa"/>
            </w:tcMar>
            <w:vAlign w:val="center"/>
          </w:tcPr>
          <w:p w14:paraId="2E98952B">
            <w:pPr>
              <w:spacing w:before="0" w:after="0" w:line="240" w:lineRule="auto"/>
              <w:ind w:firstLine="0"/>
              <w:jc w:val="left"/>
            </w:pPr>
            <w:r>
              <w:rPr>
                <w:rFonts w:ascii="Times New Roman" w:hAnsi="Times New Roman" w:eastAsia="宋体" w:cs="Times New Roman"/>
                <w:b w:val="0"/>
                <w:color w:val="000000"/>
                <w:sz w:val="19"/>
              </w:rPr>
              <w:t>RA-GCA/Base</w:t>
            </w:r>
          </w:p>
        </w:tc>
        <w:tc>
          <w:tcPr>
            <w:tcW w:w="7257" w:type="dxa"/>
            <w:tcMar>
              <w:top w:w="45" w:type="dxa"/>
              <w:left w:w="55" w:type="dxa"/>
              <w:bottom w:w="45" w:type="dxa"/>
              <w:right w:w="55" w:type="dxa"/>
            </w:tcMar>
            <w:vAlign w:val="center"/>
          </w:tcPr>
          <w:p w14:paraId="2E9F71A2">
            <w:pPr>
              <w:spacing w:before="0" w:after="0" w:line="240" w:lineRule="auto"/>
              <w:ind w:firstLine="0"/>
              <w:jc w:val="left"/>
            </w:pPr>
            <w:r>
              <w:rPr>
                <w:rFonts w:ascii="Times New Roman" w:hAnsi="Times New Roman" w:eastAsia="宋体" w:cs="Times New Roman"/>
                <w:b w:val="0"/>
                <w:color w:val="000000"/>
                <w:sz w:val="19"/>
              </w:rPr>
              <w:t>期望合力 → 推力轴对齐 → 约化姿态反馈 → 基础控制分配</w:t>
            </w:r>
          </w:p>
        </w:tc>
      </w:tr>
      <w:tr w14:paraId="7839617E">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531" w:type="dxa"/>
            <w:tcMar>
              <w:top w:w="45" w:type="dxa"/>
              <w:left w:w="55" w:type="dxa"/>
              <w:bottom w:w="45" w:type="dxa"/>
              <w:right w:w="55" w:type="dxa"/>
            </w:tcMar>
            <w:vAlign w:val="center"/>
          </w:tcPr>
          <w:p w14:paraId="17185DFB">
            <w:pPr>
              <w:spacing w:before="0" w:after="0" w:line="240" w:lineRule="auto"/>
              <w:ind w:firstLine="0"/>
              <w:jc w:val="left"/>
            </w:pPr>
            <w:r>
              <w:rPr>
                <w:rFonts w:ascii="Times New Roman" w:hAnsi="Times New Roman" w:eastAsia="宋体" w:cs="Times New Roman"/>
                <w:b w:val="0"/>
                <w:color w:val="000000"/>
                <w:sz w:val="19"/>
              </w:rPr>
              <w:t>RA-GCA-CGHTE</w:t>
            </w:r>
          </w:p>
        </w:tc>
        <w:tc>
          <w:tcPr>
            <w:tcW w:w="7257" w:type="dxa"/>
            <w:tcMar>
              <w:top w:w="45" w:type="dxa"/>
              <w:left w:w="55" w:type="dxa"/>
              <w:bottom w:w="45" w:type="dxa"/>
              <w:right w:w="55" w:type="dxa"/>
            </w:tcMar>
            <w:vAlign w:val="center"/>
          </w:tcPr>
          <w:p w14:paraId="1CDA27E6">
            <w:pPr>
              <w:spacing w:before="0" w:after="0" w:line="240" w:lineRule="auto"/>
              <w:ind w:firstLine="0"/>
              <w:jc w:val="left"/>
            </w:pPr>
            <w:r>
              <w:rPr>
                <w:rFonts w:ascii="Times New Roman" w:hAnsi="Times New Roman" w:eastAsia="宋体" w:cs="Times New Roman"/>
                <w:b w:val="0"/>
                <w:color w:val="000000"/>
                <w:sz w:val="19"/>
              </w:rPr>
              <w:t>期望合力 → 约化姿态控制 → CGHTE推力尺度 → 约束分配 → 两阶段去饱和</w:t>
            </w:r>
          </w:p>
        </w:tc>
      </w:tr>
      <w:tr w14:paraId="3BB8F8A7">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531" w:type="dxa"/>
            <w:tcMar>
              <w:top w:w="45" w:type="dxa"/>
              <w:left w:w="55" w:type="dxa"/>
              <w:bottom w:w="45" w:type="dxa"/>
              <w:right w:w="55" w:type="dxa"/>
            </w:tcMar>
            <w:vAlign w:val="center"/>
          </w:tcPr>
          <w:p w14:paraId="4C5E0ECA">
            <w:pPr>
              <w:spacing w:before="0" w:after="0" w:line="240" w:lineRule="auto"/>
              <w:ind w:firstLine="0"/>
              <w:jc w:val="left"/>
            </w:pPr>
            <w:r>
              <w:rPr>
                <w:rFonts w:ascii="Times New Roman" w:hAnsi="Times New Roman" w:eastAsia="宋体" w:cs="Times New Roman"/>
                <w:b w:val="0"/>
                <w:color w:val="000000"/>
                <w:sz w:val="19"/>
              </w:rPr>
              <w:t>CAP-ADRC</w:t>
            </w:r>
          </w:p>
        </w:tc>
        <w:tc>
          <w:tcPr>
            <w:tcW w:w="7257" w:type="dxa"/>
            <w:tcMar>
              <w:top w:w="45" w:type="dxa"/>
              <w:left w:w="55" w:type="dxa"/>
              <w:bottom w:w="45" w:type="dxa"/>
              <w:right w:w="55" w:type="dxa"/>
            </w:tcMar>
            <w:vAlign w:val="center"/>
          </w:tcPr>
          <w:p w14:paraId="4F6A4A80">
            <w:pPr>
              <w:spacing w:before="0" w:after="0" w:line="240" w:lineRule="auto"/>
              <w:ind w:firstLine="0"/>
              <w:jc w:val="left"/>
            </w:pPr>
            <w:r>
              <w:rPr>
                <w:rFonts w:ascii="Times New Roman" w:hAnsi="Times New Roman" w:eastAsia="宋体" w:cs="Times New Roman"/>
                <w:b w:val="0"/>
                <w:color w:val="000000"/>
                <w:sz w:val="19"/>
              </w:rPr>
              <w:t>跟踪误差 → 泄漏积分与扩张状态观测 → 权限内扰动补偿 → 控制分配</w:t>
            </w:r>
          </w:p>
        </w:tc>
      </w:tr>
      <w:tr w14:paraId="27829E08">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531" w:type="dxa"/>
            <w:tcMar>
              <w:top w:w="45" w:type="dxa"/>
              <w:left w:w="55" w:type="dxa"/>
              <w:bottom w:w="45" w:type="dxa"/>
              <w:right w:w="55" w:type="dxa"/>
            </w:tcMar>
            <w:vAlign w:val="center"/>
          </w:tcPr>
          <w:p w14:paraId="4227E494">
            <w:pPr>
              <w:spacing w:before="0" w:after="0" w:line="240" w:lineRule="auto"/>
              <w:ind w:firstLine="0"/>
              <w:jc w:val="left"/>
            </w:pPr>
            <w:r>
              <w:rPr>
                <w:rFonts w:ascii="Times New Roman" w:hAnsi="Times New Roman" w:eastAsia="宋体" w:cs="Times New Roman"/>
                <w:b w:val="0"/>
                <w:color w:val="000000"/>
                <w:sz w:val="19"/>
              </w:rPr>
              <w:t>CP-INDI</w:t>
            </w:r>
          </w:p>
        </w:tc>
        <w:tc>
          <w:tcPr>
            <w:tcW w:w="7257" w:type="dxa"/>
            <w:tcMar>
              <w:top w:w="45" w:type="dxa"/>
              <w:left w:w="55" w:type="dxa"/>
              <w:bottom w:w="45" w:type="dxa"/>
              <w:right w:w="55" w:type="dxa"/>
            </w:tcMar>
            <w:vAlign w:val="center"/>
          </w:tcPr>
          <w:p w14:paraId="0F78C74D">
            <w:pPr>
              <w:spacing w:before="0" w:after="0" w:line="240" w:lineRule="auto"/>
              <w:ind w:firstLine="0"/>
              <w:jc w:val="left"/>
            </w:pPr>
            <w:r>
              <w:rPr>
                <w:rFonts w:ascii="Times New Roman" w:hAnsi="Times New Roman" w:eastAsia="宋体" w:cs="Times New Roman"/>
                <w:b w:val="0"/>
                <w:color w:val="000000"/>
                <w:sz w:val="19"/>
              </w:rPr>
              <w:t>角速度信号 → 滤波与差分 → 指令增量计算 → 增量控制分配</w:t>
            </w:r>
          </w:p>
        </w:tc>
      </w:tr>
    </w:tbl>
    <w:p w14:paraId="58F55034">
      <w:pPr>
        <w:pStyle w:val="21"/>
        <w:pageBreakBefore w:val="0"/>
      </w:pPr>
      <w:r>
        <w:rPr>
          <w:rFonts w:ascii="Times New Roman" w:hAnsi="Times New Roman" w:eastAsia="宋体" w:cs="Times New Roman"/>
          <w:color w:val="000000"/>
          <w:sz w:val="18"/>
        </w:rPr>
        <w:t>注：箭头表示主要计算顺序，省略增益、限幅和诊断支路。</w:t>
      </w:r>
    </w:p>
    <w:p w14:paraId="5612B6AD">
      <w:pPr>
        <w:pStyle w:val="3"/>
        <w:keepNext/>
        <w:pageBreakBefore w:val="0"/>
        <w:spacing w:before="240" w:after="120"/>
      </w:pPr>
      <w:bookmarkStart w:id="52" w:name="_Toc22048"/>
      <w:r>
        <w:rPr>
          <w:rFonts w:ascii="Times New Roman" w:hAnsi="Times New Roman" w:eastAsia="黑体" w:cs="Times New Roman"/>
          <w:b/>
          <w:color w:val="000000"/>
          <w:sz w:val="26"/>
        </w:rPr>
        <w:t>C.2 CGHTE推力尺度估计与应用</w:t>
      </w:r>
      <w:bookmarkEnd w:id="52"/>
    </w:p>
    <w:p w14:paraId="26F6F83F">
      <w:pPr>
        <w:pageBreakBefore w:val="0"/>
        <w:spacing w:before="0" w:after="0" w:line="360" w:lineRule="auto"/>
        <w:ind w:firstLine="480"/>
        <w:jc w:val="both"/>
      </w:pPr>
      <w:r>
        <w:rPr>
          <w:rFonts w:ascii="Times New Roman" w:hAnsi="Times New Roman" w:eastAsia="宋体" w:cs="Times New Roman"/>
          <w:b w:val="0"/>
          <w:color w:val="000000"/>
          <w:sz w:val="24"/>
        </w:rPr>
        <w:t>图C-1依据RA-GCA-CGHTE的实际实现整理。上部根据垂向加速度、测量模型、创新和协方差估计推力尺度；下部根据估计可信度决定是否启用尺度调整，并执行变化速率限制、保持和回归。参数与诊断信息分别见表3-3和表C-2。</w:t>
      </w:r>
    </w:p>
    <w:p w14:paraId="1A40EE7D">
      <w:pPr>
        <w:keepNext/>
        <w:pageBreakBefore w:val="0"/>
        <w:spacing w:before="0" w:after="60"/>
        <w:ind w:firstLine="0"/>
        <w:jc w:val="center"/>
      </w:pPr>
      <w:r>
        <w:drawing>
          <wp:inline distT="0" distB="0" distL="114300" distR="114300">
            <wp:extent cx="5579745" cy="2986405"/>
            <wp:effectExtent l="0" t="0" r="1905" b="4445"/>
            <wp:docPr id="24" name="Picture 16" descr="CGHTE推力尺度估计、启用判断与尺度应用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6" descr="CGHTE推力尺度估计、启用判断与尺度应用流程"/>
                    <pic:cNvPicPr>
                      <a:picLocks noChangeAspect="1"/>
                    </pic:cNvPicPr>
                  </pic:nvPicPr>
                  <pic:blipFill>
                    <a:blip r:embed="rId35"/>
                    <a:stretch>
                      <a:fillRect/>
                    </a:stretch>
                  </pic:blipFill>
                  <pic:spPr>
                    <a:xfrm>
                      <a:off x="0" y="0"/>
                      <a:ext cx="5580000" cy="2986969"/>
                    </a:xfrm>
                    <a:prstGeom prst="rect">
                      <a:avLst/>
                    </a:prstGeom>
                  </pic:spPr>
                </pic:pic>
              </a:graphicData>
            </a:graphic>
          </wp:inline>
        </w:drawing>
      </w:r>
    </w:p>
    <w:p w14:paraId="319E0087">
      <w:pPr>
        <w:pStyle w:val="4"/>
        <w:keepNext/>
        <w:pageBreakBefore w:val="0"/>
        <w:spacing w:before="40" w:after="40"/>
        <w:ind w:firstLine="0"/>
        <w:jc w:val="center"/>
      </w:pPr>
      <w:r>
        <w:rPr>
          <w:rFonts w:ascii="Times New Roman" w:hAnsi="Times New Roman" w:eastAsia="宋体" w:cs="Times New Roman"/>
          <w:b/>
          <w:color w:val="000000"/>
          <w:sz w:val="21"/>
        </w:rPr>
        <w:t>图C-1 CGHTE推力尺度估计与应用流程</w:t>
      </w:r>
    </w:p>
    <w:p w14:paraId="1586F81D">
      <w:pPr>
        <w:pStyle w:val="21"/>
        <w:pageBreakBefore w:val="0"/>
        <w:spacing w:after="0"/>
      </w:pPr>
      <w:r>
        <w:rPr>
          <w:rFonts w:ascii="Times New Roman" w:hAnsi="Times New Roman" w:eastAsia="宋体" w:cs="Times New Roman"/>
          <w:color w:val="000000"/>
          <w:sz w:val="18"/>
        </w:rPr>
        <w:t>注：图中保留推力尺度估计与应用的主要步骤，参数和诊断信息分别见表3-3和表C-2。</w:t>
      </w:r>
    </w:p>
    <w:p w14:paraId="6E0DC161">
      <w:pPr>
        <w:pStyle w:val="3"/>
        <w:keepNext/>
        <w:pageBreakBefore w:val="0"/>
        <w:spacing w:before="240" w:after="120"/>
      </w:pPr>
      <w:bookmarkStart w:id="53" w:name="_Toc21366"/>
      <w:r>
        <w:rPr>
          <w:rFonts w:ascii="Times New Roman" w:hAnsi="Times New Roman" w:eastAsia="黑体" w:cs="Times New Roman"/>
          <w:b/>
          <w:color w:val="000000"/>
          <w:sz w:val="26"/>
        </w:rPr>
        <w:t>C.3 RA-GCA-CGHTE的Sysblock实现</w:t>
      </w:r>
      <w:bookmarkEnd w:id="53"/>
    </w:p>
    <w:p w14:paraId="0177044A">
      <w:pPr>
        <w:pageBreakBefore w:val="0"/>
        <w:spacing w:before="0" w:after="0" w:line="360" w:lineRule="auto"/>
        <w:ind w:firstLine="480"/>
        <w:jc w:val="both"/>
      </w:pPr>
      <w:r>
        <w:rPr>
          <w:rFonts w:ascii="Times New Roman" w:hAnsi="Times New Roman" w:eastAsia="宋体" w:cs="Times New Roman"/>
          <w:b w:val="0"/>
          <w:color w:val="000000"/>
          <w:sz w:val="24"/>
        </w:rPr>
        <w:t>图C-2为RA-GCA-CGHTE控制器的Sysblock原理图直接导出结果。模型从左至右接收参考、状态和分配上下限，依次完成几何控制、推力尺度估计、约束分配与诊断输出。整图保留软件中的组件和信号连接，用于展示控制器在MWORKS中的实际实现。</w:t>
      </w:r>
    </w:p>
    <w:p w14:paraId="6A4303B9">
      <w:pPr>
        <w:keepNext/>
        <w:pageBreakBefore w:val="0"/>
        <w:spacing w:before="0" w:after="60"/>
        <w:ind w:firstLine="0"/>
        <w:jc w:val="center"/>
      </w:pPr>
      <w:r>
        <w:drawing>
          <wp:inline distT="0" distB="0" distL="114300" distR="114300">
            <wp:extent cx="5579745" cy="3719830"/>
            <wp:effectExtent l="0" t="0" r="1905" b="13970"/>
            <wp:docPr id="25" name="Picture 13" descr="RA-GCA-CGHTE控制器的完整Sysblock内部实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3" descr="RA-GCA-CGHTE控制器的完整Sysblock内部实现"/>
                    <pic:cNvPicPr>
                      <a:picLocks noChangeAspect="1"/>
                    </pic:cNvPicPr>
                  </pic:nvPicPr>
                  <pic:blipFill>
                    <a:blip r:embed="rId36"/>
                    <a:stretch>
                      <a:fillRect/>
                    </a:stretch>
                  </pic:blipFill>
                  <pic:spPr>
                    <a:xfrm>
                      <a:off x="0" y="0"/>
                      <a:ext cx="5580000" cy="3720000"/>
                    </a:xfrm>
                    <a:prstGeom prst="rect">
                      <a:avLst/>
                    </a:prstGeom>
                  </pic:spPr>
                </pic:pic>
              </a:graphicData>
            </a:graphic>
          </wp:inline>
        </w:drawing>
      </w:r>
    </w:p>
    <w:p w14:paraId="45C61F74">
      <w:pPr>
        <w:pStyle w:val="4"/>
        <w:keepNext/>
        <w:pageBreakBefore w:val="0"/>
        <w:spacing w:before="40" w:after="40"/>
        <w:ind w:firstLine="0"/>
        <w:jc w:val="center"/>
      </w:pPr>
      <w:r>
        <w:rPr>
          <w:rFonts w:ascii="Times New Roman" w:hAnsi="Times New Roman" w:eastAsia="宋体" w:cs="Times New Roman"/>
          <w:b/>
          <w:color w:val="000000"/>
          <w:sz w:val="21"/>
        </w:rPr>
        <w:t>图C-2 RA-GCA-CGHTE的Sysblock内部实现</w:t>
      </w:r>
    </w:p>
    <w:p w14:paraId="1D56F8DD">
      <w:pPr>
        <w:pStyle w:val="21"/>
        <w:pageBreakBefore w:val="0"/>
        <w:spacing w:before="0" w:after="60"/>
        <w:ind w:firstLine="0"/>
        <w:jc w:val="left"/>
      </w:pPr>
      <w:r>
        <w:rPr>
          <w:rFonts w:ascii="Times New Roman" w:hAnsi="Times New Roman" w:eastAsia="宋体" w:cs="Times New Roman"/>
          <w:b w:val="0"/>
          <w:color w:val="000000"/>
          <w:sz w:val="18"/>
        </w:rPr>
        <w:t>来源：MWORKS Sysplorer从RA-GCA-CGHTE控制器模型直接导出。</w:t>
      </w:r>
    </w:p>
    <w:p w14:paraId="57F50D78">
      <w:pPr>
        <w:keepNext/>
        <w:pageBreakBefore w:val="0"/>
        <w:spacing w:before="0" w:after="0" w:line="360" w:lineRule="auto"/>
        <w:ind w:firstLine="480"/>
        <w:jc w:val="both"/>
      </w:pPr>
      <w:r>
        <w:rPr>
          <w:rFonts w:ascii="Times New Roman" w:hAnsi="Times New Roman" w:eastAsia="宋体" w:cs="Times New Roman"/>
          <w:color w:val="000000"/>
          <w:sz w:val="24"/>
        </w:rPr>
        <w:t>图C-3在完整Sysblock原理图上标出两个重点区域。区域(a)包含期望合力、约化姿态控制、平方转速分配和两阶段去饱和；区域(b)包含垂向加速度处理、尺度估计、启用判断、尺度平滑应用和诊断输出。底图与图C-2相同，全部端口、组件和连接均完整保留。</w:t>
      </w:r>
    </w:p>
    <w:p w14:paraId="067BB003">
      <w:pPr>
        <w:keepNext/>
        <w:pageBreakBefore w:val="0"/>
        <w:spacing w:before="0" w:after="60"/>
        <w:ind w:firstLine="0"/>
        <w:jc w:val="center"/>
      </w:pPr>
      <w:r>
        <w:drawing>
          <wp:inline distT="0" distB="0" distL="114300" distR="114300">
            <wp:extent cx="5579745" cy="3719830"/>
            <wp:effectExtent l="0" t="0" r="1905" b="13970"/>
            <wp:docPr id="26" name="Picture 17" descr="完整Sysblock实现图，标出几何控制与约束分配、推力估计与尺度应用两个重点区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7" descr="完整Sysblock实现图，标出几何控制与约束分配、推力估计与尺度应用两个重点区域"/>
                    <pic:cNvPicPr>
                      <a:picLocks noChangeAspect="1"/>
                    </pic:cNvPicPr>
                  </pic:nvPicPr>
                  <pic:blipFill>
                    <a:blip r:embed="rId37"/>
                    <a:stretch>
                      <a:fillRect/>
                    </a:stretch>
                  </pic:blipFill>
                  <pic:spPr>
                    <a:xfrm>
                      <a:off x="0" y="0"/>
                      <a:ext cx="5580000" cy="3720000"/>
                    </a:xfrm>
                    <a:prstGeom prst="rect">
                      <a:avLst/>
                    </a:prstGeom>
                  </pic:spPr>
                </pic:pic>
              </a:graphicData>
            </a:graphic>
          </wp:inline>
        </w:drawing>
      </w:r>
    </w:p>
    <w:p w14:paraId="646365AB">
      <w:pPr>
        <w:pStyle w:val="4"/>
        <w:keepNext/>
        <w:pageBreakBefore w:val="0"/>
        <w:spacing w:before="40" w:after="40"/>
        <w:ind w:firstLine="0"/>
        <w:jc w:val="center"/>
      </w:pPr>
      <w:r>
        <w:rPr>
          <w:rFonts w:ascii="Times New Roman" w:hAnsi="Times New Roman" w:eastAsia="宋体" w:cs="Times New Roman"/>
          <w:b/>
          <w:color w:val="000000"/>
          <w:sz w:val="21"/>
        </w:rPr>
        <w:t>图C-3 Sysblock内部实现重点区域：（a）几何控制与约束分配；（b）推力估计与尺度应用</w:t>
      </w:r>
    </w:p>
    <w:p w14:paraId="42356757">
      <w:pPr>
        <w:pStyle w:val="21"/>
        <w:pageBreakBefore w:val="0"/>
        <w:spacing w:before="0" w:after="60"/>
        <w:ind w:firstLine="0"/>
        <w:jc w:val="left"/>
      </w:pPr>
      <w:r>
        <w:rPr>
          <w:rFonts w:ascii="Times New Roman" w:hAnsi="Times New Roman" w:eastAsia="宋体" w:cs="Times New Roman"/>
          <w:color w:val="000000"/>
          <w:sz w:val="18"/>
        </w:rPr>
        <w:t>注：底图为图C-2的完整导出图，仅增加区域标注，未裁切或改动组件、信号和连接。</w:t>
      </w:r>
    </w:p>
    <w:p w14:paraId="75E9256E">
      <w:pPr>
        <w:pStyle w:val="3"/>
        <w:keepNext/>
        <w:pageBreakBefore w:val="0"/>
        <w:spacing w:before="240" w:after="120"/>
      </w:pPr>
      <w:bookmarkStart w:id="54" w:name="_Toc16709"/>
      <w:r>
        <w:rPr>
          <w:rFonts w:ascii="Times New Roman" w:hAnsi="Times New Roman" w:eastAsia="黑体" w:cs="Times New Roman"/>
          <w:b/>
          <w:color w:val="000000"/>
          <w:sz w:val="26"/>
        </w:rPr>
        <w:t>C.4 核心模块的端口和诊断信息</w:t>
      </w:r>
      <w:bookmarkEnd w:id="54"/>
    </w:p>
    <w:p w14:paraId="0C4DF64F">
      <w:pPr>
        <w:pageBreakBefore w:val="0"/>
        <w:spacing w:before="0" w:after="0" w:line="360" w:lineRule="auto"/>
        <w:ind w:firstLine="480"/>
        <w:jc w:val="both"/>
      </w:pPr>
      <w:r>
        <w:rPr>
          <w:rFonts w:ascii="Times New Roman" w:hAnsi="Times New Roman" w:eastAsia="宋体" w:cs="Times New Roman"/>
          <w:color w:val="000000"/>
          <w:sz w:val="24"/>
        </w:rPr>
        <w:t>表C-2按模型端口顺序列出RA-GCA-CGHTE与PP-CBF的输入、控制输出和诊断信息。诊断量用于结果分析和约束检查，不进入四旋翼动力学计算。</w:t>
      </w:r>
    </w:p>
    <w:p w14:paraId="25EEE63B">
      <w:pPr>
        <w:pStyle w:val="4"/>
        <w:keepNext/>
        <w:pageBreakBefore w:val="0"/>
        <w:spacing w:before="40" w:after="40"/>
      </w:pPr>
      <w:r>
        <w:rPr>
          <w:rFonts w:ascii="Times New Roman" w:hAnsi="Times New Roman" w:eastAsia="宋体" w:cs="Times New Roman"/>
          <w:b/>
          <w:color w:val="000000"/>
          <w:sz w:val="21"/>
        </w:rPr>
        <w:t>表C-2 RA-GCA-CGHTE与PP-CBF的端口和诊断信息</w:t>
      </w:r>
    </w:p>
    <w:tbl>
      <w:tblPr>
        <w:tblStyle w:val="10"/>
        <w:tblW w:w="0" w:type="auto"/>
        <w:jc w:val="center"/>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535"/>
        <w:gridCol w:w="2054"/>
        <w:gridCol w:w="906"/>
        <w:gridCol w:w="4686"/>
      </w:tblGrid>
      <w:tr w14:paraId="4F3D2719">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blHeader/>
          <w:jc w:val="center"/>
        </w:trPr>
        <w:tc>
          <w:tcPr>
            <w:tcW w:w="0" w:type="auto"/>
            <w:tcBorders>
              <w:bottom w:val="single" w:color="000000" w:sz="4" w:space="0"/>
            </w:tcBorders>
            <w:tcMar>
              <w:top w:w="45" w:type="dxa"/>
              <w:left w:w="55" w:type="dxa"/>
              <w:bottom w:w="45" w:type="dxa"/>
              <w:right w:w="55" w:type="dxa"/>
            </w:tcMar>
            <w:vAlign w:val="center"/>
          </w:tcPr>
          <w:p w14:paraId="59031B61">
            <w:pPr>
              <w:spacing w:before="0" w:after="0" w:line="240" w:lineRule="auto"/>
              <w:ind w:firstLine="0"/>
              <w:jc w:val="center"/>
            </w:pPr>
            <w:r>
              <w:rPr>
                <w:rFonts w:ascii="Times New Roman" w:hAnsi="Times New Roman" w:eastAsia="宋体" w:cs="Times New Roman"/>
                <w:b/>
                <w:color w:val="000000"/>
                <w:sz w:val="19"/>
              </w:rPr>
              <w:t>模块</w:t>
            </w:r>
          </w:p>
        </w:tc>
        <w:tc>
          <w:tcPr>
            <w:tcW w:w="0" w:type="auto"/>
            <w:tcBorders>
              <w:bottom w:val="single" w:color="000000" w:sz="4" w:space="0"/>
            </w:tcBorders>
            <w:tcMar>
              <w:top w:w="45" w:type="dxa"/>
              <w:left w:w="55" w:type="dxa"/>
              <w:bottom w:w="45" w:type="dxa"/>
              <w:right w:w="55" w:type="dxa"/>
            </w:tcMar>
            <w:vAlign w:val="center"/>
          </w:tcPr>
          <w:p w14:paraId="673E500C">
            <w:pPr>
              <w:spacing w:before="0" w:after="0" w:line="240" w:lineRule="auto"/>
              <w:ind w:firstLine="0"/>
              <w:jc w:val="center"/>
            </w:pPr>
            <w:r>
              <w:rPr>
                <w:rFonts w:ascii="Times New Roman" w:hAnsi="Times New Roman" w:eastAsia="宋体" w:cs="Times New Roman"/>
                <w:b/>
                <w:color w:val="000000"/>
                <w:sz w:val="19"/>
              </w:rPr>
              <w:t>输入</w:t>
            </w:r>
          </w:p>
        </w:tc>
        <w:tc>
          <w:tcPr>
            <w:tcW w:w="0" w:type="auto"/>
            <w:tcBorders>
              <w:bottom w:val="single" w:color="000000" w:sz="4" w:space="0"/>
            </w:tcBorders>
            <w:tcMar>
              <w:top w:w="45" w:type="dxa"/>
              <w:left w:w="55" w:type="dxa"/>
              <w:bottom w:w="45" w:type="dxa"/>
              <w:right w:w="55" w:type="dxa"/>
            </w:tcMar>
            <w:vAlign w:val="center"/>
          </w:tcPr>
          <w:p w14:paraId="5C91C735">
            <w:pPr>
              <w:spacing w:before="0" w:after="0" w:line="240" w:lineRule="auto"/>
              <w:ind w:firstLine="0"/>
              <w:jc w:val="center"/>
            </w:pPr>
            <w:r>
              <w:rPr>
                <w:rFonts w:ascii="Times New Roman" w:hAnsi="Times New Roman" w:eastAsia="宋体" w:cs="Times New Roman"/>
                <w:b/>
                <w:color w:val="000000"/>
                <w:sz w:val="19"/>
              </w:rPr>
              <w:t>控制输出</w:t>
            </w:r>
          </w:p>
        </w:tc>
        <w:tc>
          <w:tcPr>
            <w:tcW w:w="0" w:type="auto"/>
            <w:tcBorders>
              <w:bottom w:val="single" w:color="000000" w:sz="4" w:space="0"/>
            </w:tcBorders>
            <w:tcMar>
              <w:top w:w="45" w:type="dxa"/>
              <w:left w:w="55" w:type="dxa"/>
              <w:bottom w:w="45" w:type="dxa"/>
              <w:right w:w="55" w:type="dxa"/>
            </w:tcMar>
            <w:vAlign w:val="center"/>
          </w:tcPr>
          <w:p w14:paraId="5F9416D7">
            <w:pPr>
              <w:spacing w:before="0" w:after="0" w:line="240" w:lineRule="auto"/>
              <w:ind w:firstLine="0"/>
              <w:jc w:val="center"/>
            </w:pPr>
            <w:r>
              <w:rPr>
                <w:rFonts w:ascii="Times New Roman" w:hAnsi="Times New Roman" w:eastAsia="宋体" w:cs="Times New Roman"/>
                <w:b/>
                <w:color w:val="000000"/>
                <w:sz w:val="19"/>
              </w:rPr>
              <w:t>诊断信息</w:t>
            </w:r>
          </w:p>
        </w:tc>
      </w:tr>
      <w:tr w14:paraId="191105EB">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0" w:type="auto"/>
            <w:tcMar>
              <w:top w:w="45" w:type="dxa"/>
              <w:left w:w="55" w:type="dxa"/>
              <w:bottom w:w="45" w:type="dxa"/>
              <w:right w:w="55" w:type="dxa"/>
            </w:tcMar>
            <w:vAlign w:val="center"/>
          </w:tcPr>
          <w:p w14:paraId="7811C09F">
            <w:pPr>
              <w:spacing w:before="0" w:after="0" w:line="240" w:lineRule="auto"/>
              <w:ind w:firstLine="0"/>
              <w:jc w:val="center"/>
            </w:pPr>
            <w:r>
              <w:rPr>
                <w:rFonts w:ascii="Times New Roman" w:hAnsi="Times New Roman" w:eastAsia="宋体" w:cs="Times New Roman"/>
                <w:b w:val="0"/>
                <w:color w:val="000000"/>
                <w:sz w:val="19"/>
              </w:rPr>
              <w:t>RA-GCA-CGHTE</w:t>
            </w:r>
          </w:p>
        </w:tc>
        <w:tc>
          <w:tcPr>
            <w:tcW w:w="0" w:type="auto"/>
            <w:tcMar>
              <w:top w:w="45" w:type="dxa"/>
              <w:left w:w="55" w:type="dxa"/>
              <w:bottom w:w="45" w:type="dxa"/>
              <w:right w:w="55" w:type="dxa"/>
            </w:tcMar>
            <w:vAlign w:val="center"/>
          </w:tcPr>
          <w:p w14:paraId="5C178C18">
            <w:pPr>
              <w:spacing w:before="0" w:after="0" w:line="240" w:lineRule="auto"/>
              <w:ind w:firstLine="0"/>
              <w:jc w:val="center"/>
            </w:pPr>
            <w:r>
              <w:rPr>
                <w:rFonts w:ascii="Times New Roman" w:hAnsi="Times New Roman" w:eastAsia="宋体" w:cs="Times New Roman"/>
                <w:b w:val="0"/>
                <w:color w:val="000000"/>
                <w:sz w:val="19"/>
              </w:rPr>
              <w:t>11维参考；18维状态；2维分配上下限</w:t>
            </w:r>
          </w:p>
        </w:tc>
        <w:tc>
          <w:tcPr>
            <w:tcW w:w="0" w:type="auto"/>
            <w:tcMar>
              <w:top w:w="45" w:type="dxa"/>
              <w:left w:w="55" w:type="dxa"/>
              <w:bottom w:w="45" w:type="dxa"/>
              <w:right w:w="55" w:type="dxa"/>
            </w:tcMar>
            <w:vAlign w:val="center"/>
          </w:tcPr>
          <w:p w14:paraId="0E666A22">
            <w:pPr>
              <w:spacing w:before="0" w:after="0" w:line="240" w:lineRule="auto"/>
              <w:ind w:firstLine="0"/>
              <w:jc w:val="center"/>
            </w:pPr>
            <w:r>
              <w:rPr>
                <w:rFonts w:ascii="Times New Roman" w:hAnsi="Times New Roman" w:eastAsia="宋体" w:cs="Times New Roman"/>
                <w:b w:val="0"/>
                <w:color w:val="000000"/>
                <w:sz w:val="19"/>
              </w:rPr>
              <w:t>4维电机指令</w:t>
            </w:r>
          </w:p>
        </w:tc>
        <w:tc>
          <w:tcPr>
            <w:tcW w:w="0" w:type="auto"/>
            <w:tcMar>
              <w:top w:w="45" w:type="dxa"/>
              <w:left w:w="55" w:type="dxa"/>
              <w:bottom w:w="45" w:type="dxa"/>
              <w:right w:w="55" w:type="dxa"/>
            </w:tcMar>
            <w:vAlign w:val="center"/>
          </w:tcPr>
          <w:p w14:paraId="0A026608">
            <w:pPr>
              <w:spacing w:before="0" w:after="0" w:line="240" w:lineRule="auto"/>
              <w:ind w:firstLine="0"/>
              <w:jc w:val="center"/>
            </w:pPr>
            <w:r>
              <w:rPr>
                <w:rFonts w:ascii="Times New Roman" w:hAnsi="Times New Roman" w:eastAsia="宋体" w:cs="Times New Roman"/>
                <w:b w:val="0"/>
                <w:color w:val="000000"/>
                <w:sz w:val="19"/>
              </w:rPr>
              <w:t>诊断1-10：期望力Fx/Fy/Fz、力矩τx/τy/τz（τz=0）、分配残差、裁剪电机数、位置误差范数、姿态误差范数</w:t>
            </w:r>
          </w:p>
        </w:tc>
      </w:tr>
      <w:tr w14:paraId="2F9B53D7">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0" w:type="auto"/>
            <w:tcMar>
              <w:top w:w="45" w:type="dxa"/>
              <w:left w:w="55" w:type="dxa"/>
              <w:bottom w:w="45" w:type="dxa"/>
              <w:right w:w="55" w:type="dxa"/>
            </w:tcMar>
            <w:vAlign w:val="center"/>
          </w:tcPr>
          <w:p w14:paraId="3D1CC703">
            <w:pPr>
              <w:spacing w:before="0" w:after="0" w:line="240" w:lineRule="auto"/>
              <w:ind w:firstLine="0"/>
              <w:jc w:val="center"/>
            </w:pPr>
            <w:r>
              <w:rPr>
                <w:rFonts w:ascii="Times New Roman" w:hAnsi="Times New Roman" w:eastAsia="宋体" w:cs="Times New Roman"/>
                <w:b w:val="0"/>
                <w:color w:val="000000"/>
                <w:sz w:val="19"/>
              </w:rPr>
              <w:t>RA-GCA-CGHTE</w:t>
            </w:r>
          </w:p>
        </w:tc>
        <w:tc>
          <w:tcPr>
            <w:tcW w:w="0" w:type="auto"/>
            <w:tcMar>
              <w:top w:w="45" w:type="dxa"/>
              <w:left w:w="55" w:type="dxa"/>
              <w:bottom w:w="45" w:type="dxa"/>
              <w:right w:w="55" w:type="dxa"/>
            </w:tcMar>
            <w:vAlign w:val="center"/>
          </w:tcPr>
          <w:p w14:paraId="140B923D">
            <w:pPr>
              <w:spacing w:before="0" w:after="0" w:line="240" w:lineRule="auto"/>
              <w:ind w:firstLine="0"/>
              <w:jc w:val="center"/>
            </w:pPr>
            <w:r>
              <w:rPr>
                <w:rFonts w:ascii="Times New Roman" w:hAnsi="Times New Roman" w:eastAsia="宋体" w:cs="Times New Roman"/>
                <w:b w:val="0"/>
                <w:color w:val="000000"/>
                <w:sz w:val="19"/>
              </w:rPr>
              <w:t>同上</w:t>
            </w:r>
          </w:p>
        </w:tc>
        <w:tc>
          <w:tcPr>
            <w:tcW w:w="0" w:type="auto"/>
            <w:tcMar>
              <w:top w:w="45" w:type="dxa"/>
              <w:left w:w="55" w:type="dxa"/>
              <w:bottom w:w="45" w:type="dxa"/>
              <w:right w:w="55" w:type="dxa"/>
            </w:tcMar>
            <w:vAlign w:val="center"/>
          </w:tcPr>
          <w:p w14:paraId="1AF5E0F7">
            <w:pPr>
              <w:spacing w:before="0" w:after="0" w:line="240" w:lineRule="auto"/>
              <w:ind w:firstLine="0"/>
              <w:jc w:val="center"/>
            </w:pPr>
            <w:r>
              <w:rPr>
                <w:rFonts w:ascii="Times New Roman" w:hAnsi="Times New Roman" w:eastAsia="宋体" w:cs="Times New Roman"/>
                <w:b w:val="0"/>
                <w:color w:val="000000"/>
                <w:sz w:val="19"/>
              </w:rPr>
              <w:t>同上</w:t>
            </w:r>
          </w:p>
        </w:tc>
        <w:tc>
          <w:tcPr>
            <w:tcW w:w="0" w:type="auto"/>
            <w:tcMar>
              <w:top w:w="45" w:type="dxa"/>
              <w:left w:w="55" w:type="dxa"/>
              <w:bottom w:w="45" w:type="dxa"/>
              <w:right w:w="55" w:type="dxa"/>
            </w:tcMar>
            <w:vAlign w:val="center"/>
          </w:tcPr>
          <w:p w14:paraId="65C41D0C">
            <w:pPr>
              <w:spacing w:before="0" w:after="0" w:line="240" w:lineRule="auto"/>
              <w:ind w:firstLine="0"/>
              <w:jc w:val="center"/>
            </w:pPr>
            <w:r>
              <w:rPr>
                <w:rFonts w:ascii="Times New Roman" w:hAnsi="Times New Roman" w:eastAsia="宋体" w:cs="Times New Roman"/>
                <w:b w:val="0"/>
                <w:color w:val="000000"/>
                <w:sz w:val="19"/>
              </w:rPr>
              <w:t>诊断11-16：估计尺度、应用尺度、估计有效状态、归一化创新、分配器上限、算法标识码914</w:t>
            </w:r>
          </w:p>
        </w:tc>
      </w:tr>
      <w:tr w14:paraId="163CBC41">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0" w:type="auto"/>
            <w:tcMar>
              <w:top w:w="45" w:type="dxa"/>
              <w:left w:w="55" w:type="dxa"/>
              <w:bottom w:w="45" w:type="dxa"/>
              <w:right w:w="55" w:type="dxa"/>
            </w:tcMar>
            <w:vAlign w:val="center"/>
          </w:tcPr>
          <w:p w14:paraId="74EC29F5">
            <w:pPr>
              <w:spacing w:before="0" w:after="0" w:line="240" w:lineRule="auto"/>
              <w:ind w:firstLine="0"/>
              <w:jc w:val="center"/>
            </w:pPr>
            <w:r>
              <w:rPr>
                <w:rFonts w:ascii="Times New Roman" w:hAnsi="Times New Roman" w:eastAsia="宋体" w:cs="Times New Roman"/>
                <w:b w:val="0"/>
                <w:color w:val="000000"/>
                <w:sz w:val="19"/>
              </w:rPr>
              <w:t>PP-CBF</w:t>
            </w:r>
          </w:p>
        </w:tc>
        <w:tc>
          <w:tcPr>
            <w:tcW w:w="0" w:type="auto"/>
            <w:tcMar>
              <w:top w:w="45" w:type="dxa"/>
              <w:left w:w="55" w:type="dxa"/>
              <w:bottom w:w="45" w:type="dxa"/>
              <w:right w:w="55" w:type="dxa"/>
            </w:tcMar>
            <w:vAlign w:val="center"/>
          </w:tcPr>
          <w:p w14:paraId="23128774">
            <w:pPr>
              <w:spacing w:before="0" w:after="0" w:line="240" w:lineRule="auto"/>
              <w:ind w:firstLine="0"/>
              <w:jc w:val="center"/>
            </w:pPr>
            <w:r>
              <w:rPr>
                <w:rFonts w:ascii="Times New Roman" w:hAnsi="Times New Roman" w:eastAsia="宋体" w:cs="Times New Roman"/>
                <w:b w:val="0"/>
                <w:color w:val="000000"/>
                <w:sz w:val="19"/>
              </w:rPr>
              <w:t>9维领导机参考；18维三机状态；9维编队偏置</w:t>
            </w:r>
          </w:p>
        </w:tc>
        <w:tc>
          <w:tcPr>
            <w:tcW w:w="0" w:type="auto"/>
            <w:tcMar>
              <w:top w:w="45" w:type="dxa"/>
              <w:left w:w="55" w:type="dxa"/>
              <w:bottom w:w="45" w:type="dxa"/>
              <w:right w:w="55" w:type="dxa"/>
            </w:tcMar>
            <w:vAlign w:val="center"/>
          </w:tcPr>
          <w:p w14:paraId="18E332E7">
            <w:pPr>
              <w:spacing w:before="0" w:after="0" w:line="240" w:lineRule="auto"/>
              <w:ind w:firstLine="0"/>
              <w:jc w:val="center"/>
            </w:pPr>
            <w:r>
              <w:rPr>
                <w:rFonts w:ascii="Times New Roman" w:hAnsi="Times New Roman" w:eastAsia="宋体" w:cs="Times New Roman"/>
                <w:b w:val="0"/>
                <w:color w:val="000000"/>
                <w:sz w:val="19"/>
              </w:rPr>
              <w:t>27维三机安全参考</w:t>
            </w:r>
          </w:p>
        </w:tc>
        <w:tc>
          <w:tcPr>
            <w:tcW w:w="0" w:type="auto"/>
            <w:tcMar>
              <w:top w:w="45" w:type="dxa"/>
              <w:left w:w="55" w:type="dxa"/>
              <w:bottom w:w="45" w:type="dxa"/>
              <w:right w:w="55" w:type="dxa"/>
            </w:tcMar>
            <w:vAlign w:val="center"/>
          </w:tcPr>
          <w:p w14:paraId="5F247F83">
            <w:pPr>
              <w:spacing w:before="0" w:after="0" w:line="240" w:lineRule="auto"/>
              <w:ind w:firstLine="0"/>
              <w:jc w:val="center"/>
            </w:pPr>
            <w:r>
              <w:rPr>
                <w:rFonts w:ascii="Times New Roman" w:hAnsi="Times New Roman" w:eastAsia="宋体" w:cs="Times New Roman"/>
                <w:b w:val="0"/>
                <w:color w:val="000000"/>
                <w:sz w:val="19"/>
              </w:rPr>
              <w:t>诊断1-8：最小距离、最小残差、最大队形误差、激活投影数、最大修正、不可行标志、预留量、最大参考速度</w:t>
            </w:r>
          </w:p>
        </w:tc>
      </w:tr>
    </w:tbl>
    <w:p w14:paraId="330EC02A">
      <w:pPr>
        <w:pStyle w:val="21"/>
        <w:pageBreakBefore w:val="0"/>
      </w:pPr>
      <w:r>
        <w:rPr>
          <w:rFonts w:ascii="Times New Roman" w:hAnsi="Times New Roman" w:eastAsia="宋体" w:cs="Times New Roman"/>
          <w:b w:val="0"/>
          <w:color w:val="000000"/>
          <w:sz w:val="18"/>
        </w:rPr>
        <w:t>注：两类模块的控制周期均为0.01 s；端口维度依据Sysblock模型定义整理。</w:t>
      </w:r>
    </w:p>
    <w:p w14:paraId="7E70F472">
      <w:pPr>
        <w:pStyle w:val="3"/>
        <w:keepNext/>
        <w:pageBreakBefore w:val="0"/>
        <w:spacing w:before="240" w:after="120"/>
      </w:pPr>
      <w:bookmarkStart w:id="55" w:name="_Toc14359"/>
      <w:r>
        <w:rPr>
          <w:rFonts w:ascii="Times New Roman" w:hAnsi="Times New Roman" w:eastAsia="黑体" w:cs="Times New Roman"/>
          <w:b/>
          <w:color w:val="000000"/>
          <w:sz w:val="26"/>
        </w:rPr>
        <w:t>C.5 参考来源与团队实现</w:t>
      </w:r>
      <w:bookmarkEnd w:id="55"/>
    </w:p>
    <w:p w14:paraId="57EEC7B9">
      <w:pPr>
        <w:pageBreakBefore w:val="0"/>
        <w:spacing w:before="0" w:after="0" w:line="360" w:lineRule="auto"/>
        <w:ind w:firstLine="480"/>
        <w:jc w:val="both"/>
      </w:pPr>
      <w:r>
        <w:rPr>
          <w:rFonts w:ascii="Times New Roman" w:hAnsi="Times New Roman" w:eastAsia="宋体" w:cs="Times New Roman"/>
          <w:color w:val="000000"/>
          <w:sz w:val="24"/>
        </w:rPr>
        <w:t>表C-3列出本章直接使用的论文与工程结构来源，并给出代码仓库的固定提交和许可证。论文用于理论核对，仓库用于结构研究；控制器由团队在MWORKS Sysblock中独立实现并适配A8模型。</w:t>
      </w:r>
    </w:p>
    <w:p w14:paraId="4E5EBD5D">
      <w:pPr>
        <w:pStyle w:val="4"/>
        <w:keepNext/>
        <w:pageBreakBefore w:val="0"/>
        <w:spacing w:before="40" w:after="40"/>
        <w:ind w:firstLine="0"/>
        <w:jc w:val="center"/>
      </w:pPr>
      <w:r>
        <w:rPr>
          <w:rFonts w:ascii="Times New Roman" w:hAnsi="Times New Roman" w:eastAsia="宋体" w:cs="Times New Roman"/>
          <w:b/>
          <w:color w:val="000000"/>
          <w:sz w:val="21"/>
        </w:rPr>
        <w:t>表C-3 主要参考来源与团队实现</w:t>
      </w:r>
    </w:p>
    <w:tbl>
      <w:tblPr>
        <w:tblStyle w:val="10"/>
        <w:tblW w:w="0" w:type="auto"/>
        <w:jc w:val="center"/>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250"/>
        <w:gridCol w:w="4118"/>
        <w:gridCol w:w="1912"/>
        <w:gridCol w:w="1901"/>
      </w:tblGrid>
      <w:tr w14:paraId="6D5BBCF7">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blHeader/>
          <w:jc w:val="center"/>
        </w:trPr>
        <w:tc>
          <w:tcPr>
            <w:tcW w:w="0" w:type="auto"/>
            <w:tcBorders>
              <w:bottom w:val="single" w:color="000000" w:sz="4" w:space="0"/>
            </w:tcBorders>
            <w:tcMar>
              <w:top w:w="45" w:type="dxa"/>
              <w:left w:w="55" w:type="dxa"/>
              <w:bottom w:w="45" w:type="dxa"/>
              <w:right w:w="55" w:type="dxa"/>
            </w:tcMar>
            <w:vAlign w:val="center"/>
          </w:tcPr>
          <w:p w14:paraId="23936DAE">
            <w:pPr>
              <w:spacing w:before="0" w:after="0" w:line="240" w:lineRule="auto"/>
              <w:ind w:firstLine="0"/>
              <w:jc w:val="center"/>
            </w:pPr>
            <w:r>
              <w:rPr>
                <w:rFonts w:ascii="Times New Roman" w:hAnsi="Times New Roman" w:eastAsia="宋体" w:cs="Times New Roman"/>
                <w:b/>
                <w:color w:val="000000"/>
                <w:sz w:val="19"/>
              </w:rPr>
              <w:t>方法或模块</w:t>
            </w:r>
          </w:p>
        </w:tc>
        <w:tc>
          <w:tcPr>
            <w:tcW w:w="0" w:type="auto"/>
            <w:tcBorders>
              <w:bottom w:val="single" w:color="000000" w:sz="4" w:space="0"/>
            </w:tcBorders>
            <w:tcMar>
              <w:top w:w="45" w:type="dxa"/>
              <w:left w:w="55" w:type="dxa"/>
              <w:bottom w:w="45" w:type="dxa"/>
              <w:right w:w="55" w:type="dxa"/>
            </w:tcMar>
            <w:vAlign w:val="center"/>
          </w:tcPr>
          <w:p w14:paraId="69E37E55">
            <w:pPr>
              <w:spacing w:before="0" w:after="0" w:line="240" w:lineRule="auto"/>
              <w:ind w:firstLine="0"/>
              <w:jc w:val="center"/>
            </w:pPr>
            <w:r>
              <w:rPr>
                <w:rFonts w:ascii="Times New Roman" w:hAnsi="Times New Roman" w:eastAsia="宋体" w:cs="Times New Roman"/>
                <w:b/>
                <w:color w:val="000000"/>
                <w:sz w:val="19"/>
              </w:rPr>
              <w:t>参考来源</w:t>
            </w:r>
          </w:p>
        </w:tc>
        <w:tc>
          <w:tcPr>
            <w:tcW w:w="0" w:type="auto"/>
            <w:tcBorders>
              <w:bottom w:val="single" w:color="000000" w:sz="4" w:space="0"/>
            </w:tcBorders>
            <w:tcMar>
              <w:top w:w="45" w:type="dxa"/>
              <w:left w:w="55" w:type="dxa"/>
              <w:bottom w:w="45" w:type="dxa"/>
              <w:right w:w="55" w:type="dxa"/>
            </w:tcMar>
            <w:vAlign w:val="center"/>
          </w:tcPr>
          <w:p w14:paraId="57725FB7">
            <w:pPr>
              <w:spacing w:before="0" w:after="0" w:line="240" w:lineRule="auto"/>
              <w:ind w:firstLine="0"/>
              <w:jc w:val="center"/>
            </w:pPr>
            <w:r>
              <w:rPr>
                <w:rFonts w:ascii="Times New Roman" w:hAnsi="Times New Roman" w:eastAsia="宋体" w:cs="Times New Roman"/>
                <w:b/>
                <w:color w:val="000000"/>
                <w:sz w:val="19"/>
              </w:rPr>
              <w:t>团队实际工作</w:t>
            </w:r>
          </w:p>
        </w:tc>
        <w:tc>
          <w:tcPr>
            <w:tcW w:w="0" w:type="auto"/>
            <w:tcBorders>
              <w:bottom w:val="single" w:color="000000" w:sz="4" w:space="0"/>
            </w:tcBorders>
            <w:tcMar>
              <w:top w:w="45" w:type="dxa"/>
              <w:left w:w="55" w:type="dxa"/>
              <w:bottom w:w="45" w:type="dxa"/>
              <w:right w:w="55" w:type="dxa"/>
            </w:tcMar>
            <w:vAlign w:val="center"/>
          </w:tcPr>
          <w:p w14:paraId="59CECB57">
            <w:pPr>
              <w:spacing w:before="0" w:after="0" w:line="240" w:lineRule="auto"/>
              <w:ind w:firstLine="0"/>
              <w:jc w:val="center"/>
            </w:pPr>
            <w:r>
              <w:rPr>
                <w:rFonts w:ascii="Times New Roman" w:hAnsi="Times New Roman" w:eastAsia="宋体" w:cs="Times New Roman"/>
                <w:b/>
                <w:color w:val="000000"/>
                <w:sz w:val="19"/>
              </w:rPr>
              <w:t>使用说明</w:t>
            </w:r>
          </w:p>
        </w:tc>
      </w:tr>
      <w:tr w14:paraId="4DA7FF50">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0" w:type="auto"/>
            <w:tcMar>
              <w:top w:w="45" w:type="dxa"/>
              <w:left w:w="55" w:type="dxa"/>
              <w:bottom w:w="45" w:type="dxa"/>
              <w:right w:w="55" w:type="dxa"/>
            </w:tcMar>
            <w:vAlign w:val="center"/>
          </w:tcPr>
          <w:p w14:paraId="736D534D">
            <w:pPr>
              <w:spacing w:before="0" w:after="0" w:line="240" w:lineRule="auto"/>
              <w:ind w:firstLine="0"/>
              <w:jc w:val="center"/>
            </w:pPr>
            <w:r>
              <w:rPr>
                <w:rFonts w:ascii="Times New Roman" w:hAnsi="Times New Roman" w:eastAsia="宋体" w:cs="Times New Roman"/>
                <w:b w:val="0"/>
                <w:color w:val="000000"/>
                <w:sz w:val="19"/>
              </w:rPr>
              <w:t>RA-GCA与约化姿态</w:t>
            </w:r>
          </w:p>
        </w:tc>
        <w:tc>
          <w:tcPr>
            <w:tcW w:w="0" w:type="auto"/>
            <w:tcMar>
              <w:top w:w="45" w:type="dxa"/>
              <w:left w:w="55" w:type="dxa"/>
              <w:bottom w:w="45" w:type="dxa"/>
              <w:right w:w="55" w:type="dxa"/>
            </w:tcMar>
            <w:vAlign w:val="center"/>
          </w:tcPr>
          <w:p w14:paraId="4421AFAD">
            <w:pPr>
              <w:spacing w:before="0" w:after="0" w:line="240" w:lineRule="auto"/>
              <w:ind w:firstLine="0"/>
              <w:jc w:val="center"/>
            </w:pPr>
            <w:r>
              <w:rPr>
                <w:rFonts w:ascii="Times New Roman" w:hAnsi="Times New Roman" w:eastAsia="宋体" w:cs="Times New Roman"/>
                <w:b w:val="0"/>
                <w:color w:val="000000"/>
                <w:sz w:val="19"/>
              </w:rPr>
              <w:t>Lee等；Brescianini等；uav_geometric_control@f5fcb51（MIT）；rpg_quadrotor_control@22b55b0（MIT）</w:t>
            </w:r>
          </w:p>
        </w:tc>
        <w:tc>
          <w:tcPr>
            <w:tcW w:w="0" w:type="auto"/>
            <w:tcMar>
              <w:top w:w="45" w:type="dxa"/>
              <w:left w:w="55" w:type="dxa"/>
              <w:bottom w:w="45" w:type="dxa"/>
              <w:right w:w="55" w:type="dxa"/>
            </w:tcMar>
            <w:vAlign w:val="center"/>
          </w:tcPr>
          <w:p w14:paraId="5B5D5FAE">
            <w:pPr>
              <w:spacing w:before="0" w:after="0" w:line="240" w:lineRule="auto"/>
              <w:ind w:firstLine="0"/>
              <w:jc w:val="center"/>
            </w:pPr>
            <w:r>
              <w:rPr>
                <w:rFonts w:ascii="Times New Roman" w:hAnsi="Times New Roman" w:eastAsia="宋体" w:cs="Times New Roman"/>
                <w:b w:val="0"/>
                <w:color w:val="000000"/>
                <w:sz w:val="19"/>
              </w:rPr>
              <w:t>独立推导、约化姿态适配和Sysblock实现</w:t>
            </w:r>
          </w:p>
        </w:tc>
        <w:tc>
          <w:tcPr>
            <w:tcW w:w="0" w:type="auto"/>
            <w:tcMar>
              <w:top w:w="45" w:type="dxa"/>
              <w:left w:w="55" w:type="dxa"/>
              <w:bottom w:w="45" w:type="dxa"/>
              <w:right w:w="55" w:type="dxa"/>
            </w:tcMar>
            <w:vAlign w:val="center"/>
          </w:tcPr>
          <w:p w14:paraId="282C7C44">
            <w:pPr>
              <w:spacing w:before="0" w:after="0" w:line="240" w:lineRule="auto"/>
              <w:ind w:firstLine="0"/>
              <w:jc w:val="center"/>
            </w:pPr>
            <w:r>
              <w:rPr>
                <w:rFonts w:ascii="Times New Roman" w:hAnsi="Times New Roman" w:eastAsia="宋体" w:cs="Times New Roman"/>
                <w:b w:val="0"/>
                <w:color w:val="000000"/>
                <w:sz w:val="19"/>
              </w:rPr>
              <w:t>公开仓库用于方程和工程结构核对，作品实现不依赖其代码</w:t>
            </w:r>
          </w:p>
        </w:tc>
      </w:tr>
      <w:tr w14:paraId="242BE2B2">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0" w:type="auto"/>
            <w:tcMar>
              <w:top w:w="45" w:type="dxa"/>
              <w:left w:w="55" w:type="dxa"/>
              <w:bottom w:w="45" w:type="dxa"/>
              <w:right w:w="55" w:type="dxa"/>
            </w:tcMar>
            <w:vAlign w:val="center"/>
          </w:tcPr>
          <w:p w14:paraId="40FA8C42">
            <w:pPr>
              <w:spacing w:before="0" w:after="0" w:line="240" w:lineRule="auto"/>
              <w:ind w:firstLine="0"/>
              <w:jc w:val="center"/>
            </w:pPr>
            <w:r>
              <w:rPr>
                <w:rFonts w:ascii="Times New Roman" w:hAnsi="Times New Roman" w:eastAsia="宋体" w:cs="Times New Roman"/>
                <w:b w:val="0"/>
                <w:color w:val="000000"/>
                <w:sz w:val="19"/>
              </w:rPr>
              <w:t>约束分配与CGHTE</w:t>
            </w:r>
          </w:p>
        </w:tc>
        <w:tc>
          <w:tcPr>
            <w:tcW w:w="0" w:type="auto"/>
            <w:tcMar>
              <w:top w:w="45" w:type="dxa"/>
              <w:left w:w="55" w:type="dxa"/>
              <w:bottom w:w="45" w:type="dxa"/>
              <w:right w:w="55" w:type="dxa"/>
            </w:tcMar>
            <w:vAlign w:val="center"/>
          </w:tcPr>
          <w:p w14:paraId="66E3A4E7">
            <w:pPr>
              <w:spacing w:before="0" w:after="0" w:line="240" w:lineRule="auto"/>
              <w:ind w:firstLine="0"/>
              <w:jc w:val="center"/>
            </w:pPr>
            <w:r>
              <w:rPr>
                <w:rFonts w:ascii="Times New Roman" w:hAnsi="Times New Roman" w:eastAsia="宋体" w:cs="Times New Roman"/>
                <w:b w:val="0"/>
                <w:color w:val="000000"/>
                <w:sz w:val="19"/>
              </w:rPr>
              <w:t>Johansen等；PX4-Autopilot@d60fea65（BSD-3-Clause）</w:t>
            </w:r>
          </w:p>
        </w:tc>
        <w:tc>
          <w:tcPr>
            <w:tcW w:w="0" w:type="auto"/>
            <w:tcMar>
              <w:top w:w="45" w:type="dxa"/>
              <w:left w:w="55" w:type="dxa"/>
              <w:bottom w:w="45" w:type="dxa"/>
              <w:right w:w="55" w:type="dxa"/>
            </w:tcMar>
            <w:vAlign w:val="center"/>
          </w:tcPr>
          <w:p w14:paraId="463A2575">
            <w:pPr>
              <w:spacing w:before="0" w:after="0" w:line="240" w:lineRule="auto"/>
              <w:ind w:firstLine="0"/>
              <w:jc w:val="center"/>
            </w:pPr>
            <w:r>
              <w:rPr>
                <w:rFonts w:ascii="Times New Roman" w:hAnsi="Times New Roman" w:eastAsia="宋体" w:cs="Times New Roman"/>
                <w:b w:val="0"/>
                <w:color w:val="000000"/>
                <w:sz w:val="19"/>
              </w:rPr>
              <w:t>重建平方转速域分配、可信条件判断、变化速率限制和16维诊断</w:t>
            </w:r>
          </w:p>
        </w:tc>
        <w:tc>
          <w:tcPr>
            <w:tcW w:w="0" w:type="auto"/>
            <w:tcMar>
              <w:top w:w="45" w:type="dxa"/>
              <w:left w:w="55" w:type="dxa"/>
              <w:bottom w:w="45" w:type="dxa"/>
              <w:right w:w="55" w:type="dxa"/>
            </w:tcMar>
            <w:vAlign w:val="center"/>
          </w:tcPr>
          <w:p w14:paraId="3FBBD6CA">
            <w:pPr>
              <w:spacing w:before="0" w:after="0" w:line="240" w:lineRule="auto"/>
              <w:ind w:firstLine="0"/>
              <w:jc w:val="center"/>
            </w:pPr>
            <w:r>
              <w:rPr>
                <w:rFonts w:ascii="Times New Roman" w:hAnsi="Times New Roman" w:eastAsia="宋体" w:cs="Times New Roman"/>
                <w:b w:val="0"/>
                <w:color w:val="000000"/>
                <w:sz w:val="19"/>
              </w:rPr>
              <w:t>按A8接口独立实现；本章说明主动去饱和方法，其性能由约束场景结果评价</w:t>
            </w:r>
          </w:p>
        </w:tc>
      </w:tr>
      <w:tr w14:paraId="0B54B2F3">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0" w:type="auto"/>
            <w:tcMar>
              <w:top w:w="45" w:type="dxa"/>
              <w:left w:w="55" w:type="dxa"/>
              <w:bottom w:w="45" w:type="dxa"/>
              <w:right w:w="55" w:type="dxa"/>
            </w:tcMar>
            <w:vAlign w:val="center"/>
          </w:tcPr>
          <w:p w14:paraId="42A47BF0">
            <w:pPr>
              <w:spacing w:before="0" w:after="0" w:line="240" w:lineRule="auto"/>
              <w:ind w:firstLine="0"/>
              <w:jc w:val="center"/>
            </w:pPr>
            <w:r>
              <w:rPr>
                <w:rFonts w:ascii="Times New Roman" w:hAnsi="Times New Roman" w:eastAsia="宋体" w:cs="Times New Roman"/>
                <w:b w:val="0"/>
                <w:color w:val="000000"/>
                <w:sz w:val="19"/>
              </w:rPr>
              <w:t>CAP-ADRC</w:t>
            </w:r>
          </w:p>
        </w:tc>
        <w:tc>
          <w:tcPr>
            <w:tcW w:w="0" w:type="auto"/>
            <w:tcMar>
              <w:top w:w="45" w:type="dxa"/>
              <w:left w:w="55" w:type="dxa"/>
              <w:bottom w:w="45" w:type="dxa"/>
              <w:right w:w="55" w:type="dxa"/>
            </w:tcMar>
            <w:vAlign w:val="center"/>
          </w:tcPr>
          <w:p w14:paraId="3B3385A6">
            <w:pPr>
              <w:spacing w:before="0" w:after="0" w:line="240" w:lineRule="auto"/>
              <w:ind w:firstLine="0"/>
              <w:jc w:val="center"/>
            </w:pPr>
            <w:r>
              <w:rPr>
                <w:rFonts w:ascii="Times New Roman" w:hAnsi="Times New Roman" w:eastAsia="宋体" w:cs="Times New Roman"/>
                <w:b w:val="0"/>
                <w:color w:val="000000"/>
                <w:sz w:val="19"/>
              </w:rPr>
              <w:t>Han等ADRC论文；未使用外部代码仓库</w:t>
            </w:r>
          </w:p>
        </w:tc>
        <w:tc>
          <w:tcPr>
            <w:tcW w:w="0" w:type="auto"/>
            <w:tcMar>
              <w:top w:w="45" w:type="dxa"/>
              <w:left w:w="55" w:type="dxa"/>
              <w:bottom w:w="45" w:type="dxa"/>
              <w:right w:w="55" w:type="dxa"/>
            </w:tcMar>
            <w:vAlign w:val="center"/>
          </w:tcPr>
          <w:p w14:paraId="429AF484">
            <w:pPr>
              <w:spacing w:before="0" w:after="0" w:line="240" w:lineRule="auto"/>
              <w:ind w:firstLine="0"/>
              <w:jc w:val="center"/>
            </w:pPr>
            <w:r>
              <w:rPr>
                <w:rFonts w:ascii="Times New Roman" w:hAnsi="Times New Roman" w:eastAsia="宋体" w:cs="Times New Roman"/>
                <w:b w:val="0"/>
                <w:color w:val="000000"/>
                <w:sz w:val="19"/>
              </w:rPr>
              <w:t>独立离散并加入控制权限裁剪</w:t>
            </w:r>
          </w:p>
        </w:tc>
        <w:tc>
          <w:tcPr>
            <w:tcW w:w="0" w:type="auto"/>
            <w:tcMar>
              <w:top w:w="45" w:type="dxa"/>
              <w:left w:w="55" w:type="dxa"/>
              <w:bottom w:w="45" w:type="dxa"/>
              <w:right w:w="55" w:type="dxa"/>
            </w:tcMar>
            <w:vAlign w:val="center"/>
          </w:tcPr>
          <w:p w14:paraId="4DA3432B">
            <w:pPr>
              <w:spacing w:before="0" w:after="0" w:line="240" w:lineRule="auto"/>
              <w:ind w:firstLine="0"/>
              <w:jc w:val="center"/>
            </w:pPr>
            <w:r>
              <w:rPr>
                <w:rFonts w:ascii="Times New Roman" w:hAnsi="Times New Roman" w:eastAsia="宋体" w:cs="Times New Roman"/>
                <w:b w:val="0"/>
                <w:color w:val="000000"/>
                <w:sz w:val="19"/>
              </w:rPr>
              <w:t>依据公开论文完成离散实现</w:t>
            </w:r>
          </w:p>
        </w:tc>
      </w:tr>
      <w:tr w14:paraId="1C1A83BE">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0" w:type="auto"/>
            <w:tcMar>
              <w:top w:w="45" w:type="dxa"/>
              <w:left w:w="55" w:type="dxa"/>
              <w:bottom w:w="45" w:type="dxa"/>
              <w:right w:w="55" w:type="dxa"/>
            </w:tcMar>
            <w:vAlign w:val="center"/>
          </w:tcPr>
          <w:p w14:paraId="4B61BE16">
            <w:pPr>
              <w:spacing w:before="0" w:after="0" w:line="240" w:lineRule="auto"/>
              <w:ind w:firstLine="0"/>
              <w:jc w:val="center"/>
            </w:pPr>
            <w:r>
              <w:rPr>
                <w:rFonts w:ascii="Times New Roman" w:hAnsi="Times New Roman" w:eastAsia="宋体" w:cs="Times New Roman"/>
                <w:b w:val="0"/>
                <w:color w:val="000000"/>
                <w:sz w:val="19"/>
              </w:rPr>
              <w:t>CP-INDI</w:t>
            </w:r>
          </w:p>
        </w:tc>
        <w:tc>
          <w:tcPr>
            <w:tcW w:w="0" w:type="auto"/>
            <w:tcMar>
              <w:top w:w="45" w:type="dxa"/>
              <w:left w:w="55" w:type="dxa"/>
              <w:bottom w:w="45" w:type="dxa"/>
              <w:right w:w="55" w:type="dxa"/>
            </w:tcMar>
            <w:vAlign w:val="center"/>
          </w:tcPr>
          <w:p w14:paraId="7FC63977">
            <w:pPr>
              <w:spacing w:before="0" w:after="0" w:line="240" w:lineRule="auto"/>
              <w:ind w:firstLine="0"/>
              <w:jc w:val="center"/>
            </w:pPr>
            <w:r>
              <w:rPr>
                <w:rFonts w:ascii="Times New Roman" w:hAnsi="Times New Roman" w:eastAsia="宋体" w:cs="Times New Roman"/>
                <w:b w:val="0"/>
                <w:color w:val="000000"/>
                <w:sz w:val="19"/>
              </w:rPr>
              <w:t>Smeur等；crazyflie-firmware@f45ff8f（GPL-3.0-only）；paparazzi@a5755b9（GPL-2.0-only）</w:t>
            </w:r>
          </w:p>
        </w:tc>
        <w:tc>
          <w:tcPr>
            <w:tcW w:w="0" w:type="auto"/>
            <w:tcMar>
              <w:top w:w="45" w:type="dxa"/>
              <w:left w:w="55" w:type="dxa"/>
              <w:bottom w:w="45" w:type="dxa"/>
              <w:right w:w="55" w:type="dxa"/>
            </w:tcMar>
            <w:vAlign w:val="center"/>
          </w:tcPr>
          <w:p w14:paraId="72978483">
            <w:pPr>
              <w:spacing w:before="0" w:after="0" w:line="240" w:lineRule="auto"/>
              <w:ind w:firstLine="0"/>
              <w:jc w:val="center"/>
            </w:pPr>
            <w:r>
              <w:rPr>
                <w:rFonts w:ascii="Times New Roman" w:hAnsi="Times New Roman" w:eastAsia="宋体" w:cs="Times New Roman"/>
                <w:b w:val="0"/>
                <w:color w:val="000000"/>
                <w:sz w:val="19"/>
              </w:rPr>
              <w:t>独立重构滤波、差分和增量控制接口</w:t>
            </w:r>
          </w:p>
        </w:tc>
        <w:tc>
          <w:tcPr>
            <w:tcW w:w="0" w:type="auto"/>
            <w:tcMar>
              <w:top w:w="45" w:type="dxa"/>
              <w:left w:w="55" w:type="dxa"/>
              <w:bottom w:w="45" w:type="dxa"/>
              <w:right w:w="55" w:type="dxa"/>
            </w:tcMar>
            <w:vAlign w:val="center"/>
          </w:tcPr>
          <w:p w14:paraId="39C38037">
            <w:pPr>
              <w:spacing w:before="0" w:after="0" w:line="240" w:lineRule="auto"/>
              <w:ind w:firstLine="0"/>
              <w:jc w:val="center"/>
            </w:pPr>
            <w:r>
              <w:rPr>
                <w:rFonts w:ascii="Times New Roman" w:hAnsi="Times New Roman" w:eastAsia="宋体" w:cs="Times New Roman"/>
                <w:b w:val="0"/>
                <w:color w:val="000000"/>
                <w:sz w:val="19"/>
              </w:rPr>
              <w:t>GPL仓库仅用于结构研究，未复制代码且不构成作品依赖</w:t>
            </w:r>
          </w:p>
        </w:tc>
      </w:tr>
      <w:tr w14:paraId="2126AF7F">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0" w:type="auto"/>
            <w:tcMar>
              <w:top w:w="45" w:type="dxa"/>
              <w:left w:w="55" w:type="dxa"/>
              <w:bottom w:w="45" w:type="dxa"/>
              <w:right w:w="55" w:type="dxa"/>
            </w:tcMar>
            <w:vAlign w:val="center"/>
          </w:tcPr>
          <w:p w14:paraId="403CC79F">
            <w:pPr>
              <w:spacing w:before="0" w:after="0" w:line="240" w:lineRule="auto"/>
              <w:ind w:firstLine="0"/>
              <w:jc w:val="center"/>
            </w:pPr>
            <w:r>
              <w:rPr>
                <w:rFonts w:ascii="Times New Roman" w:hAnsi="Times New Roman" w:eastAsia="宋体" w:cs="Times New Roman"/>
                <w:b w:val="0"/>
                <w:color w:val="000000"/>
                <w:sz w:val="19"/>
              </w:rPr>
              <w:t>PP-CBF</w:t>
            </w:r>
          </w:p>
        </w:tc>
        <w:tc>
          <w:tcPr>
            <w:tcW w:w="0" w:type="auto"/>
            <w:tcMar>
              <w:top w:w="45" w:type="dxa"/>
              <w:left w:w="55" w:type="dxa"/>
              <w:bottom w:w="45" w:type="dxa"/>
              <w:right w:w="55" w:type="dxa"/>
            </w:tcMar>
            <w:vAlign w:val="center"/>
          </w:tcPr>
          <w:p w14:paraId="76C2F00E">
            <w:pPr>
              <w:spacing w:before="0" w:after="0" w:line="240" w:lineRule="auto"/>
              <w:ind w:firstLine="0"/>
              <w:jc w:val="center"/>
            </w:pPr>
            <w:r>
              <w:rPr>
                <w:rFonts w:ascii="Times New Roman" w:hAnsi="Times New Roman" w:eastAsia="宋体" w:cs="Times New Roman"/>
                <w:b w:val="0"/>
                <w:color w:val="000000"/>
                <w:sz w:val="19"/>
              </w:rPr>
              <w:t>Ames等CBF论文；未使用外部代码仓库</w:t>
            </w:r>
          </w:p>
        </w:tc>
        <w:tc>
          <w:tcPr>
            <w:tcW w:w="0" w:type="auto"/>
            <w:tcMar>
              <w:top w:w="45" w:type="dxa"/>
              <w:left w:w="55" w:type="dxa"/>
              <w:bottom w:w="45" w:type="dxa"/>
              <w:right w:w="55" w:type="dxa"/>
            </w:tcMar>
            <w:vAlign w:val="center"/>
          </w:tcPr>
          <w:p w14:paraId="2F804C5D">
            <w:pPr>
              <w:spacing w:before="0" w:after="0" w:line="240" w:lineRule="auto"/>
              <w:ind w:firstLine="0"/>
              <w:jc w:val="center"/>
            </w:pPr>
            <w:r>
              <w:rPr>
                <w:rFonts w:ascii="Times New Roman" w:hAnsi="Times New Roman" w:eastAsia="宋体" w:cs="Times New Roman"/>
                <w:b w:val="0"/>
                <w:color w:val="000000"/>
                <w:sz w:val="19"/>
              </w:rPr>
              <w:t>独立实现三机预测约束、顺序投影和安全诊断</w:t>
            </w:r>
          </w:p>
        </w:tc>
        <w:tc>
          <w:tcPr>
            <w:tcW w:w="0" w:type="auto"/>
            <w:tcMar>
              <w:top w:w="45" w:type="dxa"/>
              <w:left w:w="55" w:type="dxa"/>
              <w:bottom w:w="45" w:type="dxa"/>
              <w:right w:w="55" w:type="dxa"/>
            </w:tcMar>
            <w:vAlign w:val="center"/>
          </w:tcPr>
          <w:p w14:paraId="67FE4840">
            <w:pPr>
              <w:spacing w:before="0" w:after="0" w:line="240" w:lineRule="auto"/>
              <w:ind w:firstLine="0"/>
              <w:jc w:val="center"/>
            </w:pPr>
            <w:r>
              <w:rPr>
                <w:rFonts w:ascii="Times New Roman" w:hAnsi="Times New Roman" w:eastAsia="宋体" w:cs="Times New Roman"/>
                <w:b w:val="0"/>
                <w:color w:val="000000"/>
                <w:sz w:val="19"/>
              </w:rPr>
              <w:t>作为独立上层安全监督器使用</w:t>
            </w:r>
          </w:p>
        </w:tc>
      </w:tr>
    </w:tbl>
    <w:p w14:paraId="6427525B">
      <w:pPr>
        <w:pStyle w:val="21"/>
        <w:pageBreakBefore w:val="0"/>
        <w:spacing w:after="0"/>
      </w:pPr>
      <w:r>
        <w:rPr>
          <w:rFonts w:ascii="Times New Roman" w:hAnsi="Times New Roman" w:eastAsia="宋体" w:cs="Times New Roman"/>
          <w:b w:val="0"/>
          <w:color w:val="000000"/>
          <w:sz w:val="18"/>
        </w:rPr>
        <w:t>注：表中仅列出与第3、4章直接相关的论文、开源仓库及许可证信息。</w:t>
      </w:r>
    </w:p>
    <w:p w14:paraId="1D1C6C19">
      <w:pPr>
        <w:pageBreakBefore w:val="0"/>
        <w:spacing w:before="0" w:after="0" w:line="360" w:lineRule="auto"/>
        <w:ind w:firstLine="480"/>
        <w:jc w:val="both"/>
        <w:rPr>
          <w:rFonts w:ascii="Times New Roman" w:hAnsi="Times New Roman" w:eastAsia="宋体" w:cs="Times New Roman"/>
          <w:color w:val="000000"/>
          <w:sz w:val="24"/>
        </w:rPr>
      </w:pPr>
      <w:r>
        <w:rPr>
          <w:rFonts w:ascii="Times New Roman" w:hAnsi="Times New Roman" w:eastAsia="宋体" w:cs="Times New Roman"/>
          <w:color w:val="000000"/>
          <w:sz w:val="24"/>
        </w:rPr>
        <w:t>本附录补充了控制器信号处理、实现方法、端口和来源许可信息。性能比较仍以统一场景下的仿真曲线和定量指标为准。</w:t>
      </w:r>
      <w:bookmarkStart w:id="56" w:name="_Toc32214"/>
    </w:p>
    <w:p w14:paraId="7B7D47CD">
      <w:pPr>
        <w:pageBreakBefore w:val="0"/>
        <w:spacing w:before="0" w:after="0" w:line="360" w:lineRule="auto"/>
        <w:ind w:firstLine="480"/>
        <w:jc w:val="both"/>
        <w:rPr>
          <w:rFonts w:ascii="Times New Roman" w:hAnsi="Times New Roman" w:eastAsia="宋体" w:cs="Times New Roman"/>
          <w:color w:val="000000"/>
          <w:sz w:val="24"/>
        </w:rPr>
      </w:pPr>
    </w:p>
    <w:p w14:paraId="7B9511E8">
      <w:pPr>
        <w:pageBreakBefore w:val="0"/>
        <w:spacing w:before="0" w:after="0" w:line="360" w:lineRule="auto"/>
        <w:ind w:left="0" w:leftChars="0" w:firstLine="0" w:firstLineChars="0"/>
        <w:jc w:val="both"/>
      </w:pPr>
      <w:r>
        <w:rPr>
          <w:rFonts w:ascii="Times New Roman" w:hAnsi="Times New Roman" w:eastAsia="黑体" w:cs="Times New Roman"/>
          <w:b/>
          <w:color w:val="000000"/>
          <w:sz w:val="32"/>
        </w:rPr>
        <w:t>附录D 复合参数与外扰测试补充</w:t>
      </w:r>
      <w:bookmarkEnd w:id="56"/>
    </w:p>
    <w:p w14:paraId="4DEC30C0">
      <w:pPr>
        <w:spacing w:before="0" w:after="0" w:line="360" w:lineRule="auto"/>
        <w:ind w:firstLine="480"/>
        <w:jc w:val="both"/>
      </w:pPr>
      <w:r>
        <w:rPr>
          <w:rFonts w:ascii="Times New Roman" w:hAnsi="Times New Roman" w:eastAsia="宋体" w:cs="Times New Roman"/>
          <w:color w:val="000000"/>
          <w:sz w:val="24"/>
        </w:rPr>
        <w:t>图D-1补充6组参数变化与外力或外力矩共同作用的测试。RA-GCA-CGHTE的位置RMSE为0.210-0.317 m，扰动后恢复时间为1.61-1.72 s。该组结果说明，在参数变化与外扰同时出现时，系统仍能恢复跟踪；误差峰值和恢复速度仍有优化空间。</w:t>
      </w:r>
    </w:p>
    <w:p w14:paraId="3A0A1B96">
      <w:pPr>
        <w:keepNext/>
        <w:spacing w:before="0" w:after="60"/>
        <w:ind w:firstLine="0"/>
        <w:jc w:val="center"/>
      </w:pPr>
      <w:r>
        <w:drawing>
          <wp:inline distT="0" distB="0" distL="114300" distR="114300">
            <wp:extent cx="5394960" cy="2637790"/>
            <wp:effectExtent l="0" t="0" r="15240" b="10160"/>
            <wp:docPr id="2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9"/>
                    <pic:cNvPicPr>
                      <a:picLocks noChangeAspect="1"/>
                    </pic:cNvPicPr>
                  </pic:nvPicPr>
                  <pic:blipFill>
                    <a:blip r:embed="rId38"/>
                    <a:stretch>
                      <a:fillRect/>
                    </a:stretch>
                  </pic:blipFill>
                  <pic:spPr>
                    <a:xfrm>
                      <a:off x="0" y="0"/>
                      <a:ext cx="5394960" cy="2638132"/>
                    </a:xfrm>
                    <a:prstGeom prst="rect">
                      <a:avLst/>
                    </a:prstGeom>
                  </pic:spPr>
                </pic:pic>
              </a:graphicData>
            </a:graphic>
          </wp:inline>
        </w:drawing>
      </w:r>
    </w:p>
    <w:p w14:paraId="67393D06">
      <w:pPr>
        <w:pStyle w:val="4"/>
        <w:keepNext/>
      </w:pPr>
      <w:r>
        <w:rPr>
          <w:rFonts w:ascii="Times New Roman" w:hAnsi="Times New Roman" w:eastAsia="宋体" w:cs="Times New Roman"/>
          <w:b/>
          <w:color w:val="000000"/>
          <w:sz w:val="21"/>
        </w:rPr>
        <w:t>图D-1  RA-GCA-CGHTE在6组复合参数与外扰设置下的结果</w:t>
      </w:r>
    </w:p>
    <w:p w14:paraId="0F9B8568">
      <w:pPr>
        <w:pStyle w:val="21"/>
        <w:rPr>
          <w:rFonts w:ascii="Times New Roman" w:hAnsi="Times New Roman" w:eastAsia="宋体" w:cs="Times New Roman"/>
          <w:color w:val="000000"/>
          <w:sz w:val="18"/>
        </w:rPr>
      </w:pPr>
      <w:r>
        <w:rPr>
          <w:rFonts w:ascii="Times New Roman" w:hAnsi="Times New Roman" w:eastAsia="宋体" w:cs="Times New Roman"/>
          <w:color w:val="000000"/>
          <w:sz w:val="18"/>
        </w:rPr>
        <w:t>注：面板(a)为全时域三维位置RMSE，面板(b)为扰动结束后的恢复时间。</w:t>
      </w:r>
      <w:bookmarkStart w:id="57" w:name="_Toc11557"/>
    </w:p>
    <w:p w14:paraId="24A48E0C">
      <w:pPr>
        <w:pStyle w:val="21"/>
        <w:rPr>
          <w:rFonts w:ascii="Times New Roman" w:hAnsi="Times New Roman" w:eastAsia="宋体" w:cs="Times New Roman"/>
          <w:color w:val="000000"/>
          <w:sz w:val="18"/>
        </w:rPr>
      </w:pPr>
    </w:p>
    <w:p w14:paraId="6F76F6D7">
      <w:pPr>
        <w:pStyle w:val="21"/>
        <w:rPr>
          <w:rFonts w:ascii="Times New Roman" w:hAnsi="Times New Roman" w:eastAsia="宋体" w:cs="Times New Roman"/>
          <w:color w:val="000000"/>
          <w:sz w:val="18"/>
        </w:rPr>
      </w:pPr>
    </w:p>
    <w:p w14:paraId="70D8ED5A">
      <w:pPr>
        <w:pStyle w:val="21"/>
      </w:pPr>
      <w:r>
        <w:rPr>
          <w:rFonts w:ascii="Times New Roman" w:hAnsi="Times New Roman" w:eastAsia="黑体" w:cs="Times New Roman"/>
          <w:b/>
          <w:i w:val="0"/>
          <w:color w:val="000000"/>
          <w:sz w:val="32"/>
        </w:rPr>
        <w:t>附录E 编队指标与PP-CBF诊断</w:t>
      </w:r>
      <w:bookmarkEnd w:id="57"/>
    </w:p>
    <w:p w14:paraId="624D1082">
      <w:pPr>
        <w:widowControl/>
        <w:spacing w:before="0" w:after="0" w:line="360" w:lineRule="auto"/>
        <w:ind w:firstLine="480"/>
        <w:jc w:val="both"/>
      </w:pPr>
      <w:r>
        <w:rPr>
          <w:rFonts w:ascii="Times New Roman" w:hAnsi="Times New Roman" w:eastAsia="宋体" w:cs="Times New Roman"/>
          <w:b w:val="0"/>
          <w:i w:val="0"/>
          <w:color w:val="000000"/>
          <w:sz w:val="24"/>
        </w:rPr>
        <w:t>本附录给出正文协同跟踪结论所需的质心与成员指标定义，并补充展示安全监督器在近距离交汇阶段的参考修正、投影修正和离散状态。</w:t>
      </w:r>
    </w:p>
    <w:p w14:paraId="02DEB655">
      <w:pPr>
        <w:pStyle w:val="3"/>
        <w:keepNext/>
        <w:widowControl/>
        <w:spacing w:before="200" w:after="80"/>
        <w:ind w:firstLine="0"/>
        <w:jc w:val="left"/>
      </w:pPr>
      <w:bookmarkStart w:id="58" w:name="_Toc24575"/>
      <w:r>
        <w:rPr>
          <w:rFonts w:ascii="Times New Roman" w:hAnsi="Times New Roman" w:eastAsia="黑体" w:cs="Times New Roman"/>
          <w:b/>
          <w:i w:val="0"/>
          <w:color w:val="000000"/>
          <w:sz w:val="26"/>
        </w:rPr>
        <w:t>E.1 质心与成员协同指标</w:t>
      </w:r>
      <w:bookmarkEnd w:id="58"/>
    </w:p>
    <w:p w14:paraId="7DBF9F8A">
      <w:pPr>
        <w:widowControl/>
        <w:spacing w:before="0" w:after="0" w:line="360" w:lineRule="auto"/>
        <w:ind w:firstLine="480"/>
        <w:jc w:val="both"/>
      </w:pPr>
      <w:r>
        <w:rPr>
          <w:rFonts w:ascii="Times New Roman" w:hAnsi="Times New Roman" w:eastAsia="宋体" w:cs="Times New Roman"/>
          <w:b w:val="0"/>
          <w:i w:val="0"/>
          <w:color w:val="000000"/>
          <w:sz w:val="24"/>
        </w:rPr>
        <w:t>正文图7-1同时展示三机轨迹、相对队形误差和成员响应。为量化编队整体平移跟随能力，三机实际位置与位置指令的质心定义如下。</w:t>
      </w:r>
    </w:p>
    <w:tbl>
      <w:tblPr>
        <w:tblStyle w:val="10"/>
        <w:tblW w:w="0" w:type="auto"/>
        <w:jc w:val="center"/>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8050"/>
        <w:gridCol w:w="737"/>
      </w:tblGrid>
      <w:tr w14:paraId="566F49C1">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blHeader/>
          <w:jc w:val="center"/>
        </w:trPr>
        <w:tc>
          <w:tcPr>
            <w:tcW w:w="4394" w:type="dxa"/>
            <w:tcBorders>
              <w:bottom w:val="single" w:color="000000" w:sz="4" w:space="0"/>
            </w:tcBorders>
            <w:vAlign w:val="center"/>
          </w:tcPr>
          <w:p w14:paraId="4B2EA41B">
            <w:pPr>
              <w:spacing w:before="0" w:after="60"/>
              <w:ind w:left="737" w:firstLine="0"/>
              <w:jc w:val="center"/>
            </w:pPr>
            <m:oMathPara>
              <m:oMath>
                <m:sSub>
                  <m:sSubPr/>
                  <m:e>
                    <m:r>
                      <m:rPr>
                        <m:sty m:val="p"/>
                      </m:rPr>
                      <m:t>p</m:t>
                    </m:r>
                  </m:e>
                  <m:sub>
                    <m:r>
                      <m:rPr>
                        <m:sty m:val="p"/>
                      </m:rPr>
                      <m:t>c</m:t>
                    </m:r>
                  </m:sub>
                </m:sSub>
                <m:r>
                  <m:rPr>
                    <m:sty m:val="p"/>
                  </m:rPr>
                  <m:t>(t)=</m:t>
                </m:r>
                <m:f>
                  <m:fPr/>
                  <m:num>
                    <m:r>
                      <m:rPr>
                        <m:sty m:val="p"/>
                      </m:rPr>
                      <m:t>1</m:t>
                    </m:r>
                  </m:num>
                  <m:den>
                    <m:r>
                      <m:rPr>
                        <m:sty m:val="p"/>
                      </m:rPr>
                      <m:t>3</m:t>
                    </m:r>
                  </m:den>
                </m:f>
                <m:nary>
                  <m:naryPr>
                    <m:chr m:val="∑"/>
                    <m:grow m:val="1"/>
                    <m:limLoc m:val="subSup"/>
                  </m:naryPr>
                  <m:sub>
                    <m:r>
                      <m:rPr>
                        <m:sty m:val="p"/>
                      </m:rPr>
                      <m:t>i=1</m:t>
                    </m:r>
                  </m:sub>
                  <m:sup>
                    <m:r>
                      <m:rPr>
                        <m:sty m:val="p"/>
                      </m:rPr>
                      <m:t>3</m:t>
                    </m:r>
                  </m:sup>
                  <m:e>
                    <m:sSub>
                      <m:sSubPr/>
                      <m:e>
                        <m:r>
                          <m:rPr>
                            <m:sty m:val="p"/>
                          </m:rPr>
                          <m:t>p</m:t>
                        </m:r>
                      </m:e>
                      <m:sub>
                        <m:r>
                          <m:rPr>
                            <m:sty m:val="p"/>
                          </m:rPr>
                          <m:t>i</m:t>
                        </m:r>
                      </m:sub>
                    </m:sSub>
                    <m:r>
                      <m:rPr>
                        <m:sty m:val="p"/>
                      </m:rPr>
                      <m:t>(t)</m:t>
                    </m:r>
                  </m:e>
                </m:nary>
                <m:r>
                  <m:rPr>
                    <m:sty m:val="p"/>
                  </m:rPr>
                  <m:t>,</m:t>
                </m:r>
                <m:sSub>
                  <m:sSubPr/>
                  <m:e>
                    <m:r>
                      <m:rPr>
                        <m:sty m:val="p"/>
                      </m:rPr>
                      <m:t>p</m:t>
                    </m:r>
                  </m:e>
                  <m:sub>
                    <m:r>
                      <m:rPr>
                        <m:sty m:val="p"/>
                      </m:rPr>
                      <m:t>c,d</m:t>
                    </m:r>
                  </m:sub>
                </m:sSub>
                <m:r>
                  <m:rPr>
                    <m:sty m:val="p"/>
                  </m:rPr>
                  <m:t>(t)=</m:t>
                </m:r>
                <m:f>
                  <m:fPr/>
                  <m:num>
                    <m:r>
                      <m:rPr>
                        <m:sty m:val="p"/>
                      </m:rPr>
                      <m:t>1</m:t>
                    </m:r>
                  </m:num>
                  <m:den>
                    <m:r>
                      <m:rPr>
                        <m:sty m:val="p"/>
                      </m:rPr>
                      <m:t>3</m:t>
                    </m:r>
                  </m:den>
                </m:f>
                <m:nary>
                  <m:naryPr>
                    <m:chr m:val="∑"/>
                    <m:grow m:val="1"/>
                    <m:limLoc m:val="subSup"/>
                  </m:naryPr>
                  <m:sub>
                    <m:r>
                      <m:rPr>
                        <m:sty m:val="p"/>
                      </m:rPr>
                      <m:t>i=1</m:t>
                    </m:r>
                  </m:sub>
                  <m:sup>
                    <m:r>
                      <m:rPr>
                        <m:sty m:val="p"/>
                      </m:rPr>
                      <m:t>3</m:t>
                    </m:r>
                  </m:sup>
                  <m:e>
                    <m:sSub>
                      <m:sSubPr/>
                      <m:e>
                        <m:r>
                          <m:rPr>
                            <m:sty m:val="p"/>
                          </m:rPr>
                          <m:t>p</m:t>
                        </m:r>
                      </m:e>
                      <m:sub>
                        <m:r>
                          <m:rPr>
                            <m:sty m:val="p"/>
                          </m:rPr>
                          <m:t>i,d</m:t>
                        </m:r>
                      </m:sub>
                    </m:sSub>
                    <m:r>
                      <m:rPr>
                        <m:sty m:val="p"/>
                      </m:rPr>
                      <m:t>(t)</m:t>
                    </m:r>
                  </m:e>
                </m:nary>
              </m:oMath>
            </m:oMathPara>
          </w:p>
        </w:tc>
        <w:tc>
          <w:tcPr>
            <w:tcW w:w="4394" w:type="dxa"/>
            <w:tcBorders>
              <w:bottom w:val="single" w:color="000000" w:sz="4" w:space="0"/>
            </w:tcBorders>
            <w:vAlign w:val="center"/>
          </w:tcPr>
          <w:p w14:paraId="70B213B3">
            <w:pPr>
              <w:spacing w:before="0" w:after="0" w:line="240" w:lineRule="auto"/>
              <w:ind w:firstLine="0"/>
              <w:jc w:val="right"/>
            </w:pPr>
            <w:r>
              <w:rPr>
                <w:rFonts w:ascii="Times New Roman" w:hAnsi="Times New Roman" w:eastAsia="宋体" w:cs="Times New Roman"/>
                <w:b w:val="0"/>
                <w:i w:val="0"/>
                <w:color w:val="000000"/>
                <w:sz w:val="19"/>
                <w:lang w:val="zh-CN" w:eastAsia="zh-CN"/>
              </w:rPr>
              <w:t>(E-1)</w:t>
            </w:r>
          </w:p>
        </w:tc>
      </w:tr>
    </w:tbl>
    <w:p w14:paraId="58828438">
      <w:pPr>
        <w:widowControl/>
        <w:spacing w:before="0" w:after="0" w:line="360" w:lineRule="auto"/>
        <w:ind w:firstLine="480"/>
        <w:jc w:val="both"/>
      </w:pPr>
      <w:r>
        <w:rPr>
          <w:rFonts w:ascii="Times New Roman" w:hAnsi="Times New Roman" w:eastAsia="宋体" w:cs="Times New Roman"/>
          <w:b w:val="0"/>
          <w:i w:val="0"/>
          <w:color w:val="000000"/>
          <w:sz w:val="24"/>
        </w:rPr>
        <w:t>对N个等间隔样本，质心位置指令跟踪RMSE计算为</w:t>
      </w:r>
    </w:p>
    <w:tbl>
      <w:tblPr>
        <w:tblStyle w:val="10"/>
        <w:tblW w:w="0" w:type="auto"/>
        <w:jc w:val="center"/>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8050"/>
        <w:gridCol w:w="737"/>
      </w:tblGrid>
      <w:tr w14:paraId="4EDAD705">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blHeader/>
          <w:jc w:val="center"/>
        </w:trPr>
        <w:tc>
          <w:tcPr>
            <w:tcW w:w="4394" w:type="dxa"/>
            <w:tcBorders>
              <w:bottom w:val="single" w:color="000000" w:sz="4" w:space="0"/>
            </w:tcBorders>
            <w:vAlign w:val="center"/>
          </w:tcPr>
          <w:p w14:paraId="14DF871F">
            <w:pPr>
              <w:spacing w:before="0" w:after="60"/>
              <w:ind w:left="737" w:firstLine="0"/>
              <w:jc w:val="center"/>
            </w:pPr>
            <m:oMathPara>
              <m:oMath>
                <m:sSub>
                  <m:sSubPr/>
                  <m:e>
                    <m:r>
                      <m:rPr>
                        <m:sty m:val="p"/>
                      </m:rPr>
                      <m:t>RMSE</m:t>
                    </m:r>
                  </m:e>
                  <m:sub>
                    <m:r>
                      <m:rPr>
                        <m:sty m:val="p"/>
                      </m:rPr>
                      <m:t>c</m:t>
                    </m:r>
                  </m:sub>
                </m:sSub>
                <m:r>
                  <m:rPr>
                    <m:sty m:val="p"/>
                  </m:rPr>
                  <m:t>=</m:t>
                </m:r>
                <m:rad>
                  <m:radPr/>
                  <m:deg/>
                  <m:e>
                    <m:f>
                      <m:fPr/>
                      <m:num>
                        <m:r>
                          <m:rPr>
                            <m:sty m:val="p"/>
                          </m:rPr>
                          <m:t>1</m:t>
                        </m:r>
                      </m:num>
                      <m:den>
                        <m:r>
                          <m:rPr>
                            <m:sty m:val="p"/>
                          </m:rPr>
                          <m:t>N</m:t>
                        </m:r>
                      </m:den>
                    </m:f>
                    <m:nary>
                      <m:naryPr>
                        <m:chr m:val="∑"/>
                        <m:grow m:val="1"/>
                        <m:limLoc m:val="subSup"/>
                      </m:naryPr>
                      <m:sub>
                        <m:r>
                          <m:rPr>
                            <m:sty m:val="p"/>
                          </m:rPr>
                          <m:t>k=1</m:t>
                        </m:r>
                      </m:sub>
                      <m:sup>
                        <m:r>
                          <m:rPr>
                            <m:sty m:val="p"/>
                          </m:rPr>
                          <m:t>N</m:t>
                        </m:r>
                      </m:sup>
                      <m:e>
                        <m:r>
                          <m:rPr>
                            <m:sty m:val="p"/>
                          </m:rPr>
                          <m:t>‖</m:t>
                        </m:r>
                        <m:sSub>
                          <m:sSubPr/>
                          <m:e>
                            <m:r>
                              <m:rPr>
                                <m:sty m:val="p"/>
                              </m:rPr>
                              <m:t>p</m:t>
                            </m:r>
                          </m:e>
                          <m:sub>
                            <m:r>
                              <m:rPr>
                                <m:sty m:val="p"/>
                              </m:rPr>
                              <m:t>c,k</m:t>
                            </m:r>
                          </m:sub>
                        </m:sSub>
                        <m:r>
                          <m:rPr>
                            <m:sty m:val="p"/>
                          </m:rPr>
                          <m:t>−</m:t>
                        </m:r>
                        <m:sSub>
                          <m:sSubPr/>
                          <m:e>
                            <m:r>
                              <m:rPr>
                                <m:sty m:val="p"/>
                              </m:rPr>
                              <m:t>p</m:t>
                            </m:r>
                          </m:e>
                          <m:sub>
                            <m:r>
                              <m:rPr>
                                <m:sty m:val="p"/>
                              </m:rPr>
                              <m:t>c,d,k</m:t>
                            </m:r>
                          </m:sub>
                        </m:sSub>
                        <m:sSubSup>
                          <m:sSubSupPr/>
                          <m:e>
                            <m:r>
                              <m:rPr>
                                <m:sty m:val="p"/>
                              </m:rPr>
                              <m:t>‖</m:t>
                            </m:r>
                          </m:e>
                          <m:sub>
                            <m:r>
                              <m:rPr>
                                <m:sty m:val="p"/>
                              </m:rPr>
                              <m:t>2</m:t>
                            </m:r>
                          </m:sub>
                          <m:sup>
                            <m:r>
                              <m:rPr>
                                <m:sty m:val="p"/>
                              </m:rPr>
                              <m:t>2</m:t>
                            </m:r>
                          </m:sup>
                        </m:sSubSup>
                      </m:e>
                    </m:nary>
                  </m:e>
                </m:rad>
              </m:oMath>
            </m:oMathPara>
          </w:p>
        </w:tc>
        <w:tc>
          <w:tcPr>
            <w:tcW w:w="4394" w:type="dxa"/>
            <w:tcBorders>
              <w:bottom w:val="single" w:color="000000" w:sz="4" w:space="0"/>
            </w:tcBorders>
            <w:vAlign w:val="center"/>
          </w:tcPr>
          <w:p w14:paraId="2CB4B3EB">
            <w:pPr>
              <w:spacing w:before="0" w:after="0" w:line="240" w:lineRule="auto"/>
              <w:ind w:firstLine="0"/>
              <w:jc w:val="right"/>
            </w:pPr>
            <w:r>
              <w:rPr>
                <w:rFonts w:ascii="Times New Roman" w:hAnsi="Times New Roman" w:eastAsia="宋体" w:cs="Times New Roman"/>
                <w:b w:val="0"/>
                <w:i w:val="0"/>
                <w:color w:val="000000"/>
                <w:sz w:val="19"/>
                <w:lang w:val="zh-CN" w:eastAsia="zh-CN"/>
              </w:rPr>
              <w:t>(E-2)</w:t>
            </w:r>
          </w:p>
        </w:tc>
      </w:tr>
    </w:tbl>
    <w:p w14:paraId="4C56104F">
      <w:pPr>
        <w:widowControl/>
        <w:spacing w:before="0" w:after="0" w:line="360" w:lineRule="auto"/>
        <w:ind w:firstLine="480"/>
        <w:jc w:val="both"/>
      </w:pPr>
      <w:r>
        <w:rPr>
          <w:rFonts w:ascii="Times New Roman" w:hAnsi="Times New Roman" w:eastAsia="宋体" w:cs="Times New Roman"/>
          <w:b w:val="0"/>
          <w:i w:val="0"/>
          <w:color w:val="000000"/>
          <w:sz w:val="24"/>
        </w:rPr>
        <w:t>质心位置指令跟踪RMSE为0.023443 m。三架无人机成员RMSE分别为0.013742 m、0.033904 m和0.033691 m，成员RMSE极差为0.020162 m。质心指标衡量整体平移，成员RMSE极差反映三机响应一致性，两者与相对队形RMSE共同描述协同跟踪质量。</w:t>
      </w:r>
    </w:p>
    <w:p w14:paraId="440EB979">
      <w:pPr>
        <w:pStyle w:val="3"/>
        <w:keepNext/>
        <w:widowControl/>
        <w:spacing w:before="200" w:after="80"/>
        <w:ind w:firstLine="0"/>
        <w:jc w:val="left"/>
      </w:pPr>
      <w:bookmarkStart w:id="59" w:name="_Toc32206"/>
      <w:r>
        <w:rPr>
          <w:rFonts w:ascii="Times New Roman" w:hAnsi="Times New Roman" w:eastAsia="黑体" w:cs="Times New Roman"/>
          <w:b/>
          <w:i w:val="0"/>
          <w:color w:val="000000"/>
          <w:sz w:val="26"/>
        </w:rPr>
        <w:t>E.2 安全监督介入诊断</w:t>
      </w:r>
      <w:bookmarkEnd w:id="59"/>
    </w:p>
    <w:p w14:paraId="2C2D1CB2">
      <w:pPr>
        <w:widowControl/>
        <w:spacing w:before="0" w:after="0" w:line="360" w:lineRule="auto"/>
        <w:ind w:firstLine="480"/>
        <w:jc w:val="both"/>
      </w:pPr>
      <w:r>
        <w:rPr>
          <w:rFonts w:ascii="Times New Roman" w:hAnsi="Times New Roman" w:eastAsia="宋体" w:cs="Times New Roman"/>
          <w:b w:val="0"/>
          <w:i w:val="0"/>
          <w:color w:val="000000"/>
          <w:sz w:val="24"/>
        </w:rPr>
        <w:t>正文图7-2给出PP-CBF关闭与开启时的安全间距和风险暴露结果。附图E-1进一步给出参考修正、投影修正、监督器激活、求解不可行和输出保持状态随时间的变化。</w:t>
      </w:r>
    </w:p>
    <w:p w14:paraId="216767D2">
      <w:pPr>
        <w:keepNext/>
        <w:keepLines/>
        <w:widowControl/>
        <w:spacing w:before="0" w:after="60" w:line="360" w:lineRule="auto"/>
        <w:ind w:firstLine="0"/>
        <w:jc w:val="center"/>
      </w:pPr>
      <w:r>
        <w:rPr>
          <w:rFonts w:ascii="Times New Roman" w:hAnsi="Times New Roman" w:eastAsia="宋体"/>
          <w:b w:val="0"/>
          <w:i w:val="0"/>
          <w:color w:val="000000"/>
          <w:sz w:val="24"/>
        </w:rPr>
        <w:drawing>
          <wp:inline distT="0" distB="0" distL="114300" distR="114300">
            <wp:extent cx="5579745" cy="4354195"/>
            <wp:effectExtent l="0" t="0" r="1905" b="8255"/>
            <wp:docPr id="28" name="PP-CBF参考修正、投影修正与介入状态" descr="PP-CBF参考修正、投影修正与介入状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P-CBF参考修正、投影修正与介入状态" descr="PP-CBF参考修正、投影修正与介入状态"/>
                    <pic:cNvPicPr>
                      <a:picLocks noChangeAspect="1"/>
                    </pic:cNvPicPr>
                  </pic:nvPicPr>
                  <pic:blipFill>
                    <a:blip r:embed="rId39"/>
                    <a:stretch>
                      <a:fillRect/>
                    </a:stretch>
                  </pic:blipFill>
                  <pic:spPr>
                    <a:xfrm>
                      <a:off x="0" y="0"/>
                      <a:ext cx="5580000" cy="4354286"/>
                    </a:xfrm>
                    <a:prstGeom prst="rect">
                      <a:avLst/>
                    </a:prstGeom>
                  </pic:spPr>
                </pic:pic>
              </a:graphicData>
            </a:graphic>
          </wp:inline>
        </w:drawing>
      </w:r>
    </w:p>
    <w:p w14:paraId="041B8E6E">
      <w:pPr>
        <w:pStyle w:val="4"/>
        <w:keepLines/>
        <w:widowControl/>
        <w:spacing w:before="40" w:after="40" w:line="240" w:lineRule="auto"/>
        <w:ind w:firstLine="0"/>
        <w:jc w:val="center"/>
      </w:pPr>
      <w:r>
        <w:rPr>
          <w:rFonts w:ascii="Times New Roman" w:hAnsi="Times New Roman" w:eastAsia="宋体" w:cs="Times New Roman"/>
          <w:b/>
          <w:i w:val="0"/>
          <w:color w:val="000000"/>
          <w:sz w:val="21"/>
        </w:rPr>
        <w:t>图E-1 PP-CBF参考修正、投影修正与介入状态</w:t>
      </w:r>
    </w:p>
    <w:p w14:paraId="30F2C92C">
      <w:pPr>
        <w:pStyle w:val="21"/>
        <w:widowControl/>
        <w:spacing w:before="0" w:after="80" w:line="240" w:lineRule="auto"/>
        <w:ind w:firstLine="0"/>
        <w:jc w:val="both"/>
      </w:pPr>
      <w:r>
        <w:rPr>
          <w:rFonts w:ascii="Times New Roman" w:hAnsi="Times New Roman" w:eastAsia="宋体" w:cs="Times New Roman"/>
          <w:b w:val="0"/>
          <w:i w:val="0"/>
          <w:color w:val="000000"/>
          <w:sz w:val="18"/>
        </w:rPr>
        <w:t>注：(a)为三机参考修正的最大值与均方根，浅蓝色区域表示监督器介入；(b)为投影修正幅值；(c)为监督器激活、求解不可行和输出保持状态。</w:t>
      </w:r>
    </w:p>
    <w:p w14:paraId="13494859">
      <w:pPr>
        <w:widowControl/>
        <w:spacing w:before="0" w:after="0" w:line="360" w:lineRule="auto"/>
        <w:ind w:firstLine="480"/>
        <w:jc w:val="both"/>
      </w:pPr>
      <w:r>
        <w:rPr>
          <w:rFonts w:ascii="Times New Roman" w:hAnsi="Times New Roman" w:eastAsia="宋体" w:cs="Times New Roman"/>
          <w:b w:val="0"/>
          <w:i w:val="0"/>
          <w:color w:val="000000"/>
          <w:sz w:val="24"/>
        </w:rPr>
        <w:t>附图E-1显示，PP-CBF的参考修正和投影修正集中在近距离交汇窗口，激活样本占比为7.02%。参考修正峰值为0.6288 m，求解不可行与输出保持状态始终为0。PP-CBF只在交汇阶段短时介入，风险解除后退出。</w:t>
      </w:r>
    </w:p>
    <w:p w14:paraId="64925679"/>
    <w:sectPr>
      <w:headerReference r:id="rId8" w:type="default"/>
      <w:footerReference r:id="rId9" w:type="default"/>
      <w:pgSz w:w="11906" w:h="16838"/>
      <w:pgMar w:top="1417" w:right="1361" w:bottom="1304" w:left="1474" w:header="680" w:footer="680" w:gutter="0"/>
      <w:pgNumType w:fmt="decimal" w:start="1"/>
      <w:cols w:space="720" w:num="1"/>
      <w:vAlign w:val="top"/>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FF8BF3">
    <w:pPr>
      <w:jc w:val="center"/>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5E8929">
    <w:pP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93B45E">
    <w:pPr>
      <w:pStyle w:val="6"/>
      <w:keepNext w:val="0"/>
      <w:keepLines w:val="0"/>
      <w:pageBreakBefore w:val="0"/>
      <w:widowControl/>
      <w:kinsoku/>
      <w:wordWrap/>
      <w:overflowPunct/>
      <w:topLinePunct w:val="0"/>
      <w:bidi w:val="0"/>
      <w:adjustRightInd/>
      <w:snapToGrid w:val="0"/>
      <w:textAlignment w:val="auto"/>
      <w:rPr>
        <w:rFonts w:hint="default"/>
        <w:lang w:val="en-US"/>
      </w:rPr>
    </w:pPr>
    <w:r>
      <w:rPr>
        <w:rFonts w:ascii="宋体" w:hAnsi="宋体" w:eastAsia="宋体" w:cs="宋体"/>
        <w:sz w:val="24"/>
        <w:szCs w:val="24"/>
      </w:rPr>
      <w:drawing>
        <wp:inline distT="0" distB="0" distL="114300" distR="114300">
          <wp:extent cx="1137920" cy="304800"/>
          <wp:effectExtent l="0" t="0" r="5080" b="0"/>
          <wp:docPr id="3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 descr="IMG_256"/>
                  <pic:cNvPicPr>
                    <a:picLocks noChangeAspect="1"/>
                  </pic:cNvPicPr>
                </pic:nvPicPr>
                <pic:blipFill>
                  <a:blip r:embed="rId1"/>
                  <a:stretch>
                    <a:fillRect/>
                  </a:stretch>
                </pic:blipFill>
                <pic:spPr>
                  <a:xfrm>
                    <a:off x="0" y="0"/>
                    <a:ext cx="1137920" cy="304800"/>
                  </a:xfrm>
                  <a:prstGeom prst="rect">
                    <a:avLst/>
                  </a:prstGeom>
                  <a:noFill/>
                  <a:ln w="9525">
                    <a:noFill/>
                  </a:ln>
                </pic:spPr>
              </pic:pic>
            </a:graphicData>
          </a:graphic>
        </wp:inline>
      </w:drawing>
    </w:r>
    <w:r>
      <w:rPr>
        <w:rFonts w:hint="eastAsia"/>
        <w:szCs w:val="18"/>
      </w:rPr>
      <w:t xml:space="preserve">          </w:t>
    </w:r>
    <w:r>
      <w:rPr>
        <w:rFonts w:hint="eastAsia"/>
        <w:szCs w:val="18"/>
        <w:lang w:val="en-US" w:eastAsia="zh-CN"/>
      </w:rPr>
      <w:t xml:space="preserve">                                                 </w:t>
    </w:r>
    <w:r>
      <w:rPr>
        <w:rFonts w:hint="eastAsia"/>
        <w:b/>
        <w:bCs/>
        <w:sz w:val="21"/>
        <w:szCs w:val="21"/>
        <w:lang w:val="en-US" w:eastAsia="zh-CN"/>
      </w:rPr>
      <w:t>仿真报告</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FEDB2D">
    <w:pPr>
      <w:pStyle w:val="6"/>
      <w:keepNext w:val="0"/>
      <w:keepLines w:val="0"/>
      <w:pageBreakBefore w:val="0"/>
      <w:widowControl/>
      <w:kinsoku/>
      <w:wordWrap/>
      <w:overflowPunct/>
      <w:topLinePunct w:val="0"/>
      <w:bidi w:val="0"/>
      <w:adjustRightInd/>
      <w:snapToGrid w:val="0"/>
      <w:textAlignment w:val="auto"/>
    </w:pPr>
    <w:r>
      <w:rPr>
        <w:rFonts w:ascii="宋体" w:hAnsi="宋体" w:eastAsia="宋体" w:cs="宋体"/>
        <w:sz w:val="24"/>
        <w:szCs w:val="24"/>
      </w:rPr>
      <w:drawing>
        <wp:inline distT="0" distB="0" distL="114300" distR="114300">
          <wp:extent cx="1137920" cy="304800"/>
          <wp:effectExtent l="0" t="0" r="5080" b="0"/>
          <wp:docPr id="37"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 descr="IMG_256"/>
                  <pic:cNvPicPr>
                    <a:picLocks noChangeAspect="1"/>
                  </pic:cNvPicPr>
                </pic:nvPicPr>
                <pic:blipFill>
                  <a:blip r:embed="rId1"/>
                  <a:stretch>
                    <a:fillRect/>
                  </a:stretch>
                </pic:blipFill>
                <pic:spPr>
                  <a:xfrm>
                    <a:off x="0" y="0"/>
                    <a:ext cx="1137920" cy="304800"/>
                  </a:xfrm>
                  <a:prstGeom prst="rect">
                    <a:avLst/>
                  </a:prstGeom>
                  <a:noFill/>
                  <a:ln w="9525">
                    <a:noFill/>
                  </a:ln>
                </pic:spPr>
              </pic:pic>
            </a:graphicData>
          </a:graphic>
        </wp:inline>
      </w:drawing>
    </w:r>
    <w:r>
      <w:rPr>
        <w:rFonts w:hint="eastAsia"/>
        <w:szCs w:val="18"/>
      </w:rPr>
      <w:t xml:space="preserve">          </w:t>
    </w:r>
    <w:r>
      <w:rPr>
        <w:rFonts w:hint="eastAsia"/>
        <w:szCs w:val="18"/>
        <w:lang w:val="en-US" w:eastAsia="zh-CN"/>
      </w:rPr>
      <w:t xml:space="preserve">                                                 </w:t>
    </w:r>
    <w:r>
      <w:rPr>
        <w:rFonts w:hint="eastAsia"/>
        <w:b/>
        <w:bCs/>
        <w:sz w:val="21"/>
        <w:szCs w:val="21"/>
        <w:lang w:val="en-US" w:eastAsia="zh-CN"/>
      </w:rPr>
      <w:t>仿真报告</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B6BDB2">
    <w:pPr>
      <w:pStyle w:val="6"/>
      <w:keepNext w:val="0"/>
      <w:keepLines w:val="0"/>
      <w:pageBreakBefore w:val="0"/>
      <w:widowControl/>
      <w:kinsoku/>
      <w:wordWrap/>
      <w:overflowPunct/>
      <w:topLinePunct w:val="0"/>
      <w:bidi w:val="0"/>
      <w:adjustRightInd/>
      <w:snapToGrid w:val="0"/>
      <w:textAlignment w:val="auto"/>
    </w:pPr>
    <w:r>
      <w:rPr>
        <w:rFonts w:ascii="宋体" w:hAnsi="宋体" w:eastAsia="宋体" w:cs="宋体"/>
        <w:sz w:val="24"/>
        <w:szCs w:val="24"/>
      </w:rPr>
      <w:drawing>
        <wp:inline distT="0" distB="0" distL="114300" distR="114300">
          <wp:extent cx="1137920" cy="304800"/>
          <wp:effectExtent l="0" t="0" r="5080" b="0"/>
          <wp:docPr id="38"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 descr="IMG_256"/>
                  <pic:cNvPicPr>
                    <a:picLocks noChangeAspect="1"/>
                  </pic:cNvPicPr>
                </pic:nvPicPr>
                <pic:blipFill>
                  <a:blip r:embed="rId1"/>
                  <a:stretch>
                    <a:fillRect/>
                  </a:stretch>
                </pic:blipFill>
                <pic:spPr>
                  <a:xfrm>
                    <a:off x="0" y="0"/>
                    <a:ext cx="1137920" cy="304800"/>
                  </a:xfrm>
                  <a:prstGeom prst="rect">
                    <a:avLst/>
                  </a:prstGeom>
                  <a:noFill/>
                  <a:ln w="9525">
                    <a:noFill/>
                  </a:ln>
                </pic:spPr>
              </pic:pic>
            </a:graphicData>
          </a:graphic>
        </wp:inline>
      </w:drawing>
    </w:r>
    <w:r>
      <w:rPr>
        <w:rFonts w:hint="eastAsia"/>
        <w:szCs w:val="18"/>
      </w:rPr>
      <w:t xml:space="preserve">          </w:t>
    </w:r>
    <w:r>
      <w:rPr>
        <w:rFonts w:hint="eastAsia"/>
        <w:szCs w:val="18"/>
        <w:lang w:val="en-US" w:eastAsia="zh-CN"/>
      </w:rPr>
      <w:t xml:space="preserve">                                                 </w:t>
    </w:r>
    <w:r>
      <w:rPr>
        <w:rFonts w:hint="eastAsia"/>
        <w:b/>
        <w:bCs/>
        <w:sz w:val="21"/>
        <w:szCs w:val="21"/>
        <w:lang w:val="en-US" w:eastAsia="zh-CN"/>
      </w:rPr>
      <w:t>仿真报告</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5E6442F"/>
    <w:rsid w:val="056F183F"/>
    <w:rsid w:val="497422D0"/>
    <w:rsid w:val="4F9E2884"/>
    <w:rsid w:val="51A159FE"/>
    <w:rsid w:val="55E6442F"/>
    <w:rsid w:val="58591F7E"/>
    <w:rsid w:val="635550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name="toc 1"/>
    <w:lsdException w:qFormat="1" w:uiPriority="39"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35"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360" w:lineRule="auto"/>
      <w:ind w:firstLine="480"/>
      <w:jc w:val="both"/>
    </w:pPr>
    <w:rPr>
      <w:rFonts w:ascii="Times New Roman" w:hAnsi="Times New Roman" w:eastAsia="宋体" w:cs="Times New Roman"/>
      <w:color w:val="000000"/>
      <w:sz w:val="24"/>
      <w:szCs w:val="22"/>
      <w:lang w:val="en-US" w:eastAsia="en-US" w:bidi="ar-SA"/>
    </w:rPr>
  </w:style>
  <w:style w:type="paragraph" w:styleId="2">
    <w:name w:val="heading 1"/>
    <w:basedOn w:val="1"/>
    <w:next w:val="1"/>
    <w:qFormat/>
    <w:uiPriority w:val="9"/>
    <w:pPr>
      <w:keepNext/>
      <w:keepLines/>
      <w:pageBreakBefore/>
      <w:spacing w:before="240" w:after="240" w:line="300" w:lineRule="auto"/>
      <w:ind w:firstLine="0"/>
      <w:jc w:val="center"/>
      <w:outlineLvl w:val="0"/>
    </w:pPr>
    <w:rPr>
      <w:rFonts w:asciiTheme="majorHAnsi" w:hAnsiTheme="majorHAnsi" w:eastAsiaTheme="majorEastAsia" w:cstheme="majorBidi"/>
      <w:b/>
      <w:bCs/>
      <w:color w:val="000000"/>
      <w:sz w:val="32"/>
      <w:szCs w:val="28"/>
    </w:rPr>
  </w:style>
  <w:style w:type="paragraph" w:styleId="3">
    <w:name w:val="heading 2"/>
    <w:basedOn w:val="1"/>
    <w:next w:val="1"/>
    <w:unhideWhenUsed/>
    <w:qFormat/>
    <w:uiPriority w:val="9"/>
    <w:pPr>
      <w:keepNext/>
      <w:keepLines/>
      <w:spacing w:before="200" w:after="100" w:line="300" w:lineRule="auto"/>
      <w:ind w:firstLine="0"/>
      <w:jc w:val="left"/>
      <w:outlineLvl w:val="1"/>
    </w:pPr>
    <w:rPr>
      <w:rFonts w:asciiTheme="majorHAnsi" w:hAnsiTheme="majorHAnsi" w:eastAsiaTheme="majorEastAsia" w:cstheme="majorBidi"/>
      <w:b/>
      <w:bCs/>
      <w:color w:val="000000"/>
      <w:sz w:val="26"/>
      <w:szCs w:val="26"/>
    </w:rPr>
  </w:style>
  <w:style w:type="character" w:default="1" w:styleId="12">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4">
    <w:name w:val="caption"/>
    <w:basedOn w:val="1"/>
    <w:next w:val="1"/>
    <w:semiHidden/>
    <w:unhideWhenUsed/>
    <w:qFormat/>
    <w:uiPriority w:val="35"/>
    <w:pPr>
      <w:keepLines/>
      <w:spacing w:before="60" w:after="100" w:line="240" w:lineRule="auto"/>
      <w:ind w:firstLine="0"/>
      <w:jc w:val="center"/>
    </w:pPr>
    <w:rPr>
      <w:rFonts w:ascii="Times New Roman" w:hAnsi="Times New Roman" w:eastAsia="宋体" w:cs="Times New Roman"/>
      <w:b/>
      <w:bCs/>
      <w:color w:val="000000"/>
      <w:sz w:val="21"/>
      <w:szCs w:val="18"/>
    </w:rPr>
  </w:style>
  <w:style w:type="paragraph" w:styleId="5">
    <w:name w:val="footer"/>
    <w:basedOn w:val="1"/>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toc 1"/>
    <w:basedOn w:val="1"/>
    <w:next w:val="1"/>
    <w:semiHidden/>
    <w:unhideWhenUsed/>
    <w:qFormat/>
    <w:uiPriority w:val="39"/>
    <w:pPr>
      <w:keepNext w:val="0"/>
      <w:spacing w:before="0" w:after="0" w:line="240" w:lineRule="auto"/>
    </w:pPr>
    <w:rPr>
      <w:rFonts w:ascii="Times New Roman" w:hAnsi="Times New Roman" w:eastAsia="宋体"/>
      <w:b/>
      <w:color w:val="000000"/>
      <w:sz w:val="21"/>
    </w:rPr>
  </w:style>
  <w:style w:type="paragraph" w:styleId="8">
    <w:name w:val="toc 2"/>
    <w:basedOn w:val="1"/>
    <w:next w:val="1"/>
    <w:semiHidden/>
    <w:unhideWhenUsed/>
    <w:qFormat/>
    <w:uiPriority w:val="39"/>
    <w:pPr>
      <w:keepNext w:val="0"/>
      <w:spacing w:before="0" w:after="0" w:line="240" w:lineRule="auto"/>
      <w:ind w:left="420" w:leftChars="200"/>
    </w:pPr>
    <w:rPr>
      <w:rFonts w:ascii="Times New Roman" w:hAnsi="Times New Roman" w:eastAsia="宋体"/>
      <w:color w:val="000000"/>
      <w:sz w:val="21"/>
    </w:rPr>
  </w:style>
  <w:style w:type="paragraph" w:styleId="9">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table" w:styleId="11">
    <w:name w:val="Table Grid"/>
    <w:basedOn w:val="10"/>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3">
    <w:name w:val="HTML Code"/>
    <w:basedOn w:val="12"/>
    <w:uiPriority w:val="0"/>
    <w:rPr>
      <w:rFonts w:ascii="Courier New" w:hAnsi="Courier New"/>
      <w:sz w:val="20"/>
    </w:rPr>
  </w:style>
  <w:style w:type="paragraph" w:customStyle="1" w:styleId="14">
    <w:name w:val="Cover Title"/>
    <w:qFormat/>
    <w:uiPriority w:val="0"/>
    <w:pPr>
      <w:spacing w:after="360" w:line="276" w:lineRule="auto"/>
      <w:ind w:firstLine="0"/>
      <w:jc w:val="center"/>
    </w:pPr>
    <w:rPr>
      <w:rFonts w:ascii="Times New Roman" w:hAnsi="Times New Roman" w:eastAsia="黑体" w:cs="Times New Roman"/>
      <w:b/>
      <w:color w:val="000000"/>
      <w:sz w:val="44"/>
      <w:szCs w:val="22"/>
      <w:lang w:val="en-US" w:eastAsia="en-US" w:bidi="ar-SA"/>
    </w:rPr>
  </w:style>
  <w:style w:type="paragraph" w:customStyle="1" w:styleId="15">
    <w:name w:val="Cover Subtitle"/>
    <w:qFormat/>
    <w:uiPriority w:val="0"/>
    <w:pPr>
      <w:spacing w:after="960" w:line="276" w:lineRule="auto"/>
      <w:ind w:firstLine="0"/>
      <w:jc w:val="center"/>
    </w:pPr>
    <w:rPr>
      <w:rFonts w:ascii="Times New Roman" w:hAnsi="Times New Roman" w:eastAsia="黑体" w:cs="Times New Roman"/>
      <w:b/>
      <w:color w:val="000000"/>
      <w:sz w:val="52"/>
      <w:szCs w:val="22"/>
      <w:lang w:val="en-US" w:eastAsia="en-US" w:bidi="ar-SA"/>
    </w:rPr>
  </w:style>
  <w:style w:type="paragraph" w:customStyle="1" w:styleId="16">
    <w:name w:val="Cover Metadata"/>
    <w:qFormat/>
    <w:uiPriority w:val="0"/>
    <w:pPr>
      <w:spacing w:after="200" w:line="432" w:lineRule="auto"/>
      <w:ind w:firstLine="0"/>
      <w:jc w:val="center"/>
    </w:pPr>
    <w:rPr>
      <w:rFonts w:ascii="Times New Roman" w:hAnsi="Times New Roman" w:eastAsia="宋体" w:cs="Times New Roman"/>
      <w:color w:val="000000"/>
      <w:sz w:val="28"/>
      <w:szCs w:val="22"/>
      <w:lang w:val="en-US" w:eastAsia="en-US" w:bidi="ar-SA"/>
    </w:rPr>
  </w:style>
  <w:style w:type="paragraph" w:customStyle="1" w:styleId="17">
    <w:name w:val="Front Matter Title"/>
    <w:qFormat/>
    <w:uiPriority w:val="0"/>
    <w:pPr>
      <w:spacing w:after="240" w:line="276" w:lineRule="auto"/>
      <w:ind w:firstLine="0"/>
      <w:jc w:val="center"/>
    </w:pPr>
    <w:rPr>
      <w:rFonts w:ascii="Times New Roman" w:hAnsi="Times New Roman" w:eastAsia="黑体" w:cs="Times New Roman"/>
      <w:b/>
      <w:color w:val="000000"/>
      <w:sz w:val="32"/>
      <w:szCs w:val="22"/>
      <w:lang w:val="en-US" w:eastAsia="en-US" w:bidi="ar-SA"/>
    </w:rPr>
  </w:style>
  <w:style w:type="paragraph" w:customStyle="1" w:styleId="18">
    <w:name w:val="Abstract Body"/>
    <w:qFormat/>
    <w:uiPriority w:val="0"/>
    <w:pPr>
      <w:spacing w:after="0" w:line="360" w:lineRule="auto"/>
      <w:ind w:firstLine="480"/>
      <w:jc w:val="both"/>
    </w:pPr>
    <w:rPr>
      <w:rFonts w:ascii="Times New Roman" w:hAnsi="Times New Roman" w:eastAsia="宋体" w:cs="Times New Roman"/>
      <w:color w:val="000000"/>
      <w:sz w:val="24"/>
      <w:szCs w:val="22"/>
      <w:lang w:val="en-US" w:eastAsia="en-US" w:bidi="ar-SA"/>
    </w:rPr>
  </w:style>
  <w:style w:type="paragraph" w:customStyle="1" w:styleId="19">
    <w:name w:val="Keywords"/>
    <w:qFormat/>
    <w:uiPriority w:val="0"/>
    <w:pPr>
      <w:spacing w:after="200" w:line="360" w:lineRule="auto"/>
      <w:ind w:firstLine="0"/>
      <w:jc w:val="left"/>
    </w:pPr>
    <w:rPr>
      <w:rFonts w:ascii="Times New Roman" w:hAnsi="Times New Roman" w:eastAsia="宋体" w:cs="Times New Roman"/>
      <w:color w:val="000000"/>
      <w:sz w:val="24"/>
      <w:szCs w:val="22"/>
      <w:lang w:val="en-US" w:eastAsia="en-US" w:bidi="ar-SA"/>
    </w:rPr>
  </w:style>
  <w:style w:type="paragraph" w:customStyle="1" w:styleId="20">
    <w:name w:val="TOC Heading"/>
    <w:basedOn w:val="2"/>
    <w:next w:val="1"/>
    <w:semiHidden/>
    <w:unhideWhenUsed/>
    <w:qFormat/>
    <w:uiPriority w:val="39"/>
    <w:pPr>
      <w:spacing w:after="240"/>
      <w:ind w:firstLine="0"/>
      <w:jc w:val="center"/>
      <w:outlineLvl w:val="9"/>
    </w:pPr>
    <w:rPr>
      <w:rFonts w:ascii="Times New Roman" w:hAnsi="Times New Roman" w:eastAsia="黑体" w:cs="Times New Roman"/>
      <w:color w:val="000000"/>
      <w:sz w:val="32"/>
    </w:rPr>
  </w:style>
  <w:style w:type="paragraph" w:customStyle="1" w:styleId="21">
    <w:name w:val="Source Note"/>
    <w:qFormat/>
    <w:uiPriority w:val="0"/>
    <w:pPr>
      <w:spacing w:before="0" w:after="80" w:line="240" w:lineRule="auto"/>
      <w:ind w:firstLine="0"/>
      <w:jc w:val="left"/>
    </w:pPr>
    <w:rPr>
      <w:rFonts w:ascii="Times New Roman" w:hAnsi="Times New Roman" w:eastAsia="宋体" w:cs="Times New Roman"/>
      <w:color w:val="000000"/>
      <w:sz w:val="18"/>
      <w:szCs w:val="22"/>
      <w:lang w:val="en-US" w:eastAsia="en-US" w:bidi="ar-SA"/>
    </w:rPr>
  </w:style>
  <w:style w:type="paragraph" w:customStyle="1" w:styleId="22">
    <w:name w:val="Conclusion Item"/>
    <w:qFormat/>
    <w:uiPriority w:val="0"/>
    <w:pPr>
      <w:spacing w:after="0" w:line="360" w:lineRule="auto"/>
      <w:ind w:firstLine="0"/>
      <w:jc w:val="both"/>
    </w:pPr>
    <w:rPr>
      <w:rFonts w:ascii="Times New Roman" w:hAnsi="Times New Roman" w:eastAsia="宋体" w:cs="Times New Roman"/>
      <w:color w:val="000000"/>
      <w:sz w:val="24"/>
      <w:szCs w:val="22"/>
      <w:lang w:val="en-US" w:eastAsia="en-US" w:bidi="ar-SA"/>
    </w:rPr>
  </w:style>
  <w:style w:type="paragraph" w:customStyle="1" w:styleId="23">
    <w:name w:val="Reference Entry"/>
    <w:qFormat/>
    <w:uiPriority w:val="0"/>
    <w:pPr>
      <w:spacing w:before="0" w:after="60" w:line="276" w:lineRule="auto"/>
      <w:ind w:left="420" w:hanging="420"/>
      <w:jc w:val="left"/>
    </w:pPr>
    <w:rPr>
      <w:rFonts w:ascii="Times New Roman" w:hAnsi="Times New Roman" w:eastAsia="宋体" w:cs="Times New Roman"/>
      <w:color w:val="000000"/>
      <w:sz w:val="21"/>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header" Target="header3.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0" Type="http://schemas.openxmlformats.org/officeDocument/2006/relationships/fontTable" Target="fontTable.xml"/><Relationship Id="rId4" Type="http://schemas.openxmlformats.org/officeDocument/2006/relationships/endnotes" Target="endnotes.xml"/><Relationship Id="rId39" Type="http://schemas.openxmlformats.org/officeDocument/2006/relationships/image" Target="media/image30.png"/><Relationship Id="rId38" Type="http://schemas.openxmlformats.org/officeDocument/2006/relationships/image" Target="media/image29.png"/><Relationship Id="rId37" Type="http://schemas.openxmlformats.org/officeDocument/2006/relationships/image" Target="media/image28.png"/><Relationship Id="rId36" Type="http://schemas.openxmlformats.org/officeDocument/2006/relationships/image" Target="media/image27.png"/><Relationship Id="rId35" Type="http://schemas.openxmlformats.org/officeDocument/2006/relationships/image" Target="media/image26.png"/><Relationship Id="rId34" Type="http://schemas.openxmlformats.org/officeDocument/2006/relationships/image" Target="media/image25.png"/><Relationship Id="rId33" Type="http://schemas.openxmlformats.org/officeDocument/2006/relationships/image" Target="media/image24.png"/><Relationship Id="rId32" Type="http://schemas.openxmlformats.org/officeDocument/2006/relationships/image" Target="media/image23.png"/><Relationship Id="rId31" Type="http://schemas.openxmlformats.org/officeDocument/2006/relationships/image" Target="media/image22.png"/><Relationship Id="rId30" Type="http://schemas.openxmlformats.org/officeDocument/2006/relationships/image" Target="media/image21.png"/><Relationship Id="rId3" Type="http://schemas.openxmlformats.org/officeDocument/2006/relationships/footnotes" Target="footnotes.xml"/><Relationship Id="rId29" Type="http://schemas.openxmlformats.org/officeDocument/2006/relationships/image" Target="media/image20.png"/><Relationship Id="rId28" Type="http://schemas.openxmlformats.org/officeDocument/2006/relationships/image" Target="media/image19.png"/><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jpeg"/><Relationship Id="rId10" Type="http://schemas.openxmlformats.org/officeDocument/2006/relationships/theme" Target="theme/theme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webp"/></Relationships>
</file>

<file path=word/_rels/header2.xml.rels><?xml version="1.0" encoding="UTF-8" standalone="yes"?>
<Relationships xmlns="http://schemas.openxmlformats.org/package/2006/relationships"><Relationship Id="rId1" Type="http://schemas.openxmlformats.org/officeDocument/2006/relationships/image" Target="media/image1.webp"/></Relationships>
</file>

<file path=word/_rels/header3.xml.rels><?xml version="1.0" encoding="UTF-8" standalone="yes"?>
<Relationships xmlns="http://schemas.openxmlformats.org/package/2006/relationships"><Relationship Id="rId1" Type="http://schemas.openxmlformats.org/officeDocument/2006/relationships/image" Target="media/image1.webp"/></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53</Pages>
  <Words>9293</Words>
  <Characters>12258</Characters>
  <Lines>0</Lines>
  <Paragraphs>0</Paragraphs>
  <TotalTime>0</TotalTime>
  <ScaleCrop>false</ScaleCrop>
  <LinksUpToDate>false</LinksUpToDate>
  <CharactersWithSpaces>12779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2026-07-15T19:52:00Z</dcterms:created>
  <dc:creator>Vincent</dc:creator>
  <cp:lastModifiedBy>Vincent</cp:lastModifiedBy>
  <dcterms:modified xsi:type="dcterms:W3CDTF">2026-07-17T18:01:16Z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06C868EF0A5F4DC5BA5BAC2528908BD1_11</vt:lpwstr>
  </property>
  <property fmtid="{D5CDD505-2E9C-101B-9397-08002B2CF9AE}" pid="4" name="KSOTemplateDocerSaveRecord">
    <vt:lpwstr>eyJoZGlkIjoiZmE2ZTg4MGM4OGU3ZjQ0M2VlNDZjOWE0YWQ0YTMxNDQiLCJ1c2VySWQiOiIzODA0ODIzMjAifQ==</vt:lpwstr>
  </property>
</Properties>
</file>