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C6B73">
      <w:pPr>
        <w:pStyle w:val="170"/>
        <w:rPr>
          <w:rFonts w:hint="eastAsia" w:ascii="Times New Roman" w:hAnsi="Times New Roman" w:eastAsia="黑体" w:cs="Times New Roman"/>
          <w:b/>
          <w:color w:val="000000"/>
          <w:sz w:val="44"/>
        </w:rPr>
      </w:pPr>
      <w:r>
        <w:rPr>
          <w:rFonts w:hint="eastAsia" w:ascii="Times New Roman" w:hAnsi="Times New Roman" w:eastAsia="黑体" w:cs="Times New Roman"/>
          <w:b/>
          <w:color w:val="000000"/>
          <w:sz w:val="44"/>
        </w:rPr>
        <w:t>第十五届“中国软件杯”大学生软件设计大赛</w:t>
      </w:r>
    </w:p>
    <w:p w14:paraId="073700D5">
      <w:pPr>
        <w:pStyle w:val="170"/>
        <w:rPr>
          <w:rFonts w:hint="eastAsia" w:ascii="Times New Roman" w:hAnsi="Times New Roman" w:eastAsia="黑体" w:cs="Times New Roman"/>
          <w:b/>
          <w:color w:val="000000"/>
          <w:sz w:val="44"/>
          <w:lang w:eastAsia="zh-CN"/>
        </w:rPr>
      </w:pPr>
      <w:r>
        <w:rPr>
          <w:rFonts w:ascii="Times New Roman" w:hAnsi="Times New Roman" w:eastAsia="黑体" w:cs="Times New Roman"/>
          <w:b/>
          <w:color w:val="000000"/>
          <w:sz w:val="44"/>
        </w:rPr>
        <w:t>A8 四旋翼无人机位姿控制系统设计优化</w:t>
      </w:r>
    </w:p>
    <w:p w14:paraId="18545913">
      <w:pPr>
        <w:pStyle w:val="170"/>
        <w:jc w:val="center"/>
        <w:rPr>
          <w:rFonts w:hint="eastAsia" w:ascii="Times New Roman" w:hAnsi="Times New Roman" w:eastAsia="黑体" w:cs="Times New Roman"/>
          <w:b/>
          <w:color w:val="000000"/>
          <w:sz w:val="44"/>
          <w:lang w:eastAsia="zh-CN"/>
        </w:rPr>
      </w:pPr>
      <w:r>
        <w:rPr>
          <w:rFonts w:hint="eastAsia" w:ascii="Times New Roman" w:hAnsi="Times New Roman" w:eastAsia="黑体" w:cs="Times New Roman"/>
          <w:b/>
          <w:color w:val="000000"/>
          <w:sz w:val="44"/>
          <w:lang w:eastAsia="zh-CN"/>
        </w:rPr>
        <w:drawing>
          <wp:inline distT="0" distB="0" distL="114300" distR="114300">
            <wp:extent cx="1489710" cy="1489710"/>
            <wp:effectExtent l="0" t="0" r="15240" b="15240"/>
            <wp:docPr id="30" name="图片 30" descr="395265667d5f073599668e43faec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5265667d5f073599668e43faec550b"/>
                    <pic:cNvPicPr>
                      <a:picLocks noChangeAspect="1"/>
                    </pic:cNvPicPr>
                  </pic:nvPicPr>
                  <pic:blipFill>
                    <a:blip r:embed="rId11"/>
                    <a:stretch>
                      <a:fillRect/>
                    </a:stretch>
                  </pic:blipFill>
                  <pic:spPr>
                    <a:xfrm>
                      <a:off x="0" y="0"/>
                      <a:ext cx="1489710" cy="1489710"/>
                    </a:xfrm>
                    <a:prstGeom prst="rect">
                      <a:avLst/>
                    </a:prstGeom>
                  </pic:spPr>
                </pic:pic>
              </a:graphicData>
            </a:graphic>
          </wp:inline>
        </w:drawing>
      </w:r>
      <w:bookmarkStart w:id="21" w:name="_GoBack"/>
      <w:bookmarkEnd w:id="21"/>
    </w:p>
    <w:p w14:paraId="73C97D2C">
      <w:pPr>
        <w:pStyle w:val="170"/>
        <w:rPr>
          <w:rFonts w:hint="eastAsia" w:ascii="黑体" w:hAnsi="黑体" w:eastAsia="黑体" w:cs="黑体"/>
          <w:b/>
          <w:bCs w:val="0"/>
          <w:color w:val="000000"/>
          <w:sz w:val="52"/>
          <w:szCs w:val="52"/>
          <w:lang w:eastAsia="zh-CN"/>
        </w:rPr>
      </w:pPr>
      <w:r>
        <w:rPr>
          <w:rFonts w:hint="eastAsia" w:ascii="黑体" w:hAnsi="黑体" w:eastAsia="黑体" w:cs="黑体"/>
          <w:b/>
          <w:bCs w:val="0"/>
          <w:color w:val="000000"/>
          <w:sz w:val="52"/>
          <w:szCs w:val="52"/>
        </w:rPr>
        <w:t>驭穹稳控</w:t>
      </w:r>
      <w:r>
        <w:rPr>
          <w:rFonts w:hint="eastAsia" w:ascii="黑体" w:hAnsi="黑体" w:eastAsia="黑体" w:cs="黑体"/>
          <w:b/>
          <w:bCs w:val="0"/>
          <w:color w:val="000000"/>
          <w:sz w:val="52"/>
          <w:szCs w:val="52"/>
          <w:lang w:eastAsia="zh-CN"/>
        </w:rPr>
        <w:t>——</w:t>
      </w:r>
    </w:p>
    <w:p w14:paraId="1401E91D">
      <w:pPr>
        <w:pStyle w:val="170"/>
        <w:rPr>
          <w:rFonts w:hint="eastAsia" w:ascii="黑体" w:hAnsi="黑体" w:eastAsia="黑体" w:cs="黑体"/>
          <w:b/>
          <w:bCs w:val="0"/>
          <w:color w:val="000000"/>
          <w:sz w:val="52"/>
          <w:szCs w:val="52"/>
        </w:rPr>
      </w:pPr>
      <w:r>
        <w:rPr>
          <w:rFonts w:hint="eastAsia" w:ascii="黑体" w:hAnsi="黑体" w:eastAsia="黑体" w:cs="黑体"/>
          <w:b/>
          <w:bCs w:val="0"/>
          <w:color w:val="000000"/>
          <w:sz w:val="52"/>
          <w:szCs w:val="52"/>
        </w:rPr>
        <w:t>基于MWORKS的四旋翼鲁棒位姿控制与编队安全仿真系统</w:t>
      </w:r>
    </w:p>
    <w:p w14:paraId="115882A4">
      <w:pPr>
        <w:pStyle w:val="171"/>
      </w:pPr>
      <w:r>
        <w:rPr>
          <w:rFonts w:hint="eastAsia" w:ascii="Times New Roman" w:hAnsi="Times New Roman" w:eastAsia="黑体" w:cs="Times New Roman"/>
          <w:b/>
          <w:color w:val="000000"/>
          <w:sz w:val="52"/>
        </w:rPr>
        <w:t>用户手册</w:t>
      </w:r>
    </w:p>
    <w:p w14:paraId="6C43399E">
      <w:pPr>
        <w:pStyle w:val="172"/>
        <w:rPr>
          <w:rFonts w:hint="eastAsia" w:eastAsia="宋体"/>
          <w:lang w:val="en-US" w:eastAsia="zh-CN"/>
        </w:rPr>
      </w:pPr>
      <w:r>
        <w:rPr>
          <w:rFonts w:ascii="Times New Roman" w:hAnsi="Times New Roman" w:eastAsia="宋体" w:cs="Times New Roman"/>
          <w:color w:val="000000"/>
          <w:sz w:val="28"/>
        </w:rPr>
        <w:t>赛题组别：A组</w:t>
      </w:r>
      <w:r>
        <w:rPr>
          <w:rFonts w:hint="eastAsia" w:cs="Times New Roman"/>
          <w:color w:val="000000"/>
          <w:sz w:val="28"/>
          <w:lang w:val="en-US" w:eastAsia="zh-CN"/>
        </w:rPr>
        <w:t xml:space="preserve"> </w:t>
      </w:r>
    </w:p>
    <w:p w14:paraId="38595594">
      <w:pPr>
        <w:pStyle w:val="172"/>
        <w:rPr>
          <w:rFonts w:hint="default" w:eastAsia="宋体"/>
          <w:lang w:val="en-US" w:eastAsia="zh-CN"/>
        </w:rPr>
      </w:pPr>
      <w:r>
        <w:rPr>
          <w:rFonts w:ascii="Times New Roman" w:hAnsi="Times New Roman" w:eastAsia="宋体" w:cs="Times New Roman"/>
          <w:color w:val="000000"/>
          <w:sz w:val="28"/>
        </w:rPr>
        <w:t>参赛单位：</w:t>
      </w:r>
      <w:r>
        <w:rPr>
          <w:rFonts w:hint="eastAsia" w:cs="Times New Roman"/>
          <w:color w:val="000000"/>
          <w:sz w:val="28"/>
          <w:u w:val="single"/>
          <w:lang w:val="en-US" w:eastAsia="zh-CN"/>
        </w:rPr>
        <w:t xml:space="preserve">    西</w:t>
      </w:r>
      <w:r>
        <w:rPr>
          <w:rFonts w:hint="eastAsia" w:ascii="Times New Roman" w:hAnsi="Times New Roman" w:eastAsia="宋体" w:cs="Times New Roman"/>
          <w:color w:val="000000"/>
          <w:sz w:val="28"/>
          <w:u w:val="single"/>
        </w:rPr>
        <w:t>安交通大学</w:t>
      </w:r>
      <w:r>
        <w:rPr>
          <w:rFonts w:hint="eastAsia" w:cs="Times New Roman"/>
          <w:color w:val="000000"/>
          <w:sz w:val="28"/>
          <w:u w:val="single"/>
          <w:lang w:val="en-US" w:eastAsia="zh-CN"/>
        </w:rPr>
        <w:t xml:space="preserve">    </w:t>
      </w:r>
    </w:p>
    <w:p w14:paraId="1C2FDCB9">
      <w:pPr>
        <w:pStyle w:val="172"/>
        <w:rPr>
          <w:rFonts w:hint="default" w:eastAsia="宋体"/>
          <w:lang w:val="en-US" w:eastAsia="zh-CN"/>
        </w:rPr>
      </w:pPr>
      <w:r>
        <w:rPr>
          <w:rFonts w:ascii="Times New Roman" w:hAnsi="Times New Roman" w:eastAsia="宋体" w:cs="Times New Roman"/>
          <w:color w:val="000000"/>
          <w:sz w:val="28"/>
        </w:rPr>
        <w:t>团队名称：</w:t>
      </w:r>
      <w:r>
        <w:rPr>
          <w:rFonts w:hint="eastAsia" w:cs="Times New Roman"/>
          <w:color w:val="000000"/>
          <w:sz w:val="28"/>
          <w:u w:val="single"/>
          <w:lang w:val="en-US" w:eastAsia="zh-CN"/>
        </w:rPr>
        <w:t xml:space="preserve">    </w:t>
      </w:r>
      <w:r>
        <w:rPr>
          <w:rFonts w:hint="eastAsia" w:ascii="Times New Roman" w:hAnsi="Times New Roman" w:eastAsia="宋体" w:cs="Times New Roman"/>
          <w:color w:val="000000"/>
          <w:sz w:val="28"/>
          <w:u w:val="single"/>
        </w:rPr>
        <w:t>驭穹稳控团队</w:t>
      </w:r>
      <w:r>
        <w:rPr>
          <w:rFonts w:hint="eastAsia" w:cs="Times New Roman"/>
          <w:color w:val="000000"/>
          <w:sz w:val="28"/>
          <w:u w:val="single"/>
          <w:lang w:val="en-US" w:eastAsia="zh-CN"/>
        </w:rPr>
        <w:t xml:space="preserve">    </w:t>
      </w:r>
    </w:p>
    <w:p w14:paraId="7734F864">
      <w:pPr>
        <w:pStyle w:val="172"/>
        <w:rPr>
          <w:rFonts w:hint="default" w:eastAsia="宋体"/>
          <w:lang w:val="en-US" w:eastAsia="zh-CN"/>
        </w:rPr>
      </w:pPr>
      <w:r>
        <w:rPr>
          <w:rFonts w:hint="eastAsia" w:cs="Times New Roman"/>
          <w:color w:val="000000"/>
          <w:sz w:val="28"/>
          <w:lang w:val="en-US" w:eastAsia="zh-CN"/>
        </w:rPr>
        <w:t>适用平台</w:t>
      </w:r>
      <w:r>
        <w:rPr>
          <w:rFonts w:ascii="Times New Roman" w:hAnsi="Times New Roman" w:eastAsia="宋体" w:cs="Times New Roman"/>
          <w:color w:val="000000"/>
          <w:sz w:val="28"/>
        </w:rPr>
        <w:t>：</w:t>
      </w:r>
      <w:r>
        <w:rPr>
          <w:rFonts w:hint="eastAsia" w:cs="Times New Roman"/>
          <w:color w:val="000000"/>
          <w:sz w:val="28"/>
          <w:lang w:val="en-US" w:eastAsia="zh-CN"/>
        </w:rPr>
        <w:t xml:space="preserve"> </w:t>
      </w:r>
      <w:r>
        <w:rPr>
          <w:rFonts w:hint="eastAsia" w:cs="Times New Roman"/>
          <w:color w:val="000000"/>
          <w:sz w:val="28"/>
          <w:u w:val="single"/>
          <w:lang w:val="en-US" w:eastAsia="zh-CN"/>
        </w:rPr>
        <w:t xml:space="preserve">   M</w:t>
      </w:r>
      <w:r>
        <w:rPr>
          <w:rFonts w:hint="eastAsia" w:ascii="Times New Roman" w:hAnsi="Times New Roman" w:eastAsia="宋体" w:cs="Times New Roman"/>
          <w:color w:val="000000"/>
          <w:sz w:val="28"/>
          <w:u w:val="single"/>
        </w:rPr>
        <w:t>WORKS 2026a</w:t>
      </w:r>
      <w:r>
        <w:rPr>
          <w:rFonts w:hint="eastAsia" w:cs="Times New Roman"/>
          <w:color w:val="000000"/>
          <w:sz w:val="28"/>
          <w:u w:val="single"/>
          <w:lang w:val="en-US" w:eastAsia="zh-CN"/>
        </w:rPr>
        <w:t xml:space="preserve">   </w:t>
      </w:r>
    </w:p>
    <w:p w14:paraId="316E79CB">
      <w:pPr>
        <w:pStyle w:val="172"/>
      </w:pPr>
      <w:r>
        <w:rPr>
          <w:rFonts w:ascii="Times New Roman" w:hAnsi="Times New Roman" w:eastAsia="宋体" w:cs="Times New Roman"/>
          <w:color w:val="000000"/>
          <w:sz w:val="28"/>
        </w:rPr>
        <w:t>日期：2026年7月</w:t>
      </w:r>
    </w:p>
    <w:p w14:paraId="1E067696">
      <w:pPr>
        <w:widowControl/>
        <w:sectPr>
          <w:headerReference r:id="rId5" w:type="default"/>
          <w:pgSz w:w="11906" w:h="16838"/>
          <w:pgMar w:top="1191" w:right="1361" w:bottom="1134" w:left="1417" w:header="567" w:footer="567" w:gutter="0"/>
          <w:cols w:space="720" w:num="1"/>
          <w:vAlign w:val="center"/>
          <w:docGrid w:linePitch="360" w:charSpace="0"/>
        </w:sectPr>
      </w:pPr>
    </w:p>
    <w:p w14:paraId="6A61A2C1">
      <w:pPr>
        <w:pStyle w:val="167"/>
        <w:widowControl/>
        <w:jc w:val="center"/>
      </w:pPr>
      <w:r>
        <w:rPr>
          <w:rFonts w:ascii="Times New Roman" w:hAnsi="Times New Roman" w:eastAsia="宋体" w:cs="Times New Roman"/>
          <w:color w:val="000000"/>
          <w:sz w:val="21"/>
          <w:szCs w:val="21"/>
        </w:rPr>
        <w:t>目录</w:t>
      </w:r>
    </w:p>
    <w:p w14:paraId="4106840E">
      <w:pPr>
        <w:pStyle w:val="168"/>
        <w:tabs>
          <w:tab w:val="right" w:leader="dot" w:pos="9118"/>
        </w:tabs>
        <w:rPr>
          <w:rFonts w:hint="eastAsia"/>
        </w:rPr>
      </w:pPr>
      <w:r>
        <w:rPr>
          <w:color w:val="000000"/>
          <w:szCs w:val="21"/>
        </w:rPr>
        <w:fldChar w:fldCharType="begin"/>
      </w:r>
      <w:r>
        <w:rPr>
          <w:color w:val="000000"/>
          <w:szCs w:val="21"/>
        </w:rPr>
        <w:instrText xml:space="preserve"> TOC \o "1-2" \h \z \u </w:instrText>
      </w:r>
      <w:r>
        <w:rPr>
          <w:color w:val="000000"/>
          <w:szCs w:val="21"/>
        </w:rPr>
        <w:fldChar w:fldCharType="separate"/>
      </w:r>
      <w:r>
        <w:fldChar w:fldCharType="begin"/>
      </w:r>
      <w:r>
        <w:instrText xml:space="preserve"> HYPERLINK \l "_Toc235146482" </w:instrText>
      </w:r>
      <w:r>
        <w:fldChar w:fldCharType="separate"/>
      </w:r>
      <w:r>
        <w:rPr>
          <w:rFonts w:eastAsia="黑体"/>
          <w:color w:val="000000"/>
        </w:rPr>
        <w:t>第1章  系统概述</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_Toc235146482 \h</w:instrText>
      </w:r>
      <w:r>
        <w:rPr>
          <w:rFonts w:hint="eastAsia"/>
          <w:color w:val="000000"/>
        </w:rPr>
        <w:instrText xml:space="preserve"> </w:instrText>
      </w:r>
      <w:r>
        <w:rPr>
          <w:rFonts w:hint="eastAsia"/>
          <w:color w:val="000000"/>
        </w:rPr>
        <w:fldChar w:fldCharType="separate"/>
      </w:r>
      <w:r>
        <w:rPr>
          <w:color w:val="000000"/>
        </w:rPr>
        <w:t>1</w:t>
      </w:r>
      <w:r>
        <w:rPr>
          <w:rFonts w:hint="eastAsia"/>
          <w:color w:val="000000"/>
        </w:rPr>
        <w:fldChar w:fldCharType="end"/>
      </w:r>
      <w:r>
        <w:rPr>
          <w:rFonts w:hint="eastAsia"/>
          <w:color w:val="000000"/>
        </w:rPr>
        <w:fldChar w:fldCharType="end"/>
      </w:r>
    </w:p>
    <w:p w14:paraId="3204E461">
      <w:pPr>
        <w:pStyle w:val="169"/>
        <w:tabs>
          <w:tab w:val="right" w:leader="dot" w:pos="9118"/>
        </w:tabs>
        <w:rPr>
          <w:rFonts w:hint="eastAsia"/>
        </w:rPr>
      </w:pPr>
      <w:r>
        <w:fldChar w:fldCharType="begin"/>
      </w:r>
      <w:r>
        <w:instrText xml:space="preserve"> HYPERLINK \l "_Toc235146483" </w:instrText>
      </w:r>
      <w:r>
        <w:fldChar w:fldCharType="separate"/>
      </w:r>
      <w:r>
        <w:rPr>
          <w:rFonts w:eastAsia="黑体"/>
          <w:color w:val="000000"/>
        </w:rPr>
        <w:t>1.1  系统架构与模块</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_Toc235146483 \h</w:instrText>
      </w:r>
      <w:r>
        <w:rPr>
          <w:rFonts w:hint="eastAsia"/>
          <w:color w:val="000000"/>
        </w:rPr>
        <w:instrText xml:space="preserve"> </w:instrText>
      </w:r>
      <w:r>
        <w:rPr>
          <w:rFonts w:hint="eastAsia"/>
          <w:color w:val="000000"/>
        </w:rPr>
        <w:fldChar w:fldCharType="separate"/>
      </w:r>
      <w:r>
        <w:rPr>
          <w:color w:val="000000"/>
        </w:rPr>
        <w:t>1</w:t>
      </w:r>
      <w:r>
        <w:rPr>
          <w:rFonts w:hint="eastAsia"/>
          <w:color w:val="000000"/>
        </w:rPr>
        <w:fldChar w:fldCharType="end"/>
      </w:r>
      <w:r>
        <w:rPr>
          <w:rFonts w:hint="eastAsia"/>
          <w:color w:val="000000"/>
        </w:rPr>
        <w:fldChar w:fldCharType="end"/>
      </w:r>
    </w:p>
    <w:p w14:paraId="00BA282C">
      <w:pPr>
        <w:pStyle w:val="169"/>
        <w:tabs>
          <w:tab w:val="right" w:leader="dot" w:pos="9118"/>
        </w:tabs>
        <w:rPr>
          <w:rFonts w:hint="eastAsia"/>
        </w:rPr>
      </w:pPr>
      <w:r>
        <w:fldChar w:fldCharType="begin"/>
      </w:r>
      <w:r>
        <w:instrText xml:space="preserve"> HYPERLINK \l "_Toc235146484" </w:instrText>
      </w:r>
      <w:r>
        <w:fldChar w:fldCharType="separate"/>
      </w:r>
      <w:r>
        <w:rPr>
          <w:rFonts w:eastAsia="黑体"/>
          <w:color w:val="000000"/>
        </w:rPr>
        <w:t>1.2  支持任务与适用范围</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_Toc235146484 \h</w:instrText>
      </w:r>
      <w:r>
        <w:rPr>
          <w:rFonts w:hint="eastAsia"/>
          <w:color w:val="000000"/>
        </w:rPr>
        <w:instrText xml:space="preserve"> </w:instrText>
      </w:r>
      <w:r>
        <w:rPr>
          <w:rFonts w:hint="eastAsia"/>
          <w:color w:val="000000"/>
        </w:rPr>
        <w:fldChar w:fldCharType="separate"/>
      </w:r>
      <w:r>
        <w:rPr>
          <w:color w:val="000000"/>
        </w:rPr>
        <w:t>2</w:t>
      </w:r>
      <w:r>
        <w:rPr>
          <w:rFonts w:hint="eastAsia"/>
          <w:color w:val="000000"/>
        </w:rPr>
        <w:fldChar w:fldCharType="end"/>
      </w:r>
      <w:r>
        <w:rPr>
          <w:rFonts w:hint="eastAsia"/>
          <w:color w:val="000000"/>
        </w:rPr>
        <w:fldChar w:fldCharType="end"/>
      </w:r>
    </w:p>
    <w:p w14:paraId="00A3C5AD">
      <w:pPr>
        <w:pStyle w:val="168"/>
        <w:tabs>
          <w:tab w:val="right" w:leader="dot" w:pos="9118"/>
        </w:tabs>
        <w:rPr>
          <w:rFonts w:hint="eastAsia"/>
        </w:rPr>
      </w:pPr>
      <w:r>
        <w:fldChar w:fldCharType="begin"/>
      </w:r>
      <w:r>
        <w:instrText xml:space="preserve"> HYPERLINK \l "_Toc235146485" </w:instrText>
      </w:r>
      <w:r>
        <w:fldChar w:fldCharType="separate"/>
      </w:r>
      <w:r>
        <w:rPr>
          <w:rFonts w:eastAsia="黑体"/>
          <w:color w:val="000000"/>
        </w:rPr>
        <w:t>第2章  环境配置、自检与首次运行</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_Toc235146485 \h</w:instrText>
      </w:r>
      <w:r>
        <w:rPr>
          <w:rFonts w:hint="eastAsia"/>
          <w:color w:val="000000"/>
        </w:rPr>
        <w:instrText xml:space="preserve"> </w:instrText>
      </w:r>
      <w:r>
        <w:rPr>
          <w:rFonts w:hint="eastAsia"/>
          <w:color w:val="000000"/>
        </w:rPr>
        <w:fldChar w:fldCharType="separate"/>
      </w:r>
      <w:r>
        <w:rPr>
          <w:color w:val="000000"/>
        </w:rPr>
        <w:t>3</w:t>
      </w:r>
      <w:r>
        <w:rPr>
          <w:rFonts w:hint="eastAsia"/>
          <w:color w:val="000000"/>
        </w:rPr>
        <w:fldChar w:fldCharType="end"/>
      </w:r>
      <w:r>
        <w:rPr>
          <w:rFonts w:hint="eastAsia"/>
          <w:color w:val="000000"/>
        </w:rPr>
        <w:fldChar w:fldCharType="end"/>
      </w:r>
    </w:p>
    <w:p w14:paraId="25E33F57">
      <w:pPr>
        <w:pStyle w:val="169"/>
        <w:tabs>
          <w:tab w:val="right" w:leader="dot" w:pos="9118"/>
        </w:tabs>
        <w:rPr>
          <w:rFonts w:hint="eastAsia"/>
        </w:rPr>
      </w:pPr>
      <w:r>
        <w:fldChar w:fldCharType="begin"/>
      </w:r>
      <w:r>
        <w:instrText xml:space="preserve"> HYPERLINK \l "_Toc235146486" </w:instrText>
      </w:r>
      <w:r>
        <w:fldChar w:fldCharType="separate"/>
      </w:r>
      <w:r>
        <w:rPr>
          <w:rFonts w:eastAsia="黑体"/>
          <w:color w:val="000000"/>
        </w:rPr>
        <w:t>2.1  环境与工程准备</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_Toc235146486 \h</w:instrText>
      </w:r>
      <w:r>
        <w:rPr>
          <w:rFonts w:hint="eastAsia"/>
          <w:color w:val="000000"/>
        </w:rPr>
        <w:instrText xml:space="preserve"> </w:instrText>
      </w:r>
      <w:r>
        <w:rPr>
          <w:rFonts w:hint="eastAsia"/>
          <w:color w:val="000000"/>
        </w:rPr>
        <w:fldChar w:fldCharType="separate"/>
      </w:r>
      <w:r>
        <w:rPr>
          <w:color w:val="000000"/>
        </w:rPr>
        <w:t>3</w:t>
      </w:r>
      <w:r>
        <w:rPr>
          <w:rFonts w:hint="eastAsia"/>
          <w:color w:val="000000"/>
        </w:rPr>
        <w:fldChar w:fldCharType="end"/>
      </w:r>
      <w:r>
        <w:rPr>
          <w:rFonts w:hint="eastAsia"/>
          <w:color w:val="000000"/>
        </w:rPr>
        <w:fldChar w:fldCharType="end"/>
      </w:r>
    </w:p>
    <w:p w14:paraId="1A01A224">
      <w:pPr>
        <w:pStyle w:val="169"/>
        <w:tabs>
          <w:tab w:val="right" w:leader="dot" w:pos="9118"/>
        </w:tabs>
        <w:rPr>
          <w:rFonts w:hint="eastAsia"/>
        </w:rPr>
      </w:pPr>
      <w:r>
        <w:fldChar w:fldCharType="begin"/>
      </w:r>
      <w:r>
        <w:instrText xml:space="preserve"> HYPERLINK \l "_Toc235146487" </w:instrText>
      </w:r>
      <w:r>
        <w:fldChar w:fldCharType="separate"/>
      </w:r>
      <w:r>
        <w:rPr>
          <w:rFonts w:eastAsia="黑体"/>
          <w:color w:val="000000"/>
        </w:rPr>
        <w:t>2.2  快速验收与模型打开</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_Toc235146487 \h</w:instrText>
      </w:r>
      <w:r>
        <w:rPr>
          <w:rFonts w:hint="eastAsia"/>
          <w:color w:val="000000"/>
        </w:rPr>
        <w:instrText xml:space="preserve"> </w:instrText>
      </w:r>
      <w:r>
        <w:rPr>
          <w:rFonts w:hint="eastAsia"/>
          <w:color w:val="000000"/>
        </w:rPr>
        <w:fldChar w:fldCharType="separate"/>
      </w:r>
      <w:r>
        <w:rPr>
          <w:color w:val="000000"/>
        </w:rPr>
        <w:t>3</w:t>
      </w:r>
      <w:r>
        <w:rPr>
          <w:rFonts w:hint="eastAsia"/>
          <w:color w:val="000000"/>
        </w:rPr>
        <w:fldChar w:fldCharType="end"/>
      </w:r>
      <w:r>
        <w:rPr>
          <w:rFonts w:hint="eastAsia"/>
          <w:color w:val="000000"/>
        </w:rPr>
        <w:fldChar w:fldCharType="end"/>
      </w:r>
    </w:p>
    <w:p w14:paraId="4BB60CBE">
      <w:pPr>
        <w:pStyle w:val="169"/>
        <w:tabs>
          <w:tab w:val="right" w:leader="dot" w:pos="9118"/>
        </w:tabs>
        <w:rPr>
          <w:rFonts w:hint="eastAsia"/>
        </w:rPr>
      </w:pPr>
      <w:r>
        <w:fldChar w:fldCharType="begin"/>
      </w:r>
      <w:r>
        <w:instrText xml:space="preserve"> HYPERLINK \l "_Toc235146488" </w:instrText>
      </w:r>
      <w:r>
        <w:fldChar w:fldCharType="separate"/>
      </w:r>
      <w:r>
        <w:rPr>
          <w:rFonts w:eastAsia="黑体"/>
          <w:color w:val="000000"/>
        </w:rPr>
        <w:t>2.3  定点悬停首次运行</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_Toc235146488 \h</w:instrText>
      </w:r>
      <w:r>
        <w:rPr>
          <w:rFonts w:hint="eastAsia"/>
          <w:color w:val="000000"/>
        </w:rPr>
        <w:instrText xml:space="preserve"> </w:instrText>
      </w:r>
      <w:r>
        <w:rPr>
          <w:rFonts w:hint="eastAsia"/>
          <w:color w:val="000000"/>
        </w:rPr>
        <w:fldChar w:fldCharType="separate"/>
      </w:r>
      <w:r>
        <w:rPr>
          <w:color w:val="000000"/>
        </w:rPr>
        <w:t>4</w:t>
      </w:r>
      <w:r>
        <w:rPr>
          <w:rFonts w:hint="eastAsia"/>
          <w:color w:val="000000"/>
        </w:rPr>
        <w:fldChar w:fldCharType="end"/>
      </w:r>
      <w:r>
        <w:rPr>
          <w:rFonts w:hint="eastAsia"/>
          <w:color w:val="000000"/>
        </w:rPr>
        <w:fldChar w:fldCharType="end"/>
      </w:r>
    </w:p>
    <w:p w14:paraId="2213A60F">
      <w:pPr>
        <w:pStyle w:val="168"/>
        <w:tabs>
          <w:tab w:val="right" w:leader="dot" w:pos="9118"/>
        </w:tabs>
        <w:rPr>
          <w:rFonts w:hint="eastAsia"/>
        </w:rPr>
      </w:pPr>
      <w:r>
        <w:fldChar w:fldCharType="begin"/>
      </w:r>
      <w:r>
        <w:instrText xml:space="preserve"> HYPERLINK \l "_Toc235146489" </w:instrText>
      </w:r>
      <w:r>
        <w:fldChar w:fldCharType="separate"/>
      </w:r>
      <w:r>
        <w:rPr>
          <w:rFonts w:eastAsia="黑体"/>
          <w:color w:val="000000"/>
        </w:rPr>
        <w:t>第3章  场景复现与参数选择</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_Toc235146489 \h</w:instrText>
      </w:r>
      <w:r>
        <w:rPr>
          <w:rFonts w:hint="eastAsia"/>
          <w:color w:val="000000"/>
        </w:rPr>
        <w:instrText xml:space="preserve"> </w:instrText>
      </w:r>
      <w:r>
        <w:rPr>
          <w:rFonts w:hint="eastAsia"/>
          <w:color w:val="000000"/>
        </w:rPr>
        <w:fldChar w:fldCharType="separate"/>
      </w:r>
      <w:r>
        <w:rPr>
          <w:color w:val="000000"/>
        </w:rPr>
        <w:t>7</w:t>
      </w:r>
      <w:r>
        <w:rPr>
          <w:rFonts w:hint="eastAsia"/>
          <w:color w:val="000000"/>
        </w:rPr>
        <w:fldChar w:fldCharType="end"/>
      </w:r>
      <w:r>
        <w:rPr>
          <w:rFonts w:hint="eastAsia"/>
          <w:color w:val="000000"/>
        </w:rPr>
        <w:fldChar w:fldCharType="end"/>
      </w:r>
    </w:p>
    <w:p w14:paraId="66D6651D">
      <w:pPr>
        <w:pStyle w:val="169"/>
        <w:tabs>
          <w:tab w:val="right" w:leader="dot" w:pos="9118"/>
        </w:tabs>
        <w:rPr>
          <w:rFonts w:hint="eastAsia"/>
        </w:rPr>
      </w:pPr>
      <w:r>
        <w:fldChar w:fldCharType="begin"/>
      </w:r>
      <w:r>
        <w:instrText xml:space="preserve"> HYPERLINK \l "_Toc235146490" </w:instrText>
      </w:r>
      <w:r>
        <w:fldChar w:fldCharType="separate"/>
      </w:r>
      <w:r>
        <w:rPr>
          <w:rFonts w:eastAsia="黑体"/>
          <w:color w:val="000000"/>
        </w:rPr>
        <w:t>3.1  基础场景共享流程</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_Toc235146490 \h</w:instrText>
      </w:r>
      <w:r>
        <w:rPr>
          <w:rFonts w:hint="eastAsia"/>
          <w:color w:val="000000"/>
        </w:rPr>
        <w:instrText xml:space="preserve"> </w:instrText>
      </w:r>
      <w:r>
        <w:rPr>
          <w:rFonts w:hint="eastAsia"/>
          <w:color w:val="000000"/>
        </w:rPr>
        <w:fldChar w:fldCharType="separate"/>
      </w:r>
      <w:r>
        <w:rPr>
          <w:color w:val="000000"/>
        </w:rPr>
        <w:t>7</w:t>
      </w:r>
      <w:r>
        <w:rPr>
          <w:rFonts w:hint="eastAsia"/>
          <w:color w:val="000000"/>
        </w:rPr>
        <w:fldChar w:fldCharType="end"/>
      </w:r>
      <w:r>
        <w:rPr>
          <w:rFonts w:hint="eastAsia"/>
          <w:color w:val="000000"/>
        </w:rPr>
        <w:fldChar w:fldCharType="end"/>
      </w:r>
    </w:p>
    <w:p w14:paraId="49F1F74E">
      <w:pPr>
        <w:pStyle w:val="169"/>
        <w:tabs>
          <w:tab w:val="right" w:leader="dot" w:pos="9118"/>
        </w:tabs>
        <w:rPr>
          <w:rFonts w:hint="eastAsia"/>
        </w:rPr>
      </w:pPr>
      <w:r>
        <w:fldChar w:fldCharType="begin"/>
      </w:r>
      <w:r>
        <w:instrText xml:space="preserve"> HYPERLINK \l "_Toc235146491" </w:instrText>
      </w:r>
      <w:r>
        <w:fldChar w:fldCharType="separate"/>
      </w:r>
      <w:r>
        <w:rPr>
          <w:rFonts w:eastAsia="黑体"/>
          <w:color w:val="000000"/>
        </w:rPr>
        <w:t>3.2  参数场景与外力扰动</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_Toc235146491 \h</w:instrText>
      </w:r>
      <w:r>
        <w:rPr>
          <w:rFonts w:hint="eastAsia"/>
          <w:color w:val="000000"/>
        </w:rPr>
        <w:instrText xml:space="preserve"> </w:instrText>
      </w:r>
      <w:r>
        <w:rPr>
          <w:rFonts w:hint="eastAsia"/>
          <w:color w:val="000000"/>
        </w:rPr>
        <w:fldChar w:fldCharType="separate"/>
      </w:r>
      <w:r>
        <w:rPr>
          <w:color w:val="000000"/>
        </w:rPr>
        <w:t>8</w:t>
      </w:r>
      <w:r>
        <w:rPr>
          <w:rFonts w:hint="eastAsia"/>
          <w:color w:val="000000"/>
        </w:rPr>
        <w:fldChar w:fldCharType="end"/>
      </w:r>
      <w:r>
        <w:rPr>
          <w:rFonts w:hint="eastAsia"/>
          <w:color w:val="000000"/>
        </w:rPr>
        <w:fldChar w:fldCharType="end"/>
      </w:r>
    </w:p>
    <w:p w14:paraId="62A94925">
      <w:pPr>
        <w:pStyle w:val="169"/>
        <w:tabs>
          <w:tab w:val="right" w:leader="dot" w:pos="9118"/>
        </w:tabs>
        <w:rPr>
          <w:rFonts w:hint="eastAsia"/>
        </w:rPr>
      </w:pPr>
      <w:r>
        <w:fldChar w:fldCharType="begin"/>
      </w:r>
      <w:r>
        <w:instrText xml:space="preserve"> HYPERLINK \l "_Toc235146492" </w:instrText>
      </w:r>
      <w:r>
        <w:fldChar w:fldCharType="separate"/>
      </w:r>
      <w:r>
        <w:rPr>
          <w:rFonts w:eastAsia="黑体"/>
          <w:color w:val="000000"/>
        </w:rPr>
        <w:t>3.3  三机编队与PP-CBF</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_Toc235146492 \h</w:instrText>
      </w:r>
      <w:r>
        <w:rPr>
          <w:rFonts w:hint="eastAsia"/>
          <w:color w:val="000000"/>
        </w:rPr>
        <w:instrText xml:space="preserve"> </w:instrText>
      </w:r>
      <w:r>
        <w:rPr>
          <w:rFonts w:hint="eastAsia"/>
          <w:color w:val="000000"/>
        </w:rPr>
        <w:fldChar w:fldCharType="separate"/>
      </w:r>
      <w:r>
        <w:rPr>
          <w:color w:val="000000"/>
        </w:rPr>
        <w:t>9</w:t>
      </w:r>
      <w:r>
        <w:rPr>
          <w:rFonts w:hint="eastAsia"/>
          <w:color w:val="000000"/>
        </w:rPr>
        <w:fldChar w:fldCharType="end"/>
      </w:r>
      <w:r>
        <w:rPr>
          <w:rFonts w:hint="eastAsia"/>
          <w:color w:val="000000"/>
        </w:rPr>
        <w:fldChar w:fldCharType="end"/>
      </w:r>
    </w:p>
    <w:p w14:paraId="1367FA2B">
      <w:pPr>
        <w:pStyle w:val="168"/>
        <w:tabs>
          <w:tab w:val="right" w:leader="dot" w:pos="9118"/>
        </w:tabs>
        <w:rPr>
          <w:rFonts w:hint="eastAsia"/>
        </w:rPr>
      </w:pPr>
      <w:r>
        <w:fldChar w:fldCharType="begin"/>
      </w:r>
      <w:r>
        <w:instrText xml:space="preserve"> HYPERLINK \l "_Toc235146493" </w:instrText>
      </w:r>
      <w:r>
        <w:fldChar w:fldCharType="separate"/>
      </w:r>
      <w:r>
        <w:rPr>
          <w:rFonts w:eastAsia="黑体"/>
          <w:color w:val="000000"/>
        </w:rPr>
        <w:t>第4章  结果查看、导出与判读</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_Toc235146493 \h</w:instrText>
      </w:r>
      <w:r>
        <w:rPr>
          <w:rFonts w:hint="eastAsia"/>
          <w:color w:val="000000"/>
        </w:rPr>
        <w:instrText xml:space="preserve"> </w:instrText>
      </w:r>
      <w:r>
        <w:rPr>
          <w:rFonts w:hint="eastAsia"/>
          <w:color w:val="000000"/>
        </w:rPr>
        <w:fldChar w:fldCharType="separate"/>
      </w:r>
      <w:r>
        <w:rPr>
          <w:color w:val="000000"/>
        </w:rPr>
        <w:t>11</w:t>
      </w:r>
      <w:r>
        <w:rPr>
          <w:rFonts w:hint="eastAsia"/>
          <w:color w:val="000000"/>
        </w:rPr>
        <w:fldChar w:fldCharType="end"/>
      </w:r>
      <w:r>
        <w:rPr>
          <w:rFonts w:hint="eastAsia"/>
          <w:color w:val="000000"/>
        </w:rPr>
        <w:fldChar w:fldCharType="end"/>
      </w:r>
    </w:p>
    <w:p w14:paraId="16F5026A">
      <w:pPr>
        <w:pStyle w:val="169"/>
        <w:tabs>
          <w:tab w:val="right" w:leader="dot" w:pos="9118"/>
        </w:tabs>
        <w:rPr>
          <w:rFonts w:hint="eastAsia"/>
        </w:rPr>
      </w:pPr>
      <w:r>
        <w:fldChar w:fldCharType="begin"/>
      </w:r>
      <w:r>
        <w:instrText xml:space="preserve"> HYPERLINK \l "_Toc235146494" </w:instrText>
      </w:r>
      <w:r>
        <w:fldChar w:fldCharType="separate"/>
      </w:r>
      <w:r>
        <w:rPr>
          <w:rFonts w:eastAsia="黑体"/>
          <w:color w:val="000000"/>
        </w:rPr>
        <w:t>4.1  输出、曲线与导出</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_Toc235146494 \h</w:instrText>
      </w:r>
      <w:r>
        <w:rPr>
          <w:rFonts w:hint="eastAsia"/>
          <w:color w:val="000000"/>
        </w:rPr>
        <w:instrText xml:space="preserve"> </w:instrText>
      </w:r>
      <w:r>
        <w:rPr>
          <w:rFonts w:hint="eastAsia"/>
          <w:color w:val="000000"/>
        </w:rPr>
        <w:fldChar w:fldCharType="separate"/>
      </w:r>
      <w:r>
        <w:rPr>
          <w:color w:val="000000"/>
        </w:rPr>
        <w:t>11</w:t>
      </w:r>
      <w:r>
        <w:rPr>
          <w:rFonts w:hint="eastAsia"/>
          <w:color w:val="000000"/>
        </w:rPr>
        <w:fldChar w:fldCharType="end"/>
      </w:r>
      <w:r>
        <w:rPr>
          <w:rFonts w:hint="eastAsia"/>
          <w:color w:val="000000"/>
        </w:rPr>
        <w:fldChar w:fldCharType="end"/>
      </w:r>
    </w:p>
    <w:p w14:paraId="506A583A">
      <w:pPr>
        <w:pStyle w:val="169"/>
        <w:tabs>
          <w:tab w:val="right" w:leader="dot" w:pos="9118"/>
        </w:tabs>
        <w:rPr>
          <w:rFonts w:hint="eastAsia"/>
        </w:rPr>
      </w:pPr>
      <w:r>
        <w:fldChar w:fldCharType="begin"/>
      </w:r>
      <w:r>
        <w:instrText xml:space="preserve"> HYPERLINK \l "_Toc235146495" </w:instrText>
      </w:r>
      <w:r>
        <w:fldChar w:fldCharType="separate"/>
      </w:r>
      <w:r>
        <w:rPr>
          <w:rFonts w:eastAsia="黑体"/>
          <w:color w:val="000000"/>
        </w:rPr>
        <w:t>4.2  指标与证据</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_Toc235146495 \h</w:instrText>
      </w:r>
      <w:r>
        <w:rPr>
          <w:rFonts w:hint="eastAsia"/>
          <w:color w:val="000000"/>
        </w:rPr>
        <w:instrText xml:space="preserve"> </w:instrText>
      </w:r>
      <w:r>
        <w:rPr>
          <w:rFonts w:hint="eastAsia"/>
          <w:color w:val="000000"/>
        </w:rPr>
        <w:fldChar w:fldCharType="separate"/>
      </w:r>
      <w:r>
        <w:rPr>
          <w:color w:val="000000"/>
        </w:rPr>
        <w:t>12</w:t>
      </w:r>
      <w:r>
        <w:rPr>
          <w:rFonts w:hint="eastAsia"/>
          <w:color w:val="000000"/>
        </w:rPr>
        <w:fldChar w:fldCharType="end"/>
      </w:r>
      <w:r>
        <w:rPr>
          <w:rFonts w:hint="eastAsia"/>
          <w:color w:val="000000"/>
        </w:rPr>
        <w:fldChar w:fldCharType="end"/>
      </w:r>
    </w:p>
    <w:p w14:paraId="1AC779FF">
      <w:pPr>
        <w:pStyle w:val="168"/>
        <w:tabs>
          <w:tab w:val="right" w:leader="dot" w:pos="9118"/>
        </w:tabs>
        <w:rPr>
          <w:rFonts w:hint="eastAsia"/>
        </w:rPr>
      </w:pPr>
      <w:r>
        <w:fldChar w:fldCharType="begin"/>
      </w:r>
      <w:r>
        <w:instrText xml:space="preserve"> HYPERLINK \l "_Toc235146496" </w:instrText>
      </w:r>
      <w:r>
        <w:fldChar w:fldCharType="separate"/>
      </w:r>
      <w:r>
        <w:rPr>
          <w:rFonts w:eastAsia="黑体"/>
          <w:color w:val="000000"/>
        </w:rPr>
        <w:t>第5章  接口与模块说明</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_Toc235146496 \h</w:instrText>
      </w:r>
      <w:r>
        <w:rPr>
          <w:rFonts w:hint="eastAsia"/>
          <w:color w:val="000000"/>
        </w:rPr>
        <w:instrText xml:space="preserve"> </w:instrText>
      </w:r>
      <w:r>
        <w:rPr>
          <w:rFonts w:hint="eastAsia"/>
          <w:color w:val="000000"/>
        </w:rPr>
        <w:fldChar w:fldCharType="separate"/>
      </w:r>
      <w:r>
        <w:rPr>
          <w:color w:val="000000"/>
        </w:rPr>
        <w:t>14</w:t>
      </w:r>
      <w:r>
        <w:rPr>
          <w:rFonts w:hint="eastAsia"/>
          <w:color w:val="000000"/>
        </w:rPr>
        <w:fldChar w:fldCharType="end"/>
      </w:r>
      <w:r>
        <w:rPr>
          <w:rFonts w:hint="eastAsia"/>
          <w:color w:val="000000"/>
        </w:rPr>
        <w:fldChar w:fldCharType="end"/>
      </w:r>
    </w:p>
    <w:p w14:paraId="719FE5B4">
      <w:pPr>
        <w:pStyle w:val="169"/>
        <w:tabs>
          <w:tab w:val="right" w:leader="dot" w:pos="9118"/>
        </w:tabs>
        <w:rPr>
          <w:rFonts w:hint="eastAsia"/>
        </w:rPr>
      </w:pPr>
      <w:r>
        <w:fldChar w:fldCharType="begin"/>
      </w:r>
      <w:r>
        <w:instrText xml:space="preserve"> HYPERLINK \l "_Toc235146497" </w:instrText>
      </w:r>
      <w:r>
        <w:fldChar w:fldCharType="separate"/>
      </w:r>
      <w:r>
        <w:rPr>
          <w:rFonts w:eastAsia="黑体"/>
          <w:color w:val="000000"/>
        </w:rPr>
        <w:t>5.1  运行接口</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_Toc235146497 \h</w:instrText>
      </w:r>
      <w:r>
        <w:rPr>
          <w:rFonts w:hint="eastAsia"/>
          <w:color w:val="000000"/>
        </w:rPr>
        <w:instrText xml:space="preserve"> </w:instrText>
      </w:r>
      <w:r>
        <w:rPr>
          <w:rFonts w:hint="eastAsia"/>
          <w:color w:val="000000"/>
        </w:rPr>
        <w:fldChar w:fldCharType="separate"/>
      </w:r>
      <w:r>
        <w:rPr>
          <w:color w:val="000000"/>
        </w:rPr>
        <w:t>14</w:t>
      </w:r>
      <w:r>
        <w:rPr>
          <w:rFonts w:hint="eastAsia"/>
          <w:color w:val="000000"/>
        </w:rPr>
        <w:fldChar w:fldCharType="end"/>
      </w:r>
      <w:r>
        <w:rPr>
          <w:rFonts w:hint="eastAsia"/>
          <w:color w:val="000000"/>
        </w:rPr>
        <w:fldChar w:fldCharType="end"/>
      </w:r>
    </w:p>
    <w:p w14:paraId="1E3C21D4">
      <w:pPr>
        <w:pStyle w:val="169"/>
        <w:tabs>
          <w:tab w:val="right" w:leader="dot" w:pos="9118"/>
        </w:tabs>
        <w:rPr>
          <w:rFonts w:hint="eastAsia"/>
        </w:rPr>
      </w:pPr>
      <w:r>
        <w:fldChar w:fldCharType="begin"/>
      </w:r>
      <w:r>
        <w:instrText xml:space="preserve"> HYPERLINK \l "_Toc235146498" </w:instrText>
      </w:r>
      <w:r>
        <w:fldChar w:fldCharType="separate"/>
      </w:r>
      <w:r>
        <w:rPr>
          <w:rFonts w:eastAsia="黑体"/>
          <w:color w:val="000000"/>
        </w:rPr>
        <w:t>5.2  控制器接口与加载顺序</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_Toc235146498 \h</w:instrText>
      </w:r>
      <w:r>
        <w:rPr>
          <w:rFonts w:hint="eastAsia"/>
          <w:color w:val="000000"/>
        </w:rPr>
        <w:instrText xml:space="preserve"> </w:instrText>
      </w:r>
      <w:r>
        <w:rPr>
          <w:rFonts w:hint="eastAsia"/>
          <w:color w:val="000000"/>
        </w:rPr>
        <w:fldChar w:fldCharType="separate"/>
      </w:r>
      <w:r>
        <w:rPr>
          <w:color w:val="000000"/>
        </w:rPr>
        <w:t>14</w:t>
      </w:r>
      <w:r>
        <w:rPr>
          <w:rFonts w:hint="eastAsia"/>
          <w:color w:val="000000"/>
        </w:rPr>
        <w:fldChar w:fldCharType="end"/>
      </w:r>
      <w:r>
        <w:rPr>
          <w:rFonts w:hint="eastAsia"/>
          <w:color w:val="000000"/>
        </w:rPr>
        <w:fldChar w:fldCharType="end"/>
      </w:r>
    </w:p>
    <w:p w14:paraId="03EA8A2D">
      <w:pPr>
        <w:pStyle w:val="168"/>
        <w:tabs>
          <w:tab w:val="right" w:leader="dot" w:pos="9118"/>
        </w:tabs>
        <w:rPr>
          <w:rFonts w:hint="eastAsia"/>
        </w:rPr>
      </w:pPr>
      <w:r>
        <w:fldChar w:fldCharType="begin"/>
      </w:r>
      <w:r>
        <w:instrText xml:space="preserve"> HYPERLINK \l "_Toc235146499" </w:instrText>
      </w:r>
      <w:r>
        <w:fldChar w:fldCharType="separate"/>
      </w:r>
      <w:r>
        <w:rPr>
          <w:rFonts w:eastAsia="黑体"/>
          <w:color w:val="000000"/>
        </w:rPr>
        <w:t>第6章  故障排查与适用边界</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_Toc235146499 \h</w:instrText>
      </w:r>
      <w:r>
        <w:rPr>
          <w:rFonts w:hint="eastAsia"/>
          <w:color w:val="000000"/>
        </w:rPr>
        <w:instrText xml:space="preserve"> </w:instrText>
      </w:r>
      <w:r>
        <w:rPr>
          <w:rFonts w:hint="eastAsia"/>
          <w:color w:val="000000"/>
        </w:rPr>
        <w:fldChar w:fldCharType="separate"/>
      </w:r>
      <w:r>
        <w:rPr>
          <w:color w:val="000000"/>
        </w:rPr>
        <w:t>17</w:t>
      </w:r>
      <w:r>
        <w:rPr>
          <w:rFonts w:hint="eastAsia"/>
          <w:color w:val="000000"/>
        </w:rPr>
        <w:fldChar w:fldCharType="end"/>
      </w:r>
      <w:r>
        <w:rPr>
          <w:rFonts w:hint="eastAsia"/>
          <w:color w:val="000000"/>
        </w:rPr>
        <w:fldChar w:fldCharType="end"/>
      </w:r>
    </w:p>
    <w:p w14:paraId="57C390C0">
      <w:pPr>
        <w:pStyle w:val="169"/>
        <w:tabs>
          <w:tab w:val="right" w:leader="dot" w:pos="9118"/>
        </w:tabs>
        <w:rPr>
          <w:rFonts w:hint="eastAsia"/>
        </w:rPr>
      </w:pPr>
      <w:r>
        <w:fldChar w:fldCharType="begin"/>
      </w:r>
      <w:r>
        <w:instrText xml:space="preserve"> HYPERLINK \l "_Toc235146500" </w:instrText>
      </w:r>
      <w:r>
        <w:fldChar w:fldCharType="separate"/>
      </w:r>
      <w:r>
        <w:rPr>
          <w:rFonts w:eastAsia="黑体"/>
          <w:color w:val="000000"/>
        </w:rPr>
        <w:t>6.1  高频故障与恢复</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_Toc235146500 \h</w:instrText>
      </w:r>
      <w:r>
        <w:rPr>
          <w:rFonts w:hint="eastAsia"/>
          <w:color w:val="000000"/>
        </w:rPr>
        <w:instrText xml:space="preserve"> </w:instrText>
      </w:r>
      <w:r>
        <w:rPr>
          <w:rFonts w:hint="eastAsia"/>
          <w:color w:val="000000"/>
        </w:rPr>
        <w:fldChar w:fldCharType="separate"/>
      </w:r>
      <w:r>
        <w:rPr>
          <w:color w:val="000000"/>
        </w:rPr>
        <w:t>17</w:t>
      </w:r>
      <w:r>
        <w:rPr>
          <w:rFonts w:hint="eastAsia"/>
          <w:color w:val="000000"/>
        </w:rPr>
        <w:fldChar w:fldCharType="end"/>
      </w:r>
      <w:r>
        <w:rPr>
          <w:rFonts w:hint="eastAsia"/>
          <w:color w:val="000000"/>
        </w:rPr>
        <w:fldChar w:fldCharType="end"/>
      </w:r>
    </w:p>
    <w:p w14:paraId="0494FCA1">
      <w:pPr>
        <w:pStyle w:val="169"/>
        <w:tabs>
          <w:tab w:val="right" w:leader="dot" w:pos="9118"/>
        </w:tabs>
        <w:rPr>
          <w:rFonts w:hint="eastAsia"/>
        </w:rPr>
      </w:pPr>
      <w:r>
        <w:fldChar w:fldCharType="begin"/>
      </w:r>
      <w:r>
        <w:instrText xml:space="preserve"> HYPERLINK \l "_Toc235146501" </w:instrText>
      </w:r>
      <w:r>
        <w:fldChar w:fldCharType="separate"/>
      </w:r>
      <w:r>
        <w:rPr>
          <w:rFonts w:eastAsia="黑体"/>
          <w:color w:val="000000"/>
        </w:rPr>
        <w:t>6.2  使用边界与命令速查</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_Toc235146501 \h</w:instrText>
      </w:r>
      <w:r>
        <w:rPr>
          <w:rFonts w:hint="eastAsia"/>
          <w:color w:val="000000"/>
        </w:rPr>
        <w:instrText xml:space="preserve"> </w:instrText>
      </w:r>
      <w:r>
        <w:rPr>
          <w:rFonts w:hint="eastAsia"/>
          <w:color w:val="000000"/>
        </w:rPr>
        <w:fldChar w:fldCharType="separate"/>
      </w:r>
      <w:r>
        <w:rPr>
          <w:color w:val="000000"/>
        </w:rPr>
        <w:t>17</w:t>
      </w:r>
      <w:r>
        <w:rPr>
          <w:rFonts w:hint="eastAsia"/>
          <w:color w:val="000000"/>
        </w:rPr>
        <w:fldChar w:fldCharType="end"/>
      </w:r>
      <w:r>
        <w:rPr>
          <w:rFonts w:hint="eastAsia"/>
          <w:color w:val="000000"/>
        </w:rPr>
        <w:fldChar w:fldCharType="end"/>
      </w:r>
    </w:p>
    <w:p w14:paraId="62AC6F06">
      <w:pPr>
        <w:pStyle w:val="168"/>
        <w:tabs>
          <w:tab w:val="right" w:leader="dot" w:pos="9118"/>
        </w:tabs>
        <w:rPr>
          <w:rFonts w:hint="eastAsia"/>
        </w:rPr>
      </w:pPr>
      <w:r>
        <w:fldChar w:fldCharType="begin"/>
      </w:r>
      <w:r>
        <w:instrText xml:space="preserve"> HYPERLINK \l "_Toc235146502" </w:instrText>
      </w:r>
      <w:r>
        <w:fldChar w:fldCharType="separate"/>
      </w:r>
      <w:r>
        <w:rPr>
          <w:rFonts w:eastAsia="黑体"/>
          <w:color w:val="000000"/>
        </w:rPr>
        <w:t>手册总结</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_Toc235146502 \h</w:instrText>
      </w:r>
      <w:r>
        <w:rPr>
          <w:rFonts w:hint="eastAsia"/>
          <w:color w:val="000000"/>
        </w:rPr>
        <w:instrText xml:space="preserve"> </w:instrText>
      </w:r>
      <w:r>
        <w:rPr>
          <w:rFonts w:hint="eastAsia"/>
          <w:color w:val="000000"/>
        </w:rPr>
        <w:fldChar w:fldCharType="separate"/>
      </w:r>
      <w:r>
        <w:rPr>
          <w:color w:val="000000"/>
        </w:rPr>
        <w:t>18</w:t>
      </w:r>
      <w:r>
        <w:rPr>
          <w:rFonts w:hint="eastAsia"/>
          <w:color w:val="000000"/>
        </w:rPr>
        <w:fldChar w:fldCharType="end"/>
      </w:r>
      <w:r>
        <w:rPr>
          <w:rFonts w:hint="eastAsia"/>
          <w:color w:val="000000"/>
        </w:rPr>
        <w:fldChar w:fldCharType="end"/>
      </w:r>
    </w:p>
    <w:p w14:paraId="566F9BD7">
      <w:pPr>
        <w:ind w:firstLine="0"/>
      </w:pPr>
      <w:r>
        <w:rPr>
          <w:color w:val="000000"/>
          <w:szCs w:val="21"/>
        </w:rPr>
        <w:fldChar w:fldCharType="end"/>
      </w:r>
    </w:p>
    <w:p w14:paraId="2E2E73E7">
      <w:pPr>
        <w:widowControl/>
        <w:sectPr>
          <w:headerReference r:id="rId6" w:type="default"/>
          <w:footerReference r:id="rId7" w:type="default"/>
          <w:pgSz w:w="11906" w:h="16838"/>
          <w:pgMar w:top="1191" w:right="1361" w:bottom="1134" w:left="1417" w:header="567" w:footer="567" w:gutter="0"/>
          <w:cols w:space="720" w:num="1"/>
          <w:vAlign w:val="top"/>
          <w:docGrid w:linePitch="360" w:charSpace="0"/>
        </w:sectPr>
      </w:pPr>
    </w:p>
    <w:p w14:paraId="5900DF27">
      <w:pPr>
        <w:pStyle w:val="3"/>
        <w:keepNext/>
        <w:pageBreakBefore w:val="0"/>
        <w:widowControl/>
      </w:pPr>
      <w:bookmarkStart w:id="0" w:name="_Toc235146482"/>
      <w:r>
        <w:rPr>
          <w:rFonts w:ascii="Times New Roman" w:hAnsi="Times New Roman" w:eastAsia="黑体" w:cs="Times New Roman"/>
          <w:color w:val="000000"/>
          <w:sz w:val="32"/>
          <w:szCs w:val="32"/>
        </w:rPr>
        <w:t>第1章  系统概述</w:t>
      </w:r>
      <w:bookmarkEnd w:id="0"/>
    </w:p>
    <w:p w14:paraId="4B3ACDF9">
      <w:pPr>
        <w:widowControl/>
      </w:pPr>
      <w:r>
        <w:rPr>
          <w:rFonts w:ascii="Times New Roman" w:hAnsi="Times New Roman" w:eastAsia="宋体" w:cs="Times New Roman"/>
          <w:color w:val="000000"/>
          <w:sz w:val="21"/>
          <w:szCs w:val="21"/>
        </w:rPr>
        <w:t>本系统面向A8四旋翼无人机位姿控制系统设计优化任务，将场景选择、控制器、赛题四旋翼物理模型、仿真运行、指标计算和结果输出组织为一条可重复运行的工程流程。用户可在同一工程中完成单机悬停与轨迹跟踪、参数变化与扰动测试，以及固定三机编队和近距离安全监督任务。</w:t>
      </w:r>
    </w:p>
    <w:p w14:paraId="212D797C">
      <w:pPr>
        <w:widowControl/>
      </w:pPr>
      <w:r>
        <w:rPr>
          <w:rFonts w:ascii="Times New Roman" w:hAnsi="Times New Roman" w:eastAsia="宋体" w:cs="Times New Roman"/>
          <w:color w:val="000000"/>
          <w:sz w:val="21"/>
          <w:szCs w:val="21"/>
        </w:rPr>
        <w:t>系统默认采用置信门控悬停推力估计增强的约化姿态几何控制与约束感知分配算法（Reduced-Attitude Geometric Control with Constraint-Aware Allocation Enhanced by Confidence-Gated Hover-Thrust Estimation，RA-GCA-CGHTE）。三机安全任务可按需启用预测型成对投影控制障碍函数安全监督器（Predictive Pairwise-Projection Control Barrier Function Safety Supervisor，PP-CBF）。本章从用户视角说明系统组成、可完成的任务和适用范围；具体环境配置、场景复现和接口字段分别见后续章节。</w:t>
      </w:r>
    </w:p>
    <w:p w14:paraId="1AB20522">
      <w:pPr>
        <w:pStyle w:val="4"/>
        <w:keepNext/>
        <w:widowControl/>
      </w:pPr>
      <w:bookmarkStart w:id="1" w:name="_Toc235146483"/>
      <w:r>
        <w:rPr>
          <w:rFonts w:ascii="Times New Roman" w:hAnsi="Times New Roman" w:eastAsia="黑体" w:cs="Times New Roman"/>
          <w:color w:val="000000"/>
          <w:sz w:val="26"/>
          <w:szCs w:val="26"/>
        </w:rPr>
        <w:t>1.1  系统架构与模块</w:t>
      </w:r>
      <w:bookmarkEnd w:id="1"/>
    </w:p>
    <w:p w14:paraId="5DD0CC5A">
      <w:pPr>
        <w:widowControl/>
      </w:pPr>
      <w:r>
        <w:rPr>
          <w:rFonts w:ascii="Times New Roman" w:hAnsi="Times New Roman" w:eastAsia="宋体" w:cs="Times New Roman"/>
          <w:color w:val="000000"/>
          <w:sz w:val="21"/>
          <w:szCs w:val="21"/>
        </w:rPr>
        <w:t>工程提供五个低层控制对象。除默认主算法外，还包括赛题比例-积分-微分控制器（Proportional-Integral-Derivative Controller，PID）、约化姿态几何控制基础构型（Baseline Reduced-Attitude Geometric Control Configuration，RA-GCA/Base）、控制权限优先主动扰动抑制控制（Control-Authority-Prioritized Active Disturbance Rejection Control，CAP-ADRC）和指令代理增量非线性动态逆控制（Command-Proxy Incremental Nonlinear Dynamic Inversion Control，CP-INDI）。这些对象共用赛题物理模型和评价方法，便于查看同条件结果；日常复现路径以RA-GCA-CGHTE为主。图1-1按用户操作顺序概括各模块之间的数据关系。</w:t>
      </w:r>
    </w:p>
    <w:p w14:paraId="07F1E64A">
      <w:pPr>
        <w:keepNext/>
        <w:widowControl/>
        <w:spacing w:before="40" w:after="0"/>
        <w:ind w:firstLine="0"/>
        <w:jc w:val="center"/>
      </w:pPr>
      <w:r>
        <w:rPr>
          <w:rFonts w:ascii="Times New Roman" w:hAnsi="Times New Roman" w:eastAsia="宋体" w:cs="Times New Roman"/>
          <w:color w:val="000000"/>
          <w:sz w:val="21"/>
          <w:szCs w:val="21"/>
        </w:rPr>
        <w:drawing>
          <wp:inline distT="0" distB="0" distL="114300" distR="114300">
            <wp:extent cx="5759450" cy="2047875"/>
            <wp:effectExtent l="0" t="0" r="12700" b="9525"/>
            <wp:docPr id="1" name="Figure 1" descr="图1-1  用户视角下的系统组成与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图1-1  用户视角下的系统组成与数据流"/>
                    <pic:cNvPicPr>
                      <a:picLocks noChangeAspect="1"/>
                    </pic:cNvPicPr>
                  </pic:nvPicPr>
                  <pic:blipFill>
                    <a:blip r:embed="rId12"/>
                    <a:stretch>
                      <a:fillRect/>
                    </a:stretch>
                  </pic:blipFill>
                  <pic:spPr>
                    <a:xfrm>
                      <a:off x="0" y="0"/>
                      <a:ext cx="5760000" cy="2048000"/>
                    </a:xfrm>
                    <a:prstGeom prst="rect">
                      <a:avLst/>
                    </a:prstGeom>
                  </pic:spPr>
                </pic:pic>
              </a:graphicData>
            </a:graphic>
          </wp:inline>
        </w:drawing>
      </w:r>
    </w:p>
    <w:p w14:paraId="260833E6">
      <w:pPr>
        <w:pStyle w:val="15"/>
        <w:keepNext/>
        <w:keepLines/>
        <w:widowControl/>
        <w:ind w:firstLine="0"/>
        <w:jc w:val="center"/>
      </w:pPr>
      <w:r>
        <w:rPr>
          <w:rFonts w:ascii="Times New Roman" w:hAnsi="Times New Roman" w:eastAsia="宋体" w:cs="Times New Roman"/>
          <w:color w:val="000000"/>
          <w:sz w:val="19"/>
          <w:szCs w:val="19"/>
        </w:rPr>
        <w:t>图1-1  用户视角下的系统组成与数据流</w:t>
      </w:r>
    </w:p>
    <w:p w14:paraId="7E6BAD5F">
      <w:pPr>
        <w:widowControl/>
        <w:spacing w:after="20" w:line="288" w:lineRule="auto"/>
        <w:ind w:firstLine="0"/>
      </w:pPr>
      <w:r>
        <w:rPr>
          <w:rFonts w:ascii="Times New Roman" w:hAnsi="Times New Roman" w:eastAsia="宋体" w:cs="Times New Roman"/>
          <w:b/>
          <w:color w:val="000000"/>
          <w:sz w:val="21"/>
          <w:szCs w:val="21"/>
        </w:rPr>
        <w:t>注：</w:t>
      </w:r>
      <w:r>
        <w:rPr>
          <w:rFonts w:ascii="Times New Roman" w:hAnsi="Times New Roman" w:eastAsia="宋体" w:cs="Times New Roman"/>
          <w:color w:val="000000"/>
          <w:sz w:val="21"/>
          <w:szCs w:val="21"/>
        </w:rPr>
        <w:t>PP-CBF仅在三机安全任务中位于参考生成与三套低层控制器之间；单机任务直接进入所选低层控制器。</w:t>
      </w:r>
    </w:p>
    <w:p w14:paraId="3F9D8169">
      <w:pPr>
        <w:widowControl/>
      </w:pPr>
      <w:r>
        <w:rPr>
          <w:rFonts w:ascii="Times New Roman" w:hAnsi="Times New Roman" w:eastAsia="宋体" w:cs="Times New Roman"/>
          <w:color w:val="000000"/>
          <w:sz w:val="21"/>
          <w:szCs w:val="21"/>
        </w:rPr>
        <w:t>三机任务可按需启用PP-CBF。PP-CBF根据三机相对位置和速度修正上层参考，三套RA-GCA-CGHTE继续负责各无人机的低层跟踪。PP-CBF独立于五个低层控制对象。</w:t>
      </w:r>
    </w:p>
    <w:p w14:paraId="21014AD6">
      <w:pPr>
        <w:keepNext/>
        <w:widowControl/>
      </w:pPr>
      <w:r>
        <w:rPr>
          <w:rFonts w:ascii="Times New Roman" w:hAnsi="Times New Roman" w:eastAsia="宋体" w:cs="Times New Roman"/>
          <w:color w:val="000000"/>
          <w:sz w:val="21"/>
          <w:szCs w:val="21"/>
        </w:rPr>
        <w:t>表1-1汇总各模块的主要职责、用户入口和可见结果。</w:t>
      </w:r>
    </w:p>
    <w:p w14:paraId="7063581F">
      <w:pPr>
        <w:pStyle w:val="15"/>
        <w:keepNext/>
        <w:keepLines/>
        <w:widowControl/>
        <w:spacing w:before="60" w:after="60"/>
        <w:ind w:firstLine="0"/>
        <w:jc w:val="center"/>
      </w:pPr>
      <w:r>
        <w:rPr>
          <w:rFonts w:ascii="Times New Roman" w:hAnsi="Times New Roman" w:eastAsia="宋体" w:cs="Times New Roman"/>
          <w:color w:val="000000"/>
          <w:sz w:val="19"/>
          <w:szCs w:val="19"/>
        </w:rPr>
        <w:t>表1-1  系统模块、用户入口与主要输出</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994"/>
        <w:gridCol w:w="3370"/>
        <w:gridCol w:w="2180"/>
        <w:gridCol w:w="2520"/>
      </w:tblGrid>
      <w:tr w14:paraId="3D0738E9">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36C947EA">
            <w:pPr>
              <w:spacing w:after="0" w:line="252" w:lineRule="auto"/>
              <w:ind w:firstLine="0"/>
              <w:jc w:val="center"/>
            </w:pPr>
            <w:r>
              <w:rPr>
                <w:rFonts w:ascii="Times New Roman" w:hAnsi="Times New Roman" w:eastAsia="宋体" w:cs="Times New Roman"/>
                <w:b/>
                <w:color w:val="000000"/>
                <w:sz w:val="17"/>
                <w:szCs w:val="17"/>
              </w:rPr>
              <w:t>模块</w:t>
            </w:r>
          </w:p>
        </w:tc>
        <w:tc>
          <w:tcPr>
            <w:tcW w:w="0" w:type="auto"/>
            <w:tcBorders>
              <w:bottom w:val="single" w:color="000000" w:sz="8" w:space="0"/>
            </w:tcBorders>
            <w:tcMar>
              <w:top w:w="55" w:type="dxa"/>
              <w:left w:w="70" w:type="dxa"/>
              <w:bottom w:w="55" w:type="dxa"/>
              <w:right w:w="70" w:type="dxa"/>
            </w:tcMar>
            <w:vAlign w:val="center"/>
          </w:tcPr>
          <w:p w14:paraId="58AB89A9">
            <w:pPr>
              <w:spacing w:after="0" w:line="252" w:lineRule="auto"/>
              <w:ind w:firstLine="0"/>
              <w:jc w:val="center"/>
            </w:pPr>
            <w:r>
              <w:rPr>
                <w:rFonts w:ascii="Times New Roman" w:hAnsi="Times New Roman" w:eastAsia="宋体" w:cs="Times New Roman"/>
                <w:b/>
                <w:color w:val="000000"/>
                <w:sz w:val="17"/>
                <w:szCs w:val="17"/>
              </w:rPr>
              <w:t>主要职责</w:t>
            </w:r>
          </w:p>
        </w:tc>
        <w:tc>
          <w:tcPr>
            <w:tcW w:w="0" w:type="auto"/>
            <w:tcBorders>
              <w:bottom w:val="single" w:color="000000" w:sz="8" w:space="0"/>
            </w:tcBorders>
            <w:tcMar>
              <w:top w:w="55" w:type="dxa"/>
              <w:left w:w="70" w:type="dxa"/>
              <w:bottom w:w="55" w:type="dxa"/>
              <w:right w:w="70" w:type="dxa"/>
            </w:tcMar>
            <w:vAlign w:val="center"/>
          </w:tcPr>
          <w:p w14:paraId="7A79B1E1">
            <w:pPr>
              <w:spacing w:after="0" w:line="252" w:lineRule="auto"/>
              <w:ind w:firstLine="0"/>
              <w:jc w:val="center"/>
            </w:pPr>
            <w:r>
              <w:rPr>
                <w:rFonts w:ascii="Times New Roman" w:hAnsi="Times New Roman" w:eastAsia="宋体" w:cs="Times New Roman"/>
                <w:b/>
                <w:color w:val="000000"/>
                <w:sz w:val="17"/>
                <w:szCs w:val="17"/>
              </w:rPr>
              <w:t>用户入口</w:t>
            </w:r>
          </w:p>
        </w:tc>
        <w:tc>
          <w:tcPr>
            <w:tcW w:w="0" w:type="auto"/>
            <w:tcBorders>
              <w:bottom w:val="single" w:color="000000" w:sz="8" w:space="0"/>
            </w:tcBorders>
            <w:tcMar>
              <w:top w:w="55" w:type="dxa"/>
              <w:left w:w="70" w:type="dxa"/>
              <w:bottom w:w="55" w:type="dxa"/>
              <w:right w:w="70" w:type="dxa"/>
            </w:tcMar>
            <w:vAlign w:val="center"/>
          </w:tcPr>
          <w:p w14:paraId="763C8BDA">
            <w:pPr>
              <w:spacing w:after="0" w:line="252" w:lineRule="auto"/>
              <w:ind w:firstLine="0"/>
              <w:jc w:val="center"/>
            </w:pPr>
            <w:r>
              <w:rPr>
                <w:rFonts w:ascii="Times New Roman" w:hAnsi="Times New Roman" w:eastAsia="宋体" w:cs="Times New Roman"/>
                <w:b/>
                <w:color w:val="000000"/>
                <w:sz w:val="17"/>
                <w:szCs w:val="17"/>
              </w:rPr>
              <w:t>可见结果</w:t>
            </w:r>
          </w:p>
        </w:tc>
      </w:tr>
      <w:tr w14:paraId="7AC4B35F">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5A1F2658">
            <w:pPr>
              <w:spacing w:after="0" w:line="252" w:lineRule="auto"/>
              <w:ind w:firstLine="0"/>
              <w:jc w:val="center"/>
            </w:pPr>
            <w:r>
              <w:rPr>
                <w:rFonts w:ascii="Times New Roman" w:hAnsi="Times New Roman" w:eastAsia="宋体" w:cs="Times New Roman"/>
                <w:b/>
                <w:color w:val="000000"/>
                <w:sz w:val="17"/>
                <w:szCs w:val="17"/>
              </w:rPr>
              <w:t>任务与场景</w:t>
            </w:r>
          </w:p>
        </w:tc>
        <w:tc>
          <w:tcPr>
            <w:tcW w:w="0" w:type="auto"/>
            <w:tcMar>
              <w:top w:w="55" w:type="dxa"/>
              <w:left w:w="70" w:type="dxa"/>
              <w:bottom w:w="55" w:type="dxa"/>
              <w:right w:w="70" w:type="dxa"/>
            </w:tcMar>
            <w:vAlign w:val="center"/>
          </w:tcPr>
          <w:p w14:paraId="3AC1240E">
            <w:pPr>
              <w:spacing w:after="0" w:line="252" w:lineRule="auto"/>
              <w:ind w:firstLine="0"/>
              <w:jc w:val="center"/>
            </w:pPr>
            <w:r>
              <w:rPr>
                <w:rFonts w:ascii="Times New Roman" w:hAnsi="Times New Roman" w:eastAsia="宋体" w:cs="Times New Roman"/>
                <w:color w:val="000000"/>
                <w:sz w:val="17"/>
                <w:szCs w:val="17"/>
              </w:rPr>
              <w:t>生成参考轨迹、初始条件和参数或扰动工况</w:t>
            </w:r>
          </w:p>
        </w:tc>
        <w:tc>
          <w:tcPr>
            <w:tcW w:w="0" w:type="auto"/>
            <w:tcMar>
              <w:top w:w="55" w:type="dxa"/>
              <w:left w:w="70" w:type="dxa"/>
              <w:bottom w:w="55" w:type="dxa"/>
              <w:right w:w="70" w:type="dxa"/>
            </w:tcMar>
            <w:vAlign w:val="center"/>
          </w:tcPr>
          <w:p w14:paraId="10913893">
            <w:pPr>
              <w:spacing w:after="0" w:line="252" w:lineRule="auto"/>
              <w:ind w:firstLine="0"/>
              <w:jc w:val="center"/>
            </w:pPr>
            <w:r>
              <w:rPr>
                <w:rFonts w:ascii="Times New Roman" w:hAnsi="Times New Roman" w:eastAsia="宋体" w:cs="Times New Roman"/>
                <w:color w:val="000000"/>
                <w:sz w:val="17"/>
                <w:szCs w:val="17"/>
              </w:rPr>
              <w:t>选择任务</w:t>
            </w:r>
          </w:p>
        </w:tc>
        <w:tc>
          <w:tcPr>
            <w:tcW w:w="0" w:type="auto"/>
            <w:tcMar>
              <w:top w:w="55" w:type="dxa"/>
              <w:left w:w="70" w:type="dxa"/>
              <w:bottom w:w="55" w:type="dxa"/>
              <w:right w:w="70" w:type="dxa"/>
            </w:tcMar>
            <w:vAlign w:val="center"/>
          </w:tcPr>
          <w:p w14:paraId="7B6B1342">
            <w:pPr>
              <w:spacing w:after="0" w:line="252" w:lineRule="auto"/>
              <w:ind w:firstLine="0"/>
              <w:jc w:val="center"/>
            </w:pPr>
            <w:r>
              <w:rPr>
                <w:rFonts w:ascii="Times New Roman" w:hAnsi="Times New Roman" w:eastAsia="宋体" w:cs="Times New Roman"/>
                <w:color w:val="000000"/>
                <w:sz w:val="17"/>
                <w:szCs w:val="17"/>
              </w:rPr>
              <w:t>参考信号与场景状态</w:t>
            </w:r>
          </w:p>
        </w:tc>
      </w:tr>
      <w:tr w14:paraId="52EC6CCA">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34A96F49">
            <w:pPr>
              <w:spacing w:after="0" w:line="252" w:lineRule="auto"/>
              <w:ind w:firstLine="0"/>
              <w:jc w:val="center"/>
            </w:pPr>
            <w:r>
              <w:rPr>
                <w:rFonts w:ascii="Times New Roman" w:hAnsi="Times New Roman" w:eastAsia="宋体" w:cs="Times New Roman"/>
                <w:b/>
                <w:color w:val="000000"/>
                <w:sz w:val="17"/>
                <w:szCs w:val="17"/>
              </w:rPr>
              <w:t>低层控制</w:t>
            </w:r>
          </w:p>
        </w:tc>
        <w:tc>
          <w:tcPr>
            <w:tcW w:w="0" w:type="auto"/>
            <w:tcMar>
              <w:top w:w="55" w:type="dxa"/>
              <w:left w:w="70" w:type="dxa"/>
              <w:bottom w:w="55" w:type="dxa"/>
              <w:right w:w="70" w:type="dxa"/>
            </w:tcMar>
            <w:vAlign w:val="center"/>
          </w:tcPr>
          <w:p w14:paraId="5704C928">
            <w:pPr>
              <w:spacing w:after="0" w:line="252" w:lineRule="auto"/>
              <w:ind w:firstLine="0"/>
              <w:jc w:val="center"/>
            </w:pPr>
            <w:r>
              <w:rPr>
                <w:rFonts w:ascii="Times New Roman" w:hAnsi="Times New Roman" w:eastAsia="宋体" w:cs="Times New Roman"/>
                <w:color w:val="000000"/>
                <w:sz w:val="17"/>
                <w:szCs w:val="17"/>
              </w:rPr>
              <w:t>根据参考和状态生成四路电机指令</w:t>
            </w:r>
          </w:p>
        </w:tc>
        <w:tc>
          <w:tcPr>
            <w:tcW w:w="0" w:type="auto"/>
            <w:tcMar>
              <w:top w:w="55" w:type="dxa"/>
              <w:left w:w="70" w:type="dxa"/>
              <w:bottom w:w="55" w:type="dxa"/>
              <w:right w:w="70" w:type="dxa"/>
            </w:tcMar>
            <w:vAlign w:val="center"/>
          </w:tcPr>
          <w:p w14:paraId="377CB470">
            <w:pPr>
              <w:spacing w:after="0" w:line="252" w:lineRule="auto"/>
              <w:ind w:firstLine="0"/>
              <w:jc w:val="center"/>
            </w:pPr>
            <w:r>
              <w:rPr>
                <w:rFonts w:ascii="Times New Roman" w:hAnsi="Times New Roman" w:eastAsia="宋体" w:cs="Times New Roman"/>
                <w:color w:val="000000"/>
                <w:sz w:val="17"/>
                <w:szCs w:val="17"/>
              </w:rPr>
              <w:t>默认主算法或对照对象</w:t>
            </w:r>
          </w:p>
        </w:tc>
        <w:tc>
          <w:tcPr>
            <w:tcW w:w="0" w:type="auto"/>
            <w:tcMar>
              <w:top w:w="55" w:type="dxa"/>
              <w:left w:w="70" w:type="dxa"/>
              <w:bottom w:w="55" w:type="dxa"/>
              <w:right w:w="70" w:type="dxa"/>
            </w:tcMar>
            <w:vAlign w:val="center"/>
          </w:tcPr>
          <w:p w14:paraId="5763D6E7">
            <w:pPr>
              <w:spacing w:after="0" w:line="252" w:lineRule="auto"/>
              <w:ind w:firstLine="0"/>
              <w:jc w:val="center"/>
            </w:pPr>
            <w:r>
              <w:rPr>
                <w:rFonts w:ascii="Times New Roman" w:hAnsi="Times New Roman" w:eastAsia="宋体" w:cs="Times New Roman"/>
                <w:color w:val="000000"/>
                <w:sz w:val="17"/>
                <w:szCs w:val="17"/>
              </w:rPr>
              <w:t>电机指令与控制诊断</w:t>
            </w:r>
          </w:p>
        </w:tc>
      </w:tr>
      <w:tr w14:paraId="007D263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332A159F">
            <w:pPr>
              <w:spacing w:after="0" w:line="252" w:lineRule="auto"/>
              <w:ind w:firstLine="0"/>
              <w:jc w:val="center"/>
            </w:pPr>
            <w:r>
              <w:rPr>
                <w:rFonts w:ascii="Times New Roman" w:hAnsi="Times New Roman" w:eastAsia="宋体" w:cs="Times New Roman"/>
                <w:b/>
                <w:color w:val="000000"/>
                <w:sz w:val="17"/>
                <w:szCs w:val="17"/>
              </w:rPr>
              <w:t>安全监督</w:t>
            </w:r>
          </w:p>
        </w:tc>
        <w:tc>
          <w:tcPr>
            <w:tcW w:w="0" w:type="auto"/>
            <w:tcMar>
              <w:top w:w="55" w:type="dxa"/>
              <w:left w:w="70" w:type="dxa"/>
              <w:bottom w:w="55" w:type="dxa"/>
              <w:right w:w="70" w:type="dxa"/>
            </w:tcMar>
            <w:vAlign w:val="center"/>
          </w:tcPr>
          <w:p w14:paraId="6E34214F">
            <w:pPr>
              <w:spacing w:after="0" w:line="252" w:lineRule="auto"/>
              <w:ind w:firstLine="0"/>
              <w:jc w:val="center"/>
            </w:pPr>
            <w:r>
              <w:rPr>
                <w:rFonts w:ascii="Times New Roman" w:hAnsi="Times New Roman" w:eastAsia="宋体" w:cs="Times New Roman"/>
                <w:color w:val="000000"/>
                <w:sz w:val="17"/>
                <w:szCs w:val="17"/>
              </w:rPr>
              <w:t>三机接近风险出现时按需修正参考</w:t>
            </w:r>
          </w:p>
        </w:tc>
        <w:tc>
          <w:tcPr>
            <w:tcW w:w="0" w:type="auto"/>
            <w:tcMar>
              <w:top w:w="55" w:type="dxa"/>
              <w:left w:w="70" w:type="dxa"/>
              <w:bottom w:w="55" w:type="dxa"/>
              <w:right w:w="70" w:type="dxa"/>
            </w:tcMar>
            <w:vAlign w:val="center"/>
          </w:tcPr>
          <w:p w14:paraId="73A2088A">
            <w:pPr>
              <w:spacing w:after="0" w:line="252" w:lineRule="auto"/>
              <w:ind w:firstLine="0"/>
              <w:jc w:val="center"/>
            </w:pPr>
            <w:r>
              <w:rPr>
                <w:rFonts w:ascii="Times New Roman" w:hAnsi="Times New Roman" w:eastAsia="宋体" w:cs="Times New Roman"/>
                <w:color w:val="000000"/>
                <w:sz w:val="17"/>
                <w:szCs w:val="17"/>
              </w:rPr>
              <w:t>PP-CBF关闭或开启</w:t>
            </w:r>
          </w:p>
        </w:tc>
        <w:tc>
          <w:tcPr>
            <w:tcW w:w="0" w:type="auto"/>
            <w:tcMar>
              <w:top w:w="55" w:type="dxa"/>
              <w:left w:w="70" w:type="dxa"/>
              <w:bottom w:w="55" w:type="dxa"/>
              <w:right w:w="70" w:type="dxa"/>
            </w:tcMar>
            <w:vAlign w:val="center"/>
          </w:tcPr>
          <w:p w14:paraId="773C326D">
            <w:pPr>
              <w:spacing w:after="0" w:line="252" w:lineRule="auto"/>
              <w:ind w:firstLine="0"/>
              <w:jc w:val="center"/>
            </w:pPr>
            <w:r>
              <w:rPr>
                <w:rFonts w:ascii="Times New Roman" w:hAnsi="Times New Roman" w:eastAsia="宋体" w:cs="Times New Roman"/>
                <w:color w:val="000000"/>
                <w:sz w:val="17"/>
                <w:szCs w:val="17"/>
              </w:rPr>
              <w:t>安全参考、最小间距与介入状态</w:t>
            </w:r>
          </w:p>
        </w:tc>
      </w:tr>
      <w:tr w14:paraId="2D23C5F2">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45A30682">
            <w:pPr>
              <w:spacing w:after="0" w:line="252" w:lineRule="auto"/>
              <w:ind w:firstLine="0"/>
              <w:jc w:val="center"/>
            </w:pPr>
            <w:r>
              <w:rPr>
                <w:rFonts w:ascii="Times New Roman" w:hAnsi="Times New Roman" w:eastAsia="宋体" w:cs="Times New Roman"/>
                <w:b/>
                <w:color w:val="000000"/>
                <w:sz w:val="17"/>
                <w:szCs w:val="17"/>
              </w:rPr>
              <w:t>四旋翼模型</w:t>
            </w:r>
          </w:p>
        </w:tc>
        <w:tc>
          <w:tcPr>
            <w:tcW w:w="0" w:type="auto"/>
            <w:tcMar>
              <w:top w:w="55" w:type="dxa"/>
              <w:left w:w="70" w:type="dxa"/>
              <w:bottom w:w="55" w:type="dxa"/>
              <w:right w:w="70" w:type="dxa"/>
            </w:tcMar>
            <w:vAlign w:val="center"/>
          </w:tcPr>
          <w:p w14:paraId="1409DECA">
            <w:pPr>
              <w:spacing w:after="0" w:line="252" w:lineRule="auto"/>
              <w:ind w:firstLine="0"/>
              <w:jc w:val="center"/>
            </w:pPr>
            <w:r>
              <w:rPr>
                <w:rFonts w:ascii="Times New Roman" w:hAnsi="Times New Roman" w:eastAsia="宋体" w:cs="Times New Roman"/>
                <w:color w:val="000000"/>
                <w:sz w:val="17"/>
                <w:szCs w:val="17"/>
              </w:rPr>
              <w:t>计算电机、机体与传感器动态</w:t>
            </w:r>
          </w:p>
        </w:tc>
        <w:tc>
          <w:tcPr>
            <w:tcW w:w="0" w:type="auto"/>
            <w:tcMar>
              <w:top w:w="55" w:type="dxa"/>
              <w:left w:w="70" w:type="dxa"/>
              <w:bottom w:w="55" w:type="dxa"/>
              <w:right w:w="70" w:type="dxa"/>
            </w:tcMar>
            <w:vAlign w:val="center"/>
          </w:tcPr>
          <w:p w14:paraId="51DD21DD">
            <w:pPr>
              <w:spacing w:after="0" w:line="252" w:lineRule="auto"/>
              <w:ind w:firstLine="0"/>
              <w:jc w:val="center"/>
            </w:pPr>
            <w:r>
              <w:rPr>
                <w:rFonts w:ascii="Times New Roman" w:hAnsi="Times New Roman" w:eastAsia="宋体" w:cs="Times New Roman"/>
                <w:color w:val="000000"/>
                <w:sz w:val="17"/>
                <w:szCs w:val="17"/>
              </w:rPr>
              <w:t>赛题给定物理模型</w:t>
            </w:r>
          </w:p>
        </w:tc>
        <w:tc>
          <w:tcPr>
            <w:tcW w:w="0" w:type="auto"/>
            <w:tcMar>
              <w:top w:w="55" w:type="dxa"/>
              <w:left w:w="70" w:type="dxa"/>
              <w:bottom w:w="55" w:type="dxa"/>
              <w:right w:w="70" w:type="dxa"/>
            </w:tcMar>
            <w:vAlign w:val="center"/>
          </w:tcPr>
          <w:p w14:paraId="456C509D">
            <w:pPr>
              <w:spacing w:after="0" w:line="252" w:lineRule="auto"/>
              <w:ind w:firstLine="0"/>
              <w:jc w:val="center"/>
            </w:pPr>
            <w:r>
              <w:rPr>
                <w:rFonts w:ascii="Times New Roman" w:hAnsi="Times New Roman" w:eastAsia="宋体" w:cs="Times New Roman"/>
                <w:color w:val="000000"/>
                <w:sz w:val="17"/>
                <w:szCs w:val="17"/>
              </w:rPr>
              <w:t>位置、速度、姿态和传感器信号</w:t>
            </w:r>
          </w:p>
        </w:tc>
      </w:tr>
      <w:tr w14:paraId="43918013">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2A85C404">
            <w:pPr>
              <w:spacing w:after="0" w:line="252" w:lineRule="auto"/>
              <w:ind w:firstLine="0"/>
              <w:jc w:val="center"/>
            </w:pPr>
            <w:r>
              <w:rPr>
                <w:rFonts w:ascii="Times New Roman" w:hAnsi="Times New Roman" w:eastAsia="宋体" w:cs="Times New Roman"/>
                <w:b/>
                <w:color w:val="000000"/>
                <w:sz w:val="17"/>
                <w:szCs w:val="17"/>
              </w:rPr>
              <w:t>仿真与评价</w:t>
            </w:r>
          </w:p>
        </w:tc>
        <w:tc>
          <w:tcPr>
            <w:tcW w:w="0" w:type="auto"/>
            <w:tcMar>
              <w:top w:w="55" w:type="dxa"/>
              <w:left w:w="70" w:type="dxa"/>
              <w:bottom w:w="55" w:type="dxa"/>
              <w:right w:w="70" w:type="dxa"/>
            </w:tcMar>
            <w:vAlign w:val="center"/>
          </w:tcPr>
          <w:p w14:paraId="50F585AA">
            <w:pPr>
              <w:spacing w:after="0" w:line="252" w:lineRule="auto"/>
              <w:ind w:firstLine="0"/>
              <w:jc w:val="center"/>
            </w:pPr>
            <w:r>
              <w:rPr>
                <w:rFonts w:ascii="Times New Roman" w:hAnsi="Times New Roman" w:eastAsia="宋体" w:cs="Times New Roman"/>
                <w:color w:val="000000"/>
                <w:sz w:val="17"/>
                <w:szCs w:val="17"/>
              </w:rPr>
              <w:t>加载模型、运行场景并计算统一指标</w:t>
            </w:r>
          </w:p>
        </w:tc>
        <w:tc>
          <w:tcPr>
            <w:tcW w:w="0" w:type="auto"/>
            <w:tcMar>
              <w:top w:w="55" w:type="dxa"/>
              <w:left w:w="70" w:type="dxa"/>
              <w:bottom w:w="55" w:type="dxa"/>
              <w:right w:w="70" w:type="dxa"/>
            </w:tcMar>
            <w:vAlign w:val="center"/>
          </w:tcPr>
          <w:p w14:paraId="4B2FE127">
            <w:pPr>
              <w:spacing w:after="0" w:line="252" w:lineRule="auto"/>
              <w:ind w:firstLine="0"/>
              <w:jc w:val="center"/>
            </w:pPr>
            <w:r>
              <w:rPr>
                <w:rFonts w:ascii="Times New Roman" w:hAnsi="Times New Roman" w:eastAsia="宋体" w:cs="Times New Roman"/>
                <w:color w:val="000000"/>
                <w:sz w:val="17"/>
                <w:szCs w:val="17"/>
              </w:rPr>
              <w:t>Sysplorer与Syslab</w:t>
            </w:r>
          </w:p>
        </w:tc>
        <w:tc>
          <w:tcPr>
            <w:tcW w:w="0" w:type="auto"/>
            <w:tcMar>
              <w:top w:w="55" w:type="dxa"/>
              <w:left w:w="70" w:type="dxa"/>
              <w:bottom w:w="55" w:type="dxa"/>
              <w:right w:w="70" w:type="dxa"/>
            </w:tcMar>
            <w:vAlign w:val="center"/>
          </w:tcPr>
          <w:p w14:paraId="4E25677E">
            <w:pPr>
              <w:spacing w:after="0" w:line="252" w:lineRule="auto"/>
              <w:ind w:firstLine="0"/>
              <w:jc w:val="center"/>
            </w:pPr>
            <w:r>
              <w:rPr>
                <w:rFonts w:ascii="Times New Roman" w:hAnsi="Times New Roman" w:eastAsia="宋体" w:cs="Times New Roman"/>
                <w:color w:val="000000"/>
                <w:sz w:val="17"/>
                <w:szCs w:val="17"/>
              </w:rPr>
              <w:t>运行状态、指标和诊断记录</w:t>
            </w:r>
          </w:p>
        </w:tc>
      </w:tr>
      <w:tr w14:paraId="064C855D">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70E9A54">
            <w:pPr>
              <w:spacing w:after="0" w:line="252" w:lineRule="auto"/>
              <w:ind w:firstLine="0"/>
              <w:jc w:val="center"/>
            </w:pPr>
            <w:r>
              <w:rPr>
                <w:rFonts w:ascii="Times New Roman" w:hAnsi="Times New Roman" w:eastAsia="宋体" w:cs="Times New Roman"/>
                <w:b/>
                <w:color w:val="000000"/>
                <w:sz w:val="17"/>
                <w:szCs w:val="17"/>
              </w:rPr>
              <w:t>结果输出</w:t>
            </w:r>
          </w:p>
        </w:tc>
        <w:tc>
          <w:tcPr>
            <w:tcW w:w="0" w:type="auto"/>
            <w:tcMar>
              <w:top w:w="55" w:type="dxa"/>
              <w:left w:w="70" w:type="dxa"/>
              <w:bottom w:w="55" w:type="dxa"/>
              <w:right w:w="70" w:type="dxa"/>
            </w:tcMar>
            <w:vAlign w:val="center"/>
          </w:tcPr>
          <w:p w14:paraId="388382A4">
            <w:pPr>
              <w:spacing w:after="0" w:line="252" w:lineRule="auto"/>
              <w:ind w:firstLine="0"/>
              <w:jc w:val="center"/>
            </w:pPr>
            <w:r>
              <w:rPr>
                <w:rFonts w:ascii="Times New Roman" w:hAnsi="Times New Roman" w:eastAsia="宋体" w:cs="Times New Roman"/>
                <w:color w:val="000000"/>
                <w:sz w:val="17"/>
                <w:szCs w:val="17"/>
              </w:rPr>
              <w:t>保存并展示可追溯的仿真结果</w:t>
            </w:r>
          </w:p>
        </w:tc>
        <w:tc>
          <w:tcPr>
            <w:tcW w:w="0" w:type="auto"/>
            <w:tcMar>
              <w:top w:w="55" w:type="dxa"/>
              <w:left w:w="70" w:type="dxa"/>
              <w:bottom w:w="55" w:type="dxa"/>
              <w:right w:w="70" w:type="dxa"/>
            </w:tcMar>
            <w:vAlign w:val="center"/>
          </w:tcPr>
          <w:p w14:paraId="05776BCE">
            <w:pPr>
              <w:spacing w:after="0" w:line="252" w:lineRule="auto"/>
              <w:ind w:firstLine="0"/>
              <w:jc w:val="center"/>
            </w:pPr>
            <w:r>
              <w:rPr>
                <w:rFonts w:ascii="Times New Roman" w:hAnsi="Times New Roman" w:eastAsia="宋体" w:cs="Times New Roman"/>
                <w:color w:val="000000"/>
                <w:sz w:val="17"/>
                <w:szCs w:val="17"/>
              </w:rPr>
              <w:t>包外输出目录与结果查看器</w:t>
            </w:r>
          </w:p>
        </w:tc>
        <w:tc>
          <w:tcPr>
            <w:tcW w:w="0" w:type="auto"/>
            <w:tcMar>
              <w:top w:w="55" w:type="dxa"/>
              <w:left w:w="70" w:type="dxa"/>
              <w:bottom w:w="55" w:type="dxa"/>
              <w:right w:w="70" w:type="dxa"/>
            </w:tcMar>
            <w:vAlign w:val="center"/>
          </w:tcPr>
          <w:p w14:paraId="3A8C43E0">
            <w:pPr>
              <w:spacing w:after="0" w:line="252" w:lineRule="auto"/>
              <w:ind w:firstLine="0"/>
              <w:jc w:val="center"/>
            </w:pPr>
            <w:r>
              <w:rPr>
                <w:rFonts w:ascii="Times New Roman" w:hAnsi="Times New Roman" w:eastAsia="宋体" w:cs="Times New Roman"/>
                <w:color w:val="000000"/>
                <w:sz w:val="17"/>
                <w:szCs w:val="17"/>
              </w:rPr>
              <w:t>CSV、曲线、图表和动画</w:t>
            </w:r>
          </w:p>
        </w:tc>
      </w:tr>
    </w:tbl>
    <w:p w14:paraId="2AB67888">
      <w:pPr>
        <w:keepNext/>
        <w:widowControl/>
      </w:pPr>
      <w:r>
        <w:rPr>
          <w:rFonts w:ascii="Times New Roman" w:hAnsi="Times New Roman" w:eastAsia="宋体" w:cs="Times New Roman"/>
          <w:color w:val="000000"/>
          <w:sz w:val="21"/>
          <w:szCs w:val="21"/>
        </w:rPr>
        <w:t>用户选择任务与控制配置后，仿真与评价模块统一保存状态、指标和结果文件；三机安全任务可额外启用PP-CBF。</w:t>
      </w:r>
    </w:p>
    <w:p w14:paraId="150805C4">
      <w:pPr>
        <w:pStyle w:val="4"/>
        <w:keepNext/>
        <w:widowControl/>
      </w:pPr>
      <w:bookmarkStart w:id="2" w:name="_Toc235146484"/>
      <w:r>
        <w:rPr>
          <w:rFonts w:ascii="Times New Roman" w:hAnsi="Times New Roman" w:eastAsia="黑体" w:cs="Times New Roman"/>
          <w:color w:val="000000"/>
          <w:sz w:val="26"/>
          <w:szCs w:val="26"/>
        </w:rPr>
        <w:t>1.2  支持任务与适用范围</w:t>
      </w:r>
      <w:bookmarkEnd w:id="2"/>
    </w:p>
    <w:p w14:paraId="25C1B036">
      <w:pPr>
        <w:widowControl/>
        <w:spacing w:after="30"/>
        <w:ind w:left="408" w:hanging="295"/>
      </w:pPr>
      <w:r>
        <w:rPr>
          <w:rFonts w:ascii="Times New Roman" w:hAnsi="Times New Roman" w:eastAsia="宋体" w:cs="Times New Roman"/>
          <w:color w:val="000000"/>
          <w:sz w:val="21"/>
          <w:szCs w:val="21"/>
        </w:rPr>
        <w:t xml:space="preserve">• </w:t>
      </w:r>
      <w:r>
        <w:rPr>
          <w:rFonts w:ascii="Times New Roman" w:hAnsi="Times New Roman" w:eastAsia="宋体" w:cs="Times New Roman"/>
          <w:b/>
          <w:color w:val="000000"/>
          <w:sz w:val="21"/>
          <w:szCs w:val="21"/>
        </w:rPr>
        <w:t>基础单机任务：</w:t>
      </w:r>
      <w:r>
        <w:rPr>
          <w:rFonts w:ascii="Times New Roman" w:hAnsi="Times New Roman" w:eastAsia="宋体" w:cs="Times New Roman"/>
          <w:color w:val="000000"/>
          <w:sz w:val="21"/>
          <w:szCs w:val="21"/>
        </w:rPr>
        <w:t>定点悬停，X、Y、Z轴独立标准阶跃，分段爬升、螺旋爬升和八字轨迹跟踪。</w:t>
      </w:r>
    </w:p>
    <w:p w14:paraId="7C4C5A74">
      <w:pPr>
        <w:widowControl/>
        <w:spacing w:after="30"/>
        <w:ind w:left="408" w:hanging="295"/>
      </w:pPr>
      <w:r>
        <w:rPr>
          <w:rFonts w:ascii="Times New Roman" w:hAnsi="Times New Roman" w:eastAsia="宋体" w:cs="Times New Roman"/>
          <w:color w:val="000000"/>
          <w:sz w:val="21"/>
          <w:szCs w:val="21"/>
        </w:rPr>
        <w:t xml:space="preserve">• </w:t>
      </w:r>
      <w:r>
        <w:rPr>
          <w:rFonts w:ascii="Times New Roman" w:hAnsi="Times New Roman" w:eastAsia="宋体" w:cs="Times New Roman"/>
          <w:b/>
          <w:color w:val="000000"/>
          <w:sz w:val="21"/>
          <w:szCs w:val="21"/>
        </w:rPr>
        <w:t>鲁棒与诊断任务：</w:t>
      </w:r>
      <w:r>
        <w:rPr>
          <w:rFonts w:ascii="Times New Roman" w:hAnsi="Times New Roman" w:eastAsia="宋体" w:cs="Times New Roman"/>
          <w:color w:val="000000"/>
          <w:sz w:val="21"/>
          <w:szCs w:val="21"/>
        </w:rPr>
        <w:t>参数名义与变化工况、三事件外力扰动、分相位风扰和传感器退化。</w:t>
      </w:r>
    </w:p>
    <w:p w14:paraId="3A950A64">
      <w:pPr>
        <w:widowControl/>
        <w:spacing w:after="30"/>
        <w:ind w:left="408" w:hanging="295"/>
      </w:pPr>
      <w:r>
        <w:rPr>
          <w:rFonts w:ascii="Times New Roman" w:hAnsi="Times New Roman" w:eastAsia="宋体" w:cs="Times New Roman"/>
          <w:color w:val="000000"/>
          <w:sz w:val="21"/>
          <w:szCs w:val="21"/>
        </w:rPr>
        <w:t xml:space="preserve">• </w:t>
      </w:r>
      <w:r>
        <w:rPr>
          <w:rFonts w:ascii="Times New Roman" w:hAnsi="Times New Roman" w:eastAsia="宋体" w:cs="Times New Roman"/>
          <w:b/>
          <w:color w:val="000000"/>
          <w:sz w:val="21"/>
          <w:szCs w:val="21"/>
        </w:rPr>
        <w:t>多机任务：</w:t>
      </w:r>
      <w:r>
        <w:rPr>
          <w:rFonts w:ascii="Times New Roman" w:hAnsi="Times New Roman" w:eastAsia="宋体" w:cs="Times New Roman"/>
          <w:color w:val="000000"/>
          <w:sz w:val="21"/>
          <w:szCs w:val="21"/>
        </w:rPr>
        <w:t>固定三机队形变换，以及相同低层控制器条件下PP-CBF关闭与开启的近距离交汇任务。</w:t>
      </w:r>
    </w:p>
    <w:p w14:paraId="2133A9B9">
      <w:pPr>
        <w:widowControl/>
        <w:spacing w:after="30"/>
        <w:ind w:left="408" w:hanging="295"/>
      </w:pPr>
      <w:r>
        <w:rPr>
          <w:rFonts w:ascii="Times New Roman" w:hAnsi="Times New Roman" w:eastAsia="宋体" w:cs="Times New Roman"/>
          <w:b w:val="0"/>
          <w:color w:val="000000"/>
          <w:sz w:val="21"/>
          <w:szCs w:val="21"/>
        </w:rPr>
        <w:t xml:space="preserve">• </w:t>
      </w:r>
      <w:r>
        <w:rPr>
          <w:rFonts w:ascii="Times New Roman" w:hAnsi="Times New Roman" w:eastAsia="宋体" w:cs="Times New Roman"/>
          <w:b/>
          <w:color w:val="000000"/>
          <w:sz w:val="21"/>
          <w:szCs w:val="21"/>
        </w:rPr>
        <w:t>对照查看：</w:t>
      </w:r>
      <w:r>
        <w:rPr>
          <w:rFonts w:ascii="Times New Roman" w:hAnsi="Times New Roman" w:eastAsia="宋体" w:cs="Times New Roman"/>
          <w:b w:val="0"/>
          <w:color w:val="000000"/>
          <w:sz w:val="21"/>
          <w:szCs w:val="21"/>
        </w:rPr>
        <w:t>PID、RA-GCA/Base、CAP-ADRC和CP-INDI用于读取已有同条件结果；各对象已有测试场景不同；手册仅展示具备同条件数据的对照结果，不提供跨场景总排名。</w:t>
      </w:r>
    </w:p>
    <w:tbl>
      <w:tblPr>
        <w:tblStyle w:val="32"/>
        <w:tblW w:w="0" w:type="auto"/>
        <w:jc w:val="center"/>
        <w:tblBorders>
          <w:top w:val="none" w:color="000000" w:sz="0" w:space="0"/>
          <w:left w:val="single" w:color="2E5D77" w:sz="14"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128"/>
      </w:tblGrid>
      <w:tr w14:paraId="4A1EFF86">
        <w:tblPrEx>
          <w:tblBorders>
            <w:top w:val="none" w:color="000000" w:sz="0" w:space="0"/>
            <w:left w:val="single" w:color="2E5D77" w:sz="14" w:space="0"/>
            <w:bottom w:val="none" w:color="000000" w:sz="0" w:space="0"/>
            <w:right w:val="none" w:color="000000" w:sz="0" w:space="0"/>
            <w:insideH w:val="none" w:color="000000" w:sz="0" w:space="0"/>
            <w:insideV w:val="none" w:color="000000" w:sz="0" w:space="0"/>
          </w:tblBorders>
        </w:tblPrEx>
        <w:trPr>
          <w:cantSplit/>
          <w:jc w:val="center"/>
        </w:trPr>
        <w:tc>
          <w:tcPr>
            <w:tcW w:w="9070" w:type="dxa"/>
            <w:tcMar>
              <w:top w:w="55" w:type="dxa"/>
              <w:left w:w="70" w:type="dxa"/>
              <w:bottom w:w="55" w:type="dxa"/>
              <w:right w:w="70" w:type="dxa"/>
            </w:tcMar>
            <w:vAlign w:val="center"/>
          </w:tcPr>
          <w:p w14:paraId="3F7EFD39">
            <w:pPr>
              <w:spacing w:after="0" w:line="288" w:lineRule="auto"/>
              <w:ind w:firstLine="0"/>
            </w:pPr>
            <w:r>
              <w:rPr>
                <w:rFonts w:ascii="Times New Roman" w:hAnsi="Times New Roman" w:eastAsia="宋体" w:cs="Times New Roman"/>
                <w:b/>
                <w:color w:val="000000"/>
                <w:sz w:val="21"/>
                <w:szCs w:val="21"/>
              </w:rPr>
              <w:t xml:space="preserve">适用范围  </w:t>
            </w:r>
            <w:r>
              <w:rPr>
                <w:rFonts w:ascii="Times New Roman" w:hAnsi="Times New Roman" w:eastAsia="宋体" w:cs="Times New Roman"/>
                <w:b w:val="0"/>
                <w:color w:val="000000"/>
                <w:sz w:val="21"/>
                <w:szCs w:val="21"/>
              </w:rPr>
              <w:t>本手册的操作路径已在Windows和MWORKS Sysplorer/Syslab 2026a环境中验证，其他平台尚未验证。RA-GCA-CGHTE用于位置与约化姿态控制，不提供独立持续偏航跟踪；四项推力估计增强参数在随手册提供的工程中固定，普通用户不能在运行时覆盖。PP-CBF的验证范围为固定三机、给定采样周期和本项目测试条件。MWORKS商业运行时需由用户另行准备。</w:t>
            </w:r>
          </w:p>
        </w:tc>
      </w:tr>
    </w:tbl>
    <w:p w14:paraId="18AEB090">
      <w:pPr>
        <w:widowControl/>
        <w:spacing w:before="100"/>
        <w:ind w:firstLine="0"/>
        <w:jc w:val="right"/>
      </w:pPr>
      <w:r>
        <w:rPr>
          <w:rFonts w:ascii="Times New Roman" w:hAnsi="Times New Roman" w:eastAsia="宋体" w:cs="Times New Roman"/>
          <w:color w:val="000000"/>
          <w:sz w:val="21"/>
          <w:szCs w:val="21"/>
        </w:rPr>
        <w:t>下一步：环境配置、自检与首次运行见第2章。</w:t>
      </w:r>
    </w:p>
    <w:p w14:paraId="690B4575">
      <w:pPr>
        <w:pStyle w:val="3"/>
        <w:keepNext/>
        <w:pageBreakBefore/>
        <w:widowControl/>
      </w:pPr>
      <w:bookmarkStart w:id="3" w:name="_Toc235146485"/>
      <w:r>
        <w:rPr>
          <w:rFonts w:ascii="Times New Roman" w:hAnsi="Times New Roman" w:eastAsia="黑体" w:cs="Times New Roman"/>
          <w:color w:val="000000"/>
          <w:sz w:val="32"/>
          <w:szCs w:val="32"/>
        </w:rPr>
        <w:t>第2章  环境配置、自检与首次运行</w:t>
      </w:r>
      <w:bookmarkEnd w:id="3"/>
    </w:p>
    <w:p w14:paraId="2383D119">
      <w:pPr>
        <w:widowControl/>
      </w:pPr>
      <w:r>
        <w:rPr>
          <w:rFonts w:ascii="Times New Roman" w:hAnsi="Times New Roman" w:eastAsia="宋体" w:cs="Times New Roman"/>
          <w:color w:val="000000"/>
          <w:sz w:val="21"/>
          <w:szCs w:val="21"/>
        </w:rPr>
        <w:t>本章给出从环境确认到定点悬停结果查看的首次运行流程。按顺序完成后，用户可以确认软件依赖可用、工程文件完整、Sysplorer连接正常，并获得一份可继续分析的仿真结果。</w:t>
      </w:r>
    </w:p>
    <w:p w14:paraId="18550F55">
      <w:pPr>
        <w:pStyle w:val="4"/>
        <w:keepNext/>
        <w:widowControl/>
      </w:pPr>
      <w:bookmarkStart w:id="4" w:name="_Toc235146486"/>
      <w:r>
        <w:rPr>
          <w:rFonts w:ascii="Times New Roman" w:hAnsi="Times New Roman" w:eastAsia="黑体" w:cs="Times New Roman"/>
          <w:color w:val="000000"/>
          <w:sz w:val="26"/>
          <w:szCs w:val="26"/>
        </w:rPr>
        <w:t>2.1  环境与工程准备</w:t>
      </w:r>
      <w:bookmarkEnd w:id="4"/>
    </w:p>
    <w:p w14:paraId="59190342">
      <w:pPr>
        <w:widowControl/>
      </w:pPr>
      <w:r>
        <w:rPr>
          <w:rFonts w:ascii="Times New Roman" w:hAnsi="Times New Roman" w:eastAsia="宋体" w:cs="Times New Roman"/>
          <w:color w:val="000000"/>
          <w:sz w:val="21"/>
          <w:szCs w:val="21"/>
        </w:rPr>
        <w:t>本工程已在Windows和MWORKS 2026a环境中完成验证，其他操作系统和软件版本尚未进行同条件验证。本手册不展开MWORKS安装和许可配置；首次使用者请访问中国软件杯A8赛题官方页面（https://www.cnsoftbei.com/content-3-1339-1.html），通过页面提供的“软件下载”和“培训视频与学习资源”完成Sysplorer、Syslab安装及许可准备。表2-1列出首次运行所需的最小环境。</w:t>
      </w:r>
    </w:p>
    <w:p w14:paraId="249DFB7A">
      <w:pPr>
        <w:pStyle w:val="15"/>
        <w:keepNext/>
        <w:keepLines/>
        <w:widowControl/>
        <w:ind w:firstLine="0"/>
        <w:jc w:val="center"/>
      </w:pPr>
      <w:r>
        <w:rPr>
          <w:rFonts w:ascii="Times New Roman" w:hAnsi="Times New Roman" w:eastAsia="宋体" w:cs="Times New Roman"/>
          <w:color w:val="000000"/>
          <w:sz w:val="19"/>
          <w:szCs w:val="19"/>
        </w:rPr>
        <w:t>表2-1  首次运行环境与确认方法</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2214"/>
        <w:gridCol w:w="2885"/>
        <w:gridCol w:w="1164"/>
        <w:gridCol w:w="2993"/>
      </w:tblGrid>
      <w:tr w14:paraId="6F0108F5">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71C07F00">
            <w:pPr>
              <w:spacing w:after="0" w:line="252" w:lineRule="auto"/>
              <w:ind w:firstLine="0"/>
              <w:jc w:val="center"/>
            </w:pPr>
            <w:r>
              <w:rPr>
                <w:rFonts w:ascii="Times New Roman" w:hAnsi="Times New Roman" w:eastAsia="宋体" w:cs="Times New Roman"/>
                <w:b/>
                <w:color w:val="000000"/>
                <w:sz w:val="17"/>
                <w:szCs w:val="17"/>
              </w:rPr>
              <w:t>组件</w:t>
            </w:r>
          </w:p>
        </w:tc>
        <w:tc>
          <w:tcPr>
            <w:tcW w:w="0" w:type="auto"/>
            <w:tcBorders>
              <w:bottom w:val="single" w:color="000000" w:sz="8" w:space="0"/>
            </w:tcBorders>
            <w:tcMar>
              <w:top w:w="55" w:type="dxa"/>
              <w:left w:w="70" w:type="dxa"/>
              <w:bottom w:w="55" w:type="dxa"/>
              <w:right w:w="70" w:type="dxa"/>
            </w:tcMar>
            <w:vAlign w:val="center"/>
          </w:tcPr>
          <w:p w14:paraId="07E27180">
            <w:pPr>
              <w:spacing w:after="0" w:line="252" w:lineRule="auto"/>
              <w:ind w:firstLine="0"/>
              <w:jc w:val="center"/>
            </w:pPr>
            <w:r>
              <w:rPr>
                <w:rFonts w:ascii="Times New Roman" w:hAnsi="Times New Roman" w:eastAsia="宋体" w:cs="Times New Roman"/>
                <w:b/>
                <w:color w:val="000000"/>
                <w:sz w:val="17"/>
                <w:szCs w:val="17"/>
              </w:rPr>
              <w:t>要求</w:t>
            </w:r>
          </w:p>
        </w:tc>
        <w:tc>
          <w:tcPr>
            <w:tcW w:w="0" w:type="auto"/>
            <w:tcBorders>
              <w:bottom w:val="single" w:color="000000" w:sz="8" w:space="0"/>
            </w:tcBorders>
            <w:tcMar>
              <w:top w:w="55" w:type="dxa"/>
              <w:left w:w="70" w:type="dxa"/>
              <w:bottom w:w="55" w:type="dxa"/>
              <w:right w:w="70" w:type="dxa"/>
            </w:tcMar>
            <w:vAlign w:val="center"/>
          </w:tcPr>
          <w:p w14:paraId="01CDC3C3">
            <w:pPr>
              <w:spacing w:after="0" w:line="252" w:lineRule="auto"/>
              <w:ind w:firstLine="0"/>
              <w:jc w:val="center"/>
            </w:pPr>
            <w:r>
              <w:rPr>
                <w:rFonts w:ascii="Times New Roman" w:hAnsi="Times New Roman" w:eastAsia="宋体" w:cs="Times New Roman"/>
                <w:b/>
                <w:color w:val="000000"/>
                <w:sz w:val="17"/>
                <w:szCs w:val="17"/>
              </w:rPr>
              <w:t>随作品包提供</w:t>
            </w:r>
          </w:p>
        </w:tc>
        <w:tc>
          <w:tcPr>
            <w:tcW w:w="0" w:type="auto"/>
            <w:tcBorders>
              <w:bottom w:val="single" w:color="000000" w:sz="8" w:space="0"/>
            </w:tcBorders>
            <w:tcMar>
              <w:top w:w="55" w:type="dxa"/>
              <w:left w:w="70" w:type="dxa"/>
              <w:bottom w:w="55" w:type="dxa"/>
              <w:right w:w="70" w:type="dxa"/>
            </w:tcMar>
            <w:vAlign w:val="center"/>
          </w:tcPr>
          <w:p w14:paraId="22EB9CFC">
            <w:pPr>
              <w:spacing w:after="0" w:line="252" w:lineRule="auto"/>
              <w:ind w:firstLine="0"/>
              <w:jc w:val="center"/>
            </w:pPr>
            <w:r>
              <w:rPr>
                <w:rFonts w:ascii="Times New Roman" w:hAnsi="Times New Roman" w:eastAsia="宋体" w:cs="Times New Roman"/>
                <w:b/>
                <w:color w:val="000000"/>
                <w:sz w:val="17"/>
                <w:szCs w:val="17"/>
              </w:rPr>
              <w:t>确认方法</w:t>
            </w:r>
          </w:p>
        </w:tc>
      </w:tr>
      <w:tr w14:paraId="1A00CB02">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684F3885">
            <w:pPr>
              <w:spacing w:after="0" w:line="252" w:lineRule="auto"/>
              <w:ind w:firstLine="0"/>
              <w:jc w:val="center"/>
            </w:pPr>
            <w:r>
              <w:rPr>
                <w:rFonts w:ascii="Times New Roman" w:hAnsi="Times New Roman" w:eastAsia="宋体" w:cs="Times New Roman"/>
                <w:b w:val="0"/>
                <w:color w:val="000000"/>
                <w:sz w:val="17"/>
                <w:szCs w:val="17"/>
              </w:rPr>
              <w:t>操作系统与终端</w:t>
            </w:r>
          </w:p>
        </w:tc>
        <w:tc>
          <w:tcPr>
            <w:tcW w:w="0" w:type="auto"/>
            <w:tcMar>
              <w:top w:w="55" w:type="dxa"/>
              <w:left w:w="70" w:type="dxa"/>
              <w:bottom w:w="55" w:type="dxa"/>
              <w:right w:w="70" w:type="dxa"/>
            </w:tcMar>
            <w:vAlign w:val="center"/>
          </w:tcPr>
          <w:p w14:paraId="6E2169BF">
            <w:pPr>
              <w:spacing w:after="0" w:line="252" w:lineRule="auto"/>
              <w:ind w:firstLine="0"/>
              <w:jc w:val="center"/>
            </w:pPr>
            <w:r>
              <w:rPr>
                <w:rFonts w:ascii="Times New Roman" w:hAnsi="Times New Roman" w:eastAsia="宋体" w:cs="Times New Roman"/>
                <w:b w:val="0"/>
                <w:color w:val="000000"/>
                <w:sz w:val="17"/>
                <w:szCs w:val="17"/>
              </w:rPr>
              <w:t>Windows；PowerShell 5.1或更高版本</w:t>
            </w:r>
          </w:p>
        </w:tc>
        <w:tc>
          <w:tcPr>
            <w:tcW w:w="0" w:type="auto"/>
            <w:tcMar>
              <w:top w:w="55" w:type="dxa"/>
              <w:left w:w="70" w:type="dxa"/>
              <w:bottom w:w="55" w:type="dxa"/>
              <w:right w:w="70" w:type="dxa"/>
            </w:tcMar>
            <w:vAlign w:val="center"/>
          </w:tcPr>
          <w:p w14:paraId="7006ED12">
            <w:pPr>
              <w:spacing w:after="0" w:line="252" w:lineRule="auto"/>
              <w:ind w:firstLine="0"/>
              <w:jc w:val="center"/>
            </w:pPr>
            <w:r>
              <w:rPr>
                <w:rFonts w:ascii="Times New Roman" w:hAnsi="Times New Roman" w:eastAsia="宋体" w:cs="Times New Roman"/>
                <w:b w:val="0"/>
                <w:color w:val="000000"/>
                <w:sz w:val="17"/>
                <w:szCs w:val="17"/>
              </w:rPr>
              <w:t>不适用</w:t>
            </w:r>
          </w:p>
        </w:tc>
        <w:tc>
          <w:tcPr>
            <w:tcW w:w="0" w:type="auto"/>
            <w:tcMar>
              <w:top w:w="55" w:type="dxa"/>
              <w:left w:w="70" w:type="dxa"/>
              <w:bottom w:w="55" w:type="dxa"/>
              <w:right w:w="70" w:type="dxa"/>
            </w:tcMar>
            <w:vAlign w:val="center"/>
          </w:tcPr>
          <w:p w14:paraId="2A7F7316">
            <w:pPr>
              <w:spacing w:after="0" w:line="252" w:lineRule="auto"/>
              <w:ind w:firstLine="0"/>
              <w:jc w:val="center"/>
            </w:pPr>
            <w:r>
              <w:rPr>
                <w:rFonts w:ascii="Times New Roman" w:hAnsi="Times New Roman" w:eastAsia="宋体" w:cs="Times New Roman"/>
                <w:b w:val="0"/>
                <w:color w:val="000000"/>
                <w:sz w:val="17"/>
                <w:szCs w:val="17"/>
              </w:rPr>
              <w:t>执行$PSVersionTable.PSVersion</w:t>
            </w:r>
          </w:p>
        </w:tc>
      </w:tr>
      <w:tr w14:paraId="2AE66DD0">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6B0D0BB5">
            <w:pPr>
              <w:spacing w:after="0" w:line="252" w:lineRule="auto"/>
              <w:ind w:firstLine="0"/>
              <w:jc w:val="center"/>
            </w:pPr>
            <w:r>
              <w:rPr>
                <w:rFonts w:ascii="Times New Roman" w:hAnsi="Times New Roman" w:eastAsia="宋体" w:cs="Times New Roman"/>
                <w:b w:val="0"/>
                <w:color w:val="000000"/>
                <w:sz w:val="17"/>
                <w:szCs w:val="17"/>
              </w:rPr>
              <w:t>MWORKS Sysplorer / Python</w:t>
            </w:r>
          </w:p>
        </w:tc>
        <w:tc>
          <w:tcPr>
            <w:tcW w:w="0" w:type="auto"/>
            <w:tcMar>
              <w:top w:w="55" w:type="dxa"/>
              <w:left w:w="70" w:type="dxa"/>
              <w:bottom w:w="55" w:type="dxa"/>
              <w:right w:w="70" w:type="dxa"/>
            </w:tcMar>
            <w:vAlign w:val="center"/>
          </w:tcPr>
          <w:p w14:paraId="08D998F0">
            <w:pPr>
              <w:spacing w:after="0" w:line="252" w:lineRule="auto"/>
              <w:ind w:firstLine="0"/>
              <w:jc w:val="center"/>
            </w:pPr>
            <w:r>
              <w:rPr>
                <w:rFonts w:ascii="Times New Roman" w:hAnsi="Times New Roman" w:eastAsia="宋体" w:cs="Times New Roman"/>
                <w:b w:val="0"/>
                <w:color w:val="000000"/>
                <w:sz w:val="17"/>
                <w:szCs w:val="17"/>
              </w:rPr>
              <w:t>2026a，许可有效；附带python64</w:t>
            </w:r>
          </w:p>
        </w:tc>
        <w:tc>
          <w:tcPr>
            <w:tcW w:w="0" w:type="auto"/>
            <w:tcMar>
              <w:top w:w="55" w:type="dxa"/>
              <w:left w:w="70" w:type="dxa"/>
              <w:bottom w:w="55" w:type="dxa"/>
              <w:right w:w="70" w:type="dxa"/>
            </w:tcMar>
            <w:vAlign w:val="center"/>
          </w:tcPr>
          <w:p w14:paraId="5602DA68">
            <w:pPr>
              <w:spacing w:after="0" w:line="252" w:lineRule="auto"/>
              <w:ind w:firstLine="0"/>
              <w:jc w:val="center"/>
            </w:pPr>
            <w:r>
              <w:rPr>
                <w:rFonts w:ascii="Times New Roman" w:hAnsi="Times New Roman" w:eastAsia="宋体" w:cs="Times New Roman"/>
                <w:b w:val="0"/>
                <w:color w:val="000000"/>
                <w:sz w:val="17"/>
                <w:szCs w:val="17"/>
              </w:rPr>
              <w:t>否</w:t>
            </w:r>
          </w:p>
        </w:tc>
        <w:tc>
          <w:tcPr>
            <w:tcW w:w="0" w:type="auto"/>
            <w:tcMar>
              <w:top w:w="55" w:type="dxa"/>
              <w:left w:w="70" w:type="dxa"/>
              <w:bottom w:w="55" w:type="dxa"/>
              <w:right w:w="70" w:type="dxa"/>
            </w:tcMar>
            <w:vAlign w:val="center"/>
          </w:tcPr>
          <w:p w14:paraId="136F1008">
            <w:pPr>
              <w:spacing w:after="0" w:line="252" w:lineRule="auto"/>
              <w:ind w:firstLine="0"/>
              <w:jc w:val="center"/>
            </w:pPr>
            <w:r>
              <w:rPr>
                <w:rFonts w:ascii="Times New Roman" w:hAnsi="Times New Roman" w:eastAsia="宋体" w:cs="Times New Roman"/>
                <w:b w:val="0"/>
                <w:color w:val="000000"/>
                <w:sz w:val="17"/>
                <w:szCs w:val="17"/>
              </w:rPr>
              <w:t>运行快速验收</w:t>
            </w:r>
          </w:p>
        </w:tc>
      </w:tr>
      <w:tr w14:paraId="6856B5D7">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51317E99">
            <w:pPr>
              <w:spacing w:after="0" w:line="252" w:lineRule="auto"/>
              <w:ind w:firstLine="0"/>
              <w:jc w:val="center"/>
            </w:pPr>
            <w:r>
              <w:rPr>
                <w:rFonts w:ascii="Times New Roman" w:hAnsi="Times New Roman" w:eastAsia="宋体" w:cs="Times New Roman"/>
                <w:b w:val="0"/>
                <w:color w:val="000000"/>
                <w:sz w:val="17"/>
                <w:szCs w:val="17"/>
              </w:rPr>
              <w:t>MWORKS Syslab</w:t>
            </w:r>
          </w:p>
        </w:tc>
        <w:tc>
          <w:tcPr>
            <w:tcW w:w="0" w:type="auto"/>
            <w:tcMar>
              <w:top w:w="55" w:type="dxa"/>
              <w:left w:w="70" w:type="dxa"/>
              <w:bottom w:w="55" w:type="dxa"/>
              <w:right w:w="70" w:type="dxa"/>
            </w:tcMar>
            <w:vAlign w:val="center"/>
          </w:tcPr>
          <w:p w14:paraId="0058E235">
            <w:pPr>
              <w:spacing w:after="0" w:line="252" w:lineRule="auto"/>
              <w:ind w:firstLine="0"/>
              <w:jc w:val="center"/>
            </w:pPr>
            <w:r>
              <w:rPr>
                <w:rFonts w:ascii="Times New Roman" w:hAnsi="Times New Roman" w:eastAsia="宋体" w:cs="Times New Roman"/>
                <w:b w:val="0"/>
                <w:color w:val="000000"/>
                <w:sz w:val="17"/>
                <w:szCs w:val="17"/>
              </w:rPr>
              <w:t>2026a及julia-ty</w:t>
            </w:r>
          </w:p>
        </w:tc>
        <w:tc>
          <w:tcPr>
            <w:tcW w:w="0" w:type="auto"/>
            <w:tcMar>
              <w:top w:w="55" w:type="dxa"/>
              <w:left w:w="70" w:type="dxa"/>
              <w:bottom w:w="55" w:type="dxa"/>
              <w:right w:w="70" w:type="dxa"/>
            </w:tcMar>
            <w:vAlign w:val="center"/>
          </w:tcPr>
          <w:p w14:paraId="23EB4054">
            <w:pPr>
              <w:spacing w:after="0" w:line="252" w:lineRule="auto"/>
              <w:ind w:firstLine="0"/>
              <w:jc w:val="center"/>
            </w:pPr>
            <w:r>
              <w:rPr>
                <w:rFonts w:ascii="Times New Roman" w:hAnsi="Times New Roman" w:eastAsia="宋体" w:cs="Times New Roman"/>
                <w:b w:val="0"/>
                <w:color w:val="000000"/>
                <w:sz w:val="17"/>
                <w:szCs w:val="17"/>
              </w:rPr>
              <w:t>否</w:t>
            </w:r>
          </w:p>
        </w:tc>
        <w:tc>
          <w:tcPr>
            <w:tcW w:w="0" w:type="auto"/>
            <w:tcMar>
              <w:top w:w="55" w:type="dxa"/>
              <w:left w:w="70" w:type="dxa"/>
              <w:bottom w:w="55" w:type="dxa"/>
              <w:right w:w="70" w:type="dxa"/>
            </w:tcMar>
            <w:vAlign w:val="center"/>
          </w:tcPr>
          <w:p w14:paraId="4E77E6B7">
            <w:pPr>
              <w:spacing w:after="0" w:line="252" w:lineRule="auto"/>
              <w:ind w:firstLine="0"/>
              <w:jc w:val="center"/>
            </w:pPr>
            <w:r>
              <w:rPr>
                <w:rFonts w:ascii="Times New Roman" w:hAnsi="Times New Roman" w:eastAsia="宋体" w:cs="Times New Roman"/>
                <w:b w:val="0"/>
                <w:color w:val="000000"/>
                <w:sz w:val="17"/>
                <w:szCs w:val="17"/>
              </w:rPr>
              <w:t>执行Get-Command julia-ty</w:t>
            </w:r>
          </w:p>
        </w:tc>
      </w:tr>
      <w:tr w14:paraId="7627BE0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ECCF622">
            <w:pPr>
              <w:spacing w:after="0" w:line="252" w:lineRule="auto"/>
              <w:ind w:firstLine="0"/>
              <w:jc w:val="center"/>
            </w:pPr>
            <w:r>
              <w:rPr>
                <w:rFonts w:ascii="Times New Roman" w:hAnsi="Times New Roman" w:eastAsia="宋体" w:cs="Times New Roman"/>
                <w:b w:val="0"/>
                <w:color w:val="000000"/>
                <w:sz w:val="17"/>
                <w:szCs w:val="17"/>
              </w:rPr>
              <w:t>源文件与输出</w:t>
            </w:r>
          </w:p>
        </w:tc>
        <w:tc>
          <w:tcPr>
            <w:tcW w:w="0" w:type="auto"/>
            <w:tcMar>
              <w:top w:w="55" w:type="dxa"/>
              <w:left w:w="70" w:type="dxa"/>
              <w:bottom w:w="55" w:type="dxa"/>
              <w:right w:w="70" w:type="dxa"/>
            </w:tcMar>
            <w:vAlign w:val="center"/>
          </w:tcPr>
          <w:p w14:paraId="5C9339D4">
            <w:pPr>
              <w:spacing w:after="0" w:line="252" w:lineRule="auto"/>
              <w:ind w:firstLine="0"/>
              <w:jc w:val="center"/>
            </w:pPr>
            <w:r>
              <w:rPr>
                <w:rFonts w:ascii="Times New Roman" w:hAnsi="Times New Roman" w:eastAsia="宋体" w:cs="Times New Roman"/>
                <w:b w:val="0"/>
                <w:color w:val="000000"/>
                <w:sz w:val="17"/>
                <w:szCs w:val="17"/>
              </w:rPr>
              <w:t>&lt;源文件包&gt;；包外绝对输出目录</w:t>
            </w:r>
          </w:p>
        </w:tc>
        <w:tc>
          <w:tcPr>
            <w:tcW w:w="0" w:type="auto"/>
            <w:tcMar>
              <w:top w:w="55" w:type="dxa"/>
              <w:left w:w="70" w:type="dxa"/>
              <w:bottom w:w="55" w:type="dxa"/>
              <w:right w:w="70" w:type="dxa"/>
            </w:tcMar>
            <w:vAlign w:val="center"/>
          </w:tcPr>
          <w:p w14:paraId="3D05A82C">
            <w:pPr>
              <w:spacing w:after="0" w:line="252" w:lineRule="auto"/>
              <w:ind w:firstLine="0"/>
              <w:jc w:val="center"/>
            </w:pPr>
            <w:r>
              <w:rPr>
                <w:rFonts w:ascii="Times New Roman" w:hAnsi="Times New Roman" w:eastAsia="宋体" w:cs="Times New Roman"/>
                <w:b w:val="0"/>
                <w:color w:val="000000"/>
                <w:sz w:val="17"/>
                <w:szCs w:val="17"/>
              </w:rPr>
              <w:t>是</w:t>
            </w:r>
          </w:p>
        </w:tc>
        <w:tc>
          <w:tcPr>
            <w:tcW w:w="0" w:type="auto"/>
            <w:tcMar>
              <w:top w:w="55" w:type="dxa"/>
              <w:left w:w="70" w:type="dxa"/>
              <w:bottom w:w="55" w:type="dxa"/>
              <w:right w:w="70" w:type="dxa"/>
            </w:tcMar>
            <w:vAlign w:val="center"/>
          </w:tcPr>
          <w:p w14:paraId="0656443A">
            <w:pPr>
              <w:spacing w:after="0" w:line="252" w:lineRule="auto"/>
              <w:ind w:firstLine="0"/>
              <w:jc w:val="center"/>
            </w:pPr>
            <w:r>
              <w:rPr>
                <w:rFonts w:ascii="Times New Roman" w:hAnsi="Times New Roman" w:eastAsia="宋体" w:cs="Times New Roman"/>
                <w:b w:val="0"/>
                <w:color w:val="000000"/>
                <w:sz w:val="17"/>
                <w:szCs w:val="17"/>
              </w:rPr>
              <w:t>根目录可见RUN_QUICK_VERIFY.ps1</w:t>
            </w:r>
          </w:p>
        </w:tc>
      </w:tr>
      <w:tr w14:paraId="12B18D0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9F2C962">
            <w:pPr>
              <w:spacing w:after="0" w:line="252" w:lineRule="auto"/>
              <w:ind w:firstLine="0"/>
              <w:jc w:val="center"/>
            </w:pPr>
            <w:r>
              <w:rPr>
                <w:rFonts w:ascii="Times New Roman" w:hAnsi="Times New Roman" w:eastAsia="宋体" w:cs="Times New Roman"/>
                <w:b w:val="0"/>
                <w:color w:val="000000"/>
                <w:sz w:val="17"/>
                <w:szCs w:val="17"/>
              </w:rPr>
              <w:t>可用内存</w:t>
            </w:r>
          </w:p>
        </w:tc>
        <w:tc>
          <w:tcPr>
            <w:tcW w:w="0" w:type="auto"/>
            <w:tcMar>
              <w:top w:w="55" w:type="dxa"/>
              <w:left w:w="70" w:type="dxa"/>
              <w:bottom w:w="55" w:type="dxa"/>
              <w:right w:w="70" w:type="dxa"/>
            </w:tcMar>
            <w:vAlign w:val="center"/>
          </w:tcPr>
          <w:p w14:paraId="1F13CBE4">
            <w:pPr>
              <w:spacing w:after="0" w:line="252" w:lineRule="auto"/>
              <w:ind w:firstLine="0"/>
              <w:jc w:val="center"/>
            </w:pPr>
            <w:r>
              <w:rPr>
                <w:rFonts w:ascii="Times New Roman" w:hAnsi="Times New Roman" w:eastAsia="宋体" w:cs="Times New Roman"/>
                <w:b w:val="0"/>
                <w:color w:val="000000"/>
                <w:sz w:val="17"/>
                <w:szCs w:val="17"/>
              </w:rPr>
              <w:t>建议16 GB及以上</w:t>
            </w:r>
          </w:p>
        </w:tc>
        <w:tc>
          <w:tcPr>
            <w:tcW w:w="0" w:type="auto"/>
            <w:tcMar>
              <w:top w:w="55" w:type="dxa"/>
              <w:left w:w="70" w:type="dxa"/>
              <w:bottom w:w="55" w:type="dxa"/>
              <w:right w:w="70" w:type="dxa"/>
            </w:tcMar>
            <w:vAlign w:val="center"/>
          </w:tcPr>
          <w:p w14:paraId="004AB47B">
            <w:pPr>
              <w:spacing w:after="0" w:line="252" w:lineRule="auto"/>
              <w:ind w:firstLine="0"/>
              <w:jc w:val="center"/>
            </w:pPr>
            <w:r>
              <w:rPr>
                <w:rFonts w:ascii="Times New Roman" w:hAnsi="Times New Roman" w:eastAsia="宋体" w:cs="Times New Roman"/>
                <w:b w:val="0"/>
                <w:color w:val="000000"/>
                <w:sz w:val="17"/>
                <w:szCs w:val="17"/>
              </w:rPr>
              <w:t>不适用</w:t>
            </w:r>
          </w:p>
        </w:tc>
        <w:tc>
          <w:tcPr>
            <w:tcW w:w="0" w:type="auto"/>
            <w:tcMar>
              <w:top w:w="55" w:type="dxa"/>
              <w:left w:w="70" w:type="dxa"/>
              <w:bottom w:w="55" w:type="dxa"/>
              <w:right w:w="70" w:type="dxa"/>
            </w:tcMar>
            <w:vAlign w:val="center"/>
          </w:tcPr>
          <w:p w14:paraId="307A5F71">
            <w:pPr>
              <w:spacing w:after="0" w:line="252" w:lineRule="auto"/>
              <w:ind w:firstLine="0"/>
              <w:jc w:val="center"/>
            </w:pPr>
            <w:r>
              <w:rPr>
                <w:rFonts w:ascii="Times New Roman" w:hAnsi="Times New Roman" w:eastAsia="宋体" w:cs="Times New Roman"/>
                <w:b w:val="0"/>
                <w:color w:val="000000"/>
                <w:sz w:val="17"/>
                <w:szCs w:val="17"/>
              </w:rPr>
              <w:t>在任务管理器中查看可用内存</w:t>
            </w:r>
          </w:p>
        </w:tc>
      </w:tr>
    </w:tbl>
    <w:p w14:paraId="075D10DA">
      <w:pPr>
        <w:widowControl/>
      </w:pPr>
      <w:r>
        <w:rPr>
          <w:rFonts w:ascii="Times New Roman" w:hAnsi="Times New Roman" w:eastAsia="宋体" w:cs="Times New Roman"/>
          <w:color w:val="000000"/>
          <w:sz w:val="21"/>
          <w:szCs w:val="21"/>
        </w:rPr>
        <w:t>建议保留收到的原始源文件包，并将完整副本放到独立目录中运行。三个正式入口会优先读取MWORKS_PYTHON，再查询Sysplorer安装注册表和本地固定磁盘的标准安装目录；julia-ty优先读取JULIA_TY，再查询PATH。自动探测失败时，可按实际安装位置先设置当前PowerShell会话，再写入用户环境变量。</w:t>
      </w:r>
    </w:p>
    <w:p w14:paraId="1111C78D">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$env:MWORKS_PYTHON = '&lt;Sysplorer安装目录&gt;\External\python64\python.exe'</w:t>
      </w:r>
      <w:r>
        <w:rPr>
          <w:rFonts w:ascii="Consolas" w:hAnsi="Consolas" w:eastAsia="等线" w:cs="Consolas"/>
          <w:color w:val="000000"/>
          <w:sz w:val="16"/>
          <w:szCs w:val="16"/>
        </w:rPr>
        <w:br w:type="textWrapping"/>
      </w:r>
      <w:r>
        <w:rPr>
          <w:rFonts w:ascii="Consolas" w:hAnsi="Consolas" w:eastAsia="等线" w:cs="Consolas"/>
          <w:color w:val="000000"/>
          <w:sz w:val="16"/>
          <w:szCs w:val="16"/>
        </w:rPr>
        <w:t>$env:JULIA_TY = '&lt;julia-ty完整路径&gt;'</w:t>
      </w:r>
      <w:r>
        <w:rPr>
          <w:rFonts w:ascii="Consolas" w:hAnsi="Consolas" w:eastAsia="等线" w:cs="Consolas"/>
          <w:color w:val="000000"/>
          <w:sz w:val="16"/>
          <w:szCs w:val="16"/>
        </w:rPr>
        <w:br w:type="textWrapping"/>
      </w:r>
      <w:r>
        <w:rPr>
          <w:rFonts w:ascii="Consolas" w:hAnsi="Consolas" w:eastAsia="等线" w:cs="Consolas"/>
          <w:color w:val="000000"/>
          <w:sz w:val="16"/>
          <w:szCs w:val="16"/>
        </w:rPr>
        <w:t>[Environment]::SetEnvironmentVariable('MWORKS_PYTHON',$env:MWORKS_PYTHON,'User')</w:t>
      </w:r>
      <w:r>
        <w:rPr>
          <w:rFonts w:ascii="Consolas" w:hAnsi="Consolas" w:eastAsia="等线" w:cs="Consolas"/>
          <w:color w:val="000000"/>
          <w:sz w:val="16"/>
          <w:szCs w:val="16"/>
        </w:rPr>
        <w:br w:type="textWrapping"/>
      </w:r>
      <w:r>
        <w:rPr>
          <w:rFonts w:ascii="Consolas" w:hAnsi="Consolas" w:eastAsia="等线" w:cs="Consolas"/>
          <w:color w:val="000000"/>
          <w:sz w:val="16"/>
          <w:szCs w:val="16"/>
        </w:rPr>
        <w:t>[Environment]::SetEnvironmentVariable('JULIA_TY',$env:JULIA_TY,'User')</w:t>
      </w:r>
    </w:p>
    <w:p w14:paraId="1FCE3B8E">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提示：</w:t>
      </w:r>
      <w:r>
        <w:rPr>
          <w:rFonts w:ascii="Times New Roman" w:hAnsi="Times New Roman" w:eastAsia="宋体" w:cs="Times New Roman"/>
          <w:color w:val="000000"/>
          <w:sz w:val="21"/>
          <w:szCs w:val="21"/>
        </w:rPr>
        <w:t>尖括号及其中内容必须替换为本机实际路径。已设置但无效的变量会使入口立即停止并给出修正命令；永久设置后需重新打开PowerShell。截图中的目录只用于说明界面位置，实际操作以可复制命令和本机路径为准。</w:t>
      </w:r>
    </w:p>
    <w:p w14:paraId="3FDE81A7">
      <w:pPr>
        <w:pStyle w:val="4"/>
        <w:keepNext/>
        <w:widowControl/>
      </w:pPr>
      <w:bookmarkStart w:id="5" w:name="_Toc235146487"/>
      <w:r>
        <w:rPr>
          <w:rFonts w:ascii="Times New Roman" w:hAnsi="Times New Roman" w:eastAsia="黑体" w:cs="Times New Roman"/>
          <w:color w:val="000000"/>
          <w:sz w:val="26"/>
          <w:szCs w:val="26"/>
        </w:rPr>
        <w:t>2.2  快速验收与模型打开</w:t>
      </w:r>
      <w:bookmarkEnd w:id="5"/>
    </w:p>
    <w:p w14:paraId="6839BF1A">
      <w:pPr>
        <w:widowControl/>
        <w:ind w:left="425" w:hanging="425"/>
      </w:pPr>
      <w:r>
        <w:rPr>
          <w:rFonts w:ascii="Times New Roman" w:hAnsi="Times New Roman" w:eastAsia="宋体" w:cs="Times New Roman"/>
          <w:b/>
          <w:color w:val="000000"/>
          <w:sz w:val="21"/>
          <w:szCs w:val="21"/>
        </w:rPr>
        <w:t>1. 进入源文件根目录。</w:t>
      </w:r>
      <w:r>
        <w:rPr>
          <w:rFonts w:ascii="Times New Roman" w:hAnsi="Times New Roman" w:eastAsia="宋体" w:cs="Times New Roman"/>
          <w:color w:val="000000"/>
          <w:sz w:val="21"/>
          <w:szCs w:val="21"/>
        </w:rPr>
        <w:t>在资源管理器地址栏输入PowerShell并按Enter，或在PowerShell中使用Set-Location进入该目录。</w:t>
      </w:r>
    </w:p>
    <w:p w14:paraId="3538FFB6">
      <w:pPr>
        <w:widowControl/>
        <w:ind w:left="425" w:hanging="425"/>
      </w:pPr>
      <w:r>
        <w:rPr>
          <w:rFonts w:ascii="Times New Roman" w:hAnsi="Times New Roman" w:eastAsia="宋体" w:cs="Times New Roman"/>
          <w:b/>
          <w:color w:val="000000"/>
          <w:sz w:val="21"/>
          <w:szCs w:val="21"/>
        </w:rPr>
        <w:t>2. 执行只读快速验收。</w:t>
      </w:r>
      <w:r>
        <w:rPr>
          <w:rFonts w:ascii="Times New Roman" w:hAnsi="Times New Roman" w:eastAsia="宋体" w:cs="Times New Roman"/>
          <w:color w:val="000000"/>
          <w:sz w:val="21"/>
          <w:szCs w:val="21"/>
        </w:rPr>
        <w:t>该命令检查软件入口、评价脚本、结果证据和工程文件完整性。</w:t>
      </w:r>
    </w:p>
    <w:p w14:paraId="75B36F8B">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.\RUN_QUICK_VERIFY.ps1</w:t>
      </w:r>
    </w:p>
    <w:p w14:paraId="7886E1D2">
      <w:pPr>
        <w:widowControl/>
      </w:pPr>
      <w:r>
        <w:rPr>
          <w:rFonts w:ascii="Times New Roman" w:hAnsi="Times New Roman" w:eastAsia="宋体" w:cs="Times New Roman"/>
          <w:color w:val="000000"/>
          <w:sz w:val="21"/>
          <w:szCs w:val="21"/>
        </w:rPr>
        <w:t>命令无报错结束，并出现five_controller_evidence_status=pass、report evidence check: PASS以及整包检查结果pass: true时，可继续启动仿真。任一检查报错时，应先按错误信息处理环境或文件问题。</w:t>
      </w:r>
    </w:p>
    <w:p w14:paraId="3BD737DB">
      <w:pPr>
        <w:widowControl/>
        <w:ind w:left="425" w:hanging="425"/>
      </w:pPr>
      <w:r>
        <w:rPr>
          <w:rFonts w:ascii="Times New Roman" w:hAnsi="Times New Roman" w:eastAsia="宋体" w:cs="Times New Roman"/>
          <w:b/>
          <w:color w:val="000000"/>
          <w:sz w:val="21"/>
          <w:szCs w:val="21"/>
        </w:rPr>
        <w:t>3. 正常启动Sysplorer并只保留一个实例。</w:t>
      </w:r>
      <w:r>
        <w:rPr>
          <w:rFonts w:ascii="Times New Roman" w:hAnsi="Times New Roman" w:eastAsia="宋体" w:cs="Times New Roman"/>
          <w:color w:val="000000"/>
          <w:sz w:val="21"/>
          <w:szCs w:val="21"/>
        </w:rPr>
        <w:t>确认账户和许可有效；正式运行器默认连接端口49152，不会自动启动或关闭Sysplorer。</w:t>
      </w:r>
    </w:p>
    <w:p w14:paraId="4C110212">
      <w:pPr>
        <w:widowControl/>
      </w:pPr>
      <w:r>
        <w:rPr>
          <w:rFonts w:ascii="Times New Roman" w:hAnsi="Times New Roman" w:eastAsia="宋体" w:cs="Times New Roman"/>
          <w:color w:val="000000"/>
          <w:sz w:val="21"/>
          <w:szCs w:val="21"/>
        </w:rPr>
        <w:t>进入Sysplorer后，从首页选择“打开模型”，入口位置见图2-1。</w:t>
      </w:r>
    </w:p>
    <w:p w14:paraId="3E2ACE7D">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579745" cy="1326515"/>
            <wp:effectExtent l="0" t="0" r="1905" b="6985"/>
            <wp:docPr id="2" name="Figure 2" descr="图2-1  从Sysplorer首页进入模型文件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图2-1  从Sysplorer首页进入模型文件选择"/>
                    <pic:cNvPicPr>
                      <a:picLocks noChangeAspect="1"/>
                    </pic:cNvPicPr>
                  </pic:nvPicPr>
                  <pic:blipFill>
                    <a:blip r:embed="rId13"/>
                    <a:stretch>
                      <a:fillRect/>
                    </a:stretch>
                  </pic:blipFill>
                  <pic:spPr>
                    <a:xfrm>
                      <a:off x="0" y="0"/>
                      <a:ext cx="5580000" cy="1326713"/>
                    </a:xfrm>
                    <a:prstGeom prst="rect">
                      <a:avLst/>
                    </a:prstGeom>
                  </pic:spPr>
                </pic:pic>
              </a:graphicData>
            </a:graphic>
          </wp:inline>
        </w:drawing>
      </w:r>
    </w:p>
    <w:p w14:paraId="64E23373">
      <w:pPr>
        <w:pStyle w:val="15"/>
        <w:keepLines/>
        <w:widowControl/>
        <w:ind w:firstLine="0"/>
        <w:jc w:val="center"/>
      </w:pPr>
      <w:r>
        <w:rPr>
          <w:rFonts w:ascii="Times New Roman" w:hAnsi="Times New Roman" w:eastAsia="宋体" w:cs="Times New Roman"/>
          <w:color w:val="000000"/>
          <w:sz w:val="19"/>
          <w:szCs w:val="19"/>
        </w:rPr>
        <w:t>图2-1  从Sysplorer首页进入模型文件选择</w:t>
      </w:r>
    </w:p>
    <w:p w14:paraId="63DED5E2">
      <w:pPr>
        <w:widowControl/>
        <w:ind w:left="425" w:hanging="425"/>
      </w:pPr>
      <w:r>
        <w:rPr>
          <w:rFonts w:ascii="Times New Roman" w:hAnsi="Times New Roman" w:eastAsia="宋体" w:cs="Times New Roman"/>
          <w:b/>
          <w:color w:val="000000"/>
          <w:sz w:val="21"/>
          <w:szCs w:val="21"/>
        </w:rPr>
        <w:t>4. 打开赛题四旋翼模型。</w:t>
      </w:r>
      <w:r>
        <w:rPr>
          <w:rFonts w:ascii="Times New Roman" w:hAnsi="Times New Roman" w:eastAsia="宋体" w:cs="Times New Roman"/>
          <w:color w:val="000000"/>
          <w:sz w:val="21"/>
          <w:szCs w:val="21"/>
        </w:rPr>
        <w:t>选择&lt;源文件根目录&gt;\01_models\official\QuadrotorModel\package.mo并确认打开，如图2-2所示。</w:t>
      </w:r>
    </w:p>
    <w:p w14:paraId="139624E6">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579745" cy="1761490"/>
            <wp:effectExtent l="0" t="0" r="1905" b="10160"/>
            <wp:docPr id="3" name="Figure 3" descr="图2-2  当前工程中的赛题四旋翼模型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2-2  当前工程中的赛题四旋翼模型文件"/>
                    <pic:cNvPicPr>
                      <a:picLocks noChangeAspect="1"/>
                    </pic:cNvPicPr>
                  </pic:nvPicPr>
                  <pic:blipFill>
                    <a:blip r:embed="rId14"/>
                    <a:stretch>
                      <a:fillRect/>
                    </a:stretch>
                  </pic:blipFill>
                  <pic:spPr>
                    <a:xfrm>
                      <a:off x="0" y="0"/>
                      <a:ext cx="5580000" cy="1762105"/>
                    </a:xfrm>
                    <a:prstGeom prst="rect">
                      <a:avLst/>
                    </a:prstGeom>
                  </pic:spPr>
                </pic:pic>
              </a:graphicData>
            </a:graphic>
          </wp:inline>
        </w:drawing>
      </w:r>
    </w:p>
    <w:p w14:paraId="71B83830">
      <w:pPr>
        <w:pStyle w:val="15"/>
        <w:keepLines/>
        <w:widowControl/>
        <w:ind w:firstLine="0"/>
        <w:jc w:val="center"/>
      </w:pPr>
      <w:r>
        <w:rPr>
          <w:rFonts w:ascii="Times New Roman" w:hAnsi="Times New Roman" w:eastAsia="宋体" w:cs="Times New Roman"/>
          <w:color w:val="000000"/>
          <w:sz w:val="19"/>
          <w:szCs w:val="19"/>
        </w:rPr>
        <w:t>图2-2  当前工程中的赛题四旋翼模型文件</w:t>
      </w:r>
    </w:p>
    <w:p w14:paraId="7502872A">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说明：</w:t>
      </w:r>
      <w:r>
        <w:rPr>
          <w:rFonts w:ascii="Times New Roman" w:hAnsi="Times New Roman" w:eastAsia="宋体" w:cs="Times New Roman"/>
          <w:color w:val="000000"/>
          <w:sz w:val="21"/>
          <w:szCs w:val="21"/>
        </w:rPr>
        <w:t>后续单场景命令会按顺序加载参考生成依赖、RA-GCA-CGHTE和场景模型。首次使用无需逐个手动打开这些文件。</w:t>
      </w:r>
    </w:p>
    <w:p w14:paraId="221B52A2">
      <w:pPr>
        <w:pStyle w:val="4"/>
        <w:keepNext/>
        <w:widowControl/>
      </w:pPr>
      <w:bookmarkStart w:id="6" w:name="_Toc235146488"/>
      <w:r>
        <w:rPr>
          <w:rFonts w:ascii="Times New Roman" w:hAnsi="Times New Roman" w:eastAsia="黑体" w:cs="Times New Roman"/>
          <w:color w:val="000000"/>
          <w:sz w:val="26"/>
          <w:szCs w:val="26"/>
        </w:rPr>
        <w:t>2.3  定点悬停首次运行</w:t>
      </w:r>
      <w:bookmarkEnd w:id="6"/>
    </w:p>
    <w:p w14:paraId="7DB64629">
      <w:pPr>
        <w:widowControl/>
      </w:pPr>
      <w:r>
        <w:rPr>
          <w:rFonts w:ascii="Times New Roman" w:hAnsi="Times New Roman" w:eastAsia="宋体" w:cs="Times New Roman"/>
          <w:color w:val="000000"/>
          <w:sz w:val="21"/>
          <w:szCs w:val="21"/>
        </w:rPr>
        <w:t>定点悬停用于确认完整运行流程。开始前应确保快速验收通过，且端口49152只对应当前Sysplorer实例。以下命令在用户目录下使用包外输出文件夹，并运行定点悬停场景。</w:t>
      </w:r>
    </w:p>
    <w:p w14:paraId="604A0388">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'A8_runs\Scene04'</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-Scene Scene04 -Output $Output</w:t>
      </w:r>
    </w:p>
    <w:p w14:paraId="5D4C4A74">
      <w:pPr>
        <w:widowControl/>
      </w:pPr>
      <w:r>
        <w:rPr>
          <w:rFonts w:ascii="Times New Roman" w:hAnsi="Times New Roman" w:eastAsia="宋体" w:cs="Times New Roman"/>
          <w:color w:val="000000"/>
          <w:sz w:val="21"/>
          <w:szCs w:val="21"/>
        </w:rPr>
        <w:t>运行器完成模型检查、翻译、仿真和结果读取后，会在输出目录生成execution_status.json、raw\Scene04.csv以及simulation\Scene04目录。execution_status.json中的success应为true，status应为execution_pass；Scene04记录中的check、translate、simulate和read_result均应为true。</w:t>
      </w:r>
    </w:p>
    <w:p w14:paraId="15DACD03">
      <w:pPr>
        <w:widowControl/>
      </w:pPr>
      <w:r>
        <w:rPr>
          <w:rFonts w:ascii="Times New Roman" w:hAnsi="Times New Roman" w:eastAsia="宋体" w:cs="Times New Roman"/>
          <w:color w:val="000000"/>
          <w:sz w:val="21"/>
          <w:szCs w:val="21"/>
        </w:rPr>
        <w:t>运行完成后，Sysplorer中可打开定点悬停场景模型。图2-3展示参考输入、RA-GCA-CGHTE、四旋翼物理模型、传感器和四路电机之间的连接关系。</w:t>
      </w:r>
    </w:p>
    <w:p w14:paraId="64D7ECC6">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4391660" cy="3415665"/>
            <wp:effectExtent l="0" t="0" r="8890" b="13335"/>
            <wp:docPr id="4" name="Figure 4" descr="图2-3  定点悬停场景的主要模型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图2-3  定点悬停场景的主要模型连接"/>
                    <pic:cNvPicPr>
                      <a:picLocks noChangeAspect="1"/>
                    </pic:cNvPicPr>
                  </pic:nvPicPr>
                  <pic:blipFill>
                    <a:blip r:embed="rId15"/>
                    <a:stretch>
                      <a:fillRect/>
                    </a:stretch>
                  </pic:blipFill>
                  <pic:spPr>
                    <a:xfrm>
                      <a:off x="0" y="0"/>
                      <a:ext cx="4392000" cy="3416000"/>
                    </a:xfrm>
                    <a:prstGeom prst="rect">
                      <a:avLst/>
                    </a:prstGeom>
                  </pic:spPr>
                </pic:pic>
              </a:graphicData>
            </a:graphic>
          </wp:inline>
        </w:drawing>
      </w:r>
    </w:p>
    <w:p w14:paraId="54EDC8D4">
      <w:pPr>
        <w:pStyle w:val="15"/>
        <w:keepLines/>
        <w:widowControl/>
        <w:ind w:firstLine="0"/>
        <w:jc w:val="center"/>
      </w:pPr>
      <w:r>
        <w:rPr>
          <w:rFonts w:ascii="Times New Roman" w:hAnsi="Times New Roman" w:eastAsia="宋体" w:cs="Times New Roman"/>
          <w:color w:val="000000"/>
          <w:sz w:val="19"/>
          <w:szCs w:val="19"/>
        </w:rPr>
        <w:t>图2-3  定点悬停场景的主要模型连接</w:t>
      </w:r>
    </w:p>
    <w:p w14:paraId="32DA0327">
      <w:pPr>
        <w:widowControl/>
      </w:pPr>
      <w:r>
        <w:rPr>
          <w:rFonts w:ascii="Times New Roman" w:hAnsi="Times New Roman" w:eastAsia="宋体" w:cs="Times New Roman"/>
          <w:color w:val="000000"/>
          <w:sz w:val="21"/>
          <w:szCs w:val="21"/>
        </w:rPr>
        <w:t>确认当前场景标签为Scene04后，可从顶部“结果查看器”进入结果界面，入口位置见图2-4。</w:t>
      </w:r>
    </w:p>
    <w:p w14:paraId="7AB3EFC0">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471795" cy="3198495"/>
            <wp:effectExtent l="0" t="0" r="14605" b="1905"/>
            <wp:docPr id="5" name="Figure 5" descr="图2-4  首次运行完成后的场景状态与结果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图2-4  首次运行完成后的场景状态与结果入口"/>
                    <pic:cNvPicPr>
                      <a:picLocks noChangeAspect="1"/>
                    </pic:cNvPicPr>
                  </pic:nvPicPr>
                  <pic:blipFill>
                    <a:blip r:embed="rId16"/>
                    <a:stretch>
                      <a:fillRect/>
                    </a:stretch>
                  </pic:blipFill>
                  <pic:spPr>
                    <a:xfrm>
                      <a:off x="0" y="0"/>
                      <a:ext cx="5472000" cy="3199016"/>
                    </a:xfrm>
                    <a:prstGeom prst="rect">
                      <a:avLst/>
                    </a:prstGeom>
                  </pic:spPr>
                </pic:pic>
              </a:graphicData>
            </a:graphic>
          </wp:inline>
        </w:drawing>
      </w:r>
    </w:p>
    <w:p w14:paraId="37BC2C96">
      <w:pPr>
        <w:pStyle w:val="15"/>
        <w:keepLines/>
        <w:widowControl/>
        <w:ind w:firstLine="0"/>
        <w:jc w:val="center"/>
      </w:pPr>
      <w:r>
        <w:rPr>
          <w:rFonts w:ascii="Times New Roman" w:hAnsi="Times New Roman" w:eastAsia="宋体" w:cs="Times New Roman"/>
          <w:color w:val="000000"/>
          <w:sz w:val="19"/>
          <w:szCs w:val="19"/>
        </w:rPr>
        <w:t>图2-4  首次运行完成后的场景状态与结果入口</w:t>
      </w:r>
    </w:p>
    <w:p w14:paraId="63F422FE">
      <w:pPr>
        <w:widowControl/>
      </w:pPr>
      <w:r>
        <w:rPr>
          <w:rFonts w:ascii="Times New Roman" w:hAnsi="Times New Roman" w:eastAsia="宋体" w:cs="Times New Roman"/>
          <w:color w:val="000000"/>
          <w:sz w:val="21"/>
          <w:szCs w:val="21"/>
        </w:rPr>
        <w:t>本章只完成首次运行确认和结果文件定位。结果查看器中的信号选择、曲线生成、结果导出及详细判读统一见第4章“结果查看、导出与判读”。</w:t>
      </w:r>
    </w:p>
    <w:p w14:paraId="69FFEBE8">
      <w:pPr>
        <w:widowControl/>
      </w:pPr>
      <w:r>
        <w:rPr>
          <w:rFonts w:ascii="Times New Roman" w:hAnsi="Times New Roman" w:eastAsia="宋体" w:cs="Times New Roman"/>
          <w:color w:val="000000"/>
          <w:sz w:val="21"/>
          <w:szCs w:val="21"/>
        </w:rPr>
        <w:t>按上述命令验证时，仿真时长为30 s，共输出3001个采样点。参考高度在5 s达到1.5 m，实际高度短暂超调后稳定在1.5 m附近，全时段位置均方根误差为0.01897 m。图2-5由该次raw数据绘制，虚线表示参考高度，实线表示实际高度。</w:t>
      </w:r>
    </w:p>
    <w:p w14:paraId="0F694271">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471795" cy="2247265"/>
            <wp:effectExtent l="0" t="0" r="14605" b="635"/>
            <wp:docPr id="6" name="Figure 6" descr="图2-5  定点悬停首次运行的高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图2-5  定点悬停首次运行的高度响应"/>
                    <pic:cNvPicPr>
                      <a:picLocks noChangeAspect="1"/>
                    </pic:cNvPicPr>
                  </pic:nvPicPr>
                  <pic:blipFill>
                    <a:blip r:embed="rId17"/>
                    <a:stretch>
                      <a:fillRect/>
                    </a:stretch>
                  </pic:blipFill>
                  <pic:spPr>
                    <a:xfrm>
                      <a:off x="0" y="0"/>
                      <a:ext cx="5472000" cy="2247429"/>
                    </a:xfrm>
                    <a:prstGeom prst="rect">
                      <a:avLst/>
                    </a:prstGeom>
                  </pic:spPr>
                </pic:pic>
              </a:graphicData>
            </a:graphic>
          </wp:inline>
        </w:drawing>
      </w:r>
    </w:p>
    <w:p w14:paraId="7E1FAA11">
      <w:pPr>
        <w:pStyle w:val="15"/>
        <w:keepLines/>
        <w:widowControl/>
        <w:ind w:firstLine="0"/>
        <w:jc w:val="center"/>
      </w:pPr>
      <w:r>
        <w:rPr>
          <w:rFonts w:ascii="Times New Roman" w:hAnsi="Times New Roman" w:eastAsia="宋体" w:cs="Times New Roman"/>
          <w:color w:val="000000"/>
          <w:sz w:val="19"/>
          <w:szCs w:val="19"/>
        </w:rPr>
        <w:t>图2-5  定点悬停首次运行的高度响应</w:t>
      </w:r>
    </w:p>
    <w:p w14:paraId="5A3AEA44">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判读要点：</w:t>
      </w:r>
      <w:r>
        <w:rPr>
          <w:rFonts w:ascii="Times New Roman" w:hAnsi="Times New Roman" w:eastAsia="宋体" w:cs="Times New Roman"/>
          <w:color w:val="000000"/>
          <w:sz w:val="21"/>
          <w:szCs w:val="21"/>
        </w:rPr>
        <w:t>曲线应覆盖0至30 s，实际高度在过渡后保持稳定，raw文件应包含3001行数据。0.01897 m仅用于核对本次首次运行，不作为其他场景的统一合格阈值。</w:t>
      </w:r>
    </w:p>
    <w:p w14:paraId="5CBA2E9B">
      <w:pPr>
        <w:widowControl/>
      </w:pPr>
      <w:r>
        <w:rPr>
          <w:rFonts w:ascii="Times New Roman" w:hAnsi="Times New Roman" w:eastAsia="宋体" w:cs="Times New Roman"/>
          <w:color w:val="000000"/>
          <w:sz w:val="21"/>
          <w:szCs w:val="21"/>
        </w:rPr>
        <w:t>至此，环境确认、工程验收、模型加载、定点悬停仿真和结果保存均已完成。后续场景教程复用本章的环境、自检和启动步骤，并按具体任务更换场景名称、输出子目录和观察量。</w:t>
      </w:r>
    </w:p>
    <w:p w14:paraId="1E53DC92">
      <w:pPr>
        <w:pStyle w:val="3"/>
        <w:keepNext/>
        <w:pageBreakBefore/>
        <w:widowControl/>
      </w:pPr>
      <w:bookmarkStart w:id="7" w:name="_Toc235146489"/>
      <w:r>
        <w:rPr>
          <w:rFonts w:ascii="Times New Roman" w:hAnsi="Times New Roman" w:eastAsia="黑体" w:cs="Times New Roman"/>
          <w:color w:val="000000"/>
          <w:sz w:val="32"/>
          <w:szCs w:val="32"/>
        </w:rPr>
        <w:t>第3章  场景复现与参数选择</w:t>
      </w:r>
      <w:bookmarkEnd w:id="7"/>
    </w:p>
    <w:p w14:paraId="5601678A">
      <w:pPr>
        <w:widowControl/>
      </w:pPr>
      <w:r>
        <w:rPr>
          <w:rFonts w:ascii="Times New Roman" w:hAnsi="Times New Roman" w:eastAsia="宋体" w:cs="Times New Roman"/>
          <w:color w:val="000000"/>
          <w:sz w:val="21"/>
          <w:szCs w:val="21"/>
        </w:rPr>
        <w:t>本章在第2章快速验收和定点悬停首次运行通过后，依次复现基础轨迹、预定义参数工况、外力扰动和三机编队任务。所有命令均在源文件包根目录执行，输出写入用户目录，不修改正式模型、控制器固定参数。</w:t>
      </w:r>
    </w:p>
    <w:p w14:paraId="7CB2CB44">
      <w:pPr>
        <w:pStyle w:val="4"/>
        <w:keepNext/>
        <w:widowControl/>
      </w:pPr>
      <w:bookmarkStart w:id="8" w:name="_Toc235146490"/>
      <w:r>
        <w:rPr>
          <w:rFonts w:ascii="Times New Roman" w:hAnsi="Times New Roman" w:eastAsia="黑体" w:cs="Times New Roman"/>
          <w:color w:val="000000"/>
          <w:sz w:val="26"/>
          <w:szCs w:val="26"/>
        </w:rPr>
        <w:t>3.1  基础场景共享流程</w:t>
      </w:r>
      <w:bookmarkEnd w:id="8"/>
    </w:p>
    <w:p w14:paraId="49C118A1">
      <w:pPr>
        <w:widowControl/>
      </w:pPr>
      <w:r>
        <w:rPr>
          <w:rFonts w:ascii="Times New Roman" w:hAnsi="Times New Roman" w:eastAsia="宋体" w:cs="Times New Roman"/>
          <w:color w:val="000000"/>
          <w:sz w:val="21"/>
          <w:szCs w:val="21"/>
        </w:rPr>
        <w:t>基础任务采用同一运行入口，只更换场景名称和观察量。运行前保持一个Sysplorer实例，并确认第2章的快速验收已经通过。表3-1给出本节使用的三个正式任务。</w:t>
      </w:r>
    </w:p>
    <w:p w14:paraId="285E2B25">
      <w:pPr>
        <w:pStyle w:val="15"/>
        <w:keepNext/>
        <w:keepLines/>
        <w:widowControl/>
        <w:ind w:firstLine="0"/>
        <w:jc w:val="center"/>
      </w:pPr>
      <w:r>
        <w:rPr>
          <w:rFonts w:ascii="Times New Roman" w:hAnsi="Times New Roman" w:eastAsia="宋体" w:cs="Times New Roman"/>
          <w:color w:val="000000"/>
          <w:sz w:val="19"/>
          <w:szCs w:val="19"/>
        </w:rPr>
        <w:t>表3-1  基础任务及主要观察量</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1468"/>
        <w:gridCol w:w="1000"/>
        <w:gridCol w:w="504"/>
        <w:gridCol w:w="2520"/>
      </w:tblGrid>
      <w:tr w14:paraId="697AFC83">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5AC06188">
            <w:pPr>
              <w:spacing w:after="0" w:line="252" w:lineRule="auto"/>
              <w:ind w:firstLine="0"/>
              <w:jc w:val="both"/>
            </w:pPr>
            <w:r>
              <w:rPr>
                <w:rFonts w:ascii="Times New Roman" w:hAnsi="Times New Roman" w:eastAsia="宋体" w:cs="Times New Roman"/>
                <w:b/>
                <w:color w:val="000000"/>
                <w:sz w:val="17"/>
                <w:szCs w:val="17"/>
              </w:rPr>
              <w:t>正式任务</w:t>
            </w:r>
          </w:p>
        </w:tc>
        <w:tc>
          <w:tcPr>
            <w:tcW w:w="0" w:type="auto"/>
            <w:tcBorders>
              <w:bottom w:val="single" w:color="000000" w:sz="8" w:space="0"/>
            </w:tcBorders>
            <w:tcMar>
              <w:top w:w="55" w:type="dxa"/>
              <w:left w:w="70" w:type="dxa"/>
              <w:bottom w:w="55" w:type="dxa"/>
              <w:right w:w="70" w:type="dxa"/>
            </w:tcMar>
            <w:vAlign w:val="center"/>
          </w:tcPr>
          <w:p w14:paraId="48EC8A0D">
            <w:pPr>
              <w:spacing w:after="0" w:line="252" w:lineRule="auto"/>
              <w:ind w:firstLine="0"/>
              <w:jc w:val="both"/>
            </w:pPr>
            <w:r>
              <w:rPr>
                <w:rFonts w:ascii="Times New Roman" w:hAnsi="Times New Roman" w:eastAsia="宋体" w:cs="Times New Roman"/>
                <w:b/>
                <w:color w:val="000000"/>
                <w:sz w:val="17"/>
                <w:szCs w:val="17"/>
              </w:rPr>
              <w:t>场景ID</w:t>
            </w:r>
          </w:p>
        </w:tc>
        <w:tc>
          <w:tcPr>
            <w:tcW w:w="0" w:type="auto"/>
            <w:tcBorders>
              <w:bottom w:val="single" w:color="000000" w:sz="8" w:space="0"/>
            </w:tcBorders>
            <w:tcMar>
              <w:top w:w="55" w:type="dxa"/>
              <w:left w:w="70" w:type="dxa"/>
              <w:bottom w:w="55" w:type="dxa"/>
              <w:right w:w="70" w:type="dxa"/>
            </w:tcMar>
            <w:vAlign w:val="center"/>
          </w:tcPr>
          <w:p w14:paraId="7B68A5B8">
            <w:pPr>
              <w:spacing w:after="0" w:line="252" w:lineRule="auto"/>
              <w:ind w:firstLine="0"/>
              <w:jc w:val="both"/>
            </w:pPr>
            <w:r>
              <w:rPr>
                <w:rFonts w:ascii="Times New Roman" w:hAnsi="Times New Roman" w:eastAsia="宋体" w:cs="Times New Roman"/>
                <w:b/>
                <w:color w:val="000000"/>
                <w:sz w:val="17"/>
                <w:szCs w:val="17"/>
              </w:rPr>
              <w:t>时长</w:t>
            </w:r>
          </w:p>
        </w:tc>
        <w:tc>
          <w:tcPr>
            <w:tcW w:w="0" w:type="auto"/>
            <w:tcBorders>
              <w:bottom w:val="single" w:color="000000" w:sz="8" w:space="0"/>
            </w:tcBorders>
            <w:tcMar>
              <w:top w:w="55" w:type="dxa"/>
              <w:left w:w="70" w:type="dxa"/>
              <w:bottom w:w="55" w:type="dxa"/>
              <w:right w:w="70" w:type="dxa"/>
            </w:tcMar>
            <w:vAlign w:val="center"/>
          </w:tcPr>
          <w:p w14:paraId="654C3528">
            <w:pPr>
              <w:spacing w:after="0" w:line="252" w:lineRule="auto"/>
              <w:ind w:firstLine="0"/>
              <w:jc w:val="both"/>
            </w:pPr>
            <w:r>
              <w:rPr>
                <w:rFonts w:ascii="Times New Roman" w:hAnsi="Times New Roman" w:eastAsia="宋体" w:cs="Times New Roman"/>
                <w:b/>
                <w:color w:val="000000"/>
                <w:sz w:val="17"/>
                <w:szCs w:val="17"/>
              </w:rPr>
              <w:t>主要观察量</w:t>
            </w:r>
          </w:p>
        </w:tc>
      </w:tr>
      <w:tr w14:paraId="03CEBE0D">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6B7F30D">
            <w:pPr>
              <w:spacing w:after="0" w:line="252" w:lineRule="auto"/>
              <w:ind w:firstLine="0"/>
              <w:jc w:val="both"/>
            </w:pPr>
            <w:r>
              <w:rPr>
                <w:rFonts w:ascii="Times New Roman" w:hAnsi="Times New Roman" w:eastAsia="宋体" w:cs="Times New Roman"/>
                <w:b w:val="0"/>
                <w:color w:val="000000"/>
                <w:sz w:val="17"/>
                <w:szCs w:val="17"/>
              </w:rPr>
              <w:t>Z轴独立标准阶跃</w:t>
            </w:r>
          </w:p>
        </w:tc>
        <w:tc>
          <w:tcPr>
            <w:tcW w:w="0" w:type="auto"/>
            <w:tcMar>
              <w:top w:w="55" w:type="dxa"/>
              <w:left w:w="70" w:type="dxa"/>
              <w:bottom w:w="55" w:type="dxa"/>
              <w:right w:w="70" w:type="dxa"/>
            </w:tcMar>
            <w:vAlign w:val="center"/>
          </w:tcPr>
          <w:p w14:paraId="66F83089">
            <w:pPr>
              <w:spacing w:after="0" w:line="252" w:lineRule="auto"/>
              <w:ind w:firstLine="0"/>
              <w:jc w:val="both"/>
            </w:pPr>
            <w:r>
              <w:rPr>
                <w:rFonts w:ascii="Times New Roman" w:hAnsi="Times New Roman" w:eastAsia="宋体" w:cs="Times New Roman"/>
                <w:b w:val="0"/>
                <w:color w:val="000000"/>
                <w:sz w:val="17"/>
                <w:szCs w:val="17"/>
              </w:rPr>
              <w:t>Scene01S_Z</w:t>
            </w:r>
          </w:p>
        </w:tc>
        <w:tc>
          <w:tcPr>
            <w:tcW w:w="0" w:type="auto"/>
            <w:tcMar>
              <w:top w:w="55" w:type="dxa"/>
              <w:left w:w="70" w:type="dxa"/>
              <w:bottom w:w="55" w:type="dxa"/>
              <w:right w:w="70" w:type="dxa"/>
            </w:tcMar>
            <w:vAlign w:val="center"/>
          </w:tcPr>
          <w:p w14:paraId="7C44EB0E">
            <w:pPr>
              <w:spacing w:after="0" w:line="252" w:lineRule="auto"/>
              <w:ind w:firstLine="0"/>
              <w:jc w:val="both"/>
            </w:pPr>
            <w:r>
              <w:rPr>
                <w:rFonts w:ascii="Times New Roman" w:hAnsi="Times New Roman" w:eastAsia="宋体" w:cs="Times New Roman"/>
                <w:b w:val="0"/>
                <w:color w:val="000000"/>
                <w:sz w:val="17"/>
                <w:szCs w:val="17"/>
              </w:rPr>
              <w:t>30 s</w:t>
            </w:r>
          </w:p>
        </w:tc>
        <w:tc>
          <w:tcPr>
            <w:tcW w:w="0" w:type="auto"/>
            <w:tcMar>
              <w:top w:w="55" w:type="dxa"/>
              <w:left w:w="70" w:type="dxa"/>
              <w:bottom w:w="55" w:type="dxa"/>
              <w:right w:w="70" w:type="dxa"/>
            </w:tcMar>
            <w:vAlign w:val="center"/>
          </w:tcPr>
          <w:p w14:paraId="3EF26627">
            <w:pPr>
              <w:spacing w:after="0" w:line="252" w:lineRule="auto"/>
              <w:ind w:firstLine="0"/>
              <w:jc w:val="both"/>
            </w:pPr>
            <w:r>
              <w:rPr>
                <w:rFonts w:ascii="Times New Roman" w:hAnsi="Times New Roman" w:eastAsia="宋体" w:cs="Times New Roman"/>
                <w:b w:val="0"/>
                <w:color w:val="000000"/>
                <w:sz w:val="17"/>
                <w:szCs w:val="17"/>
              </w:rPr>
              <w:t>高度超调、调节过程和稳态</w:t>
            </w:r>
          </w:p>
        </w:tc>
      </w:tr>
      <w:tr w14:paraId="171B5654">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35CDC301">
            <w:pPr>
              <w:spacing w:after="0" w:line="252" w:lineRule="auto"/>
              <w:ind w:firstLine="0"/>
              <w:jc w:val="both"/>
            </w:pPr>
            <w:r>
              <w:rPr>
                <w:rFonts w:ascii="Times New Roman" w:hAnsi="Times New Roman" w:eastAsia="宋体" w:cs="Times New Roman"/>
                <w:b w:val="0"/>
                <w:color w:val="000000"/>
                <w:sz w:val="17"/>
                <w:szCs w:val="17"/>
              </w:rPr>
              <w:t>螺旋爬升</w:t>
            </w:r>
          </w:p>
        </w:tc>
        <w:tc>
          <w:tcPr>
            <w:tcW w:w="0" w:type="auto"/>
            <w:tcMar>
              <w:top w:w="55" w:type="dxa"/>
              <w:left w:w="70" w:type="dxa"/>
              <w:bottom w:w="55" w:type="dxa"/>
              <w:right w:w="70" w:type="dxa"/>
            </w:tcMar>
            <w:vAlign w:val="center"/>
          </w:tcPr>
          <w:p w14:paraId="1A96F017">
            <w:pPr>
              <w:spacing w:after="0" w:line="252" w:lineRule="auto"/>
              <w:ind w:firstLine="0"/>
              <w:jc w:val="both"/>
            </w:pPr>
            <w:r>
              <w:rPr>
                <w:rFonts w:ascii="Times New Roman" w:hAnsi="Times New Roman" w:eastAsia="宋体" w:cs="Times New Roman"/>
                <w:b w:val="0"/>
                <w:color w:val="000000"/>
                <w:sz w:val="17"/>
                <w:szCs w:val="17"/>
              </w:rPr>
              <w:t>Scene02</w:t>
            </w:r>
          </w:p>
        </w:tc>
        <w:tc>
          <w:tcPr>
            <w:tcW w:w="0" w:type="auto"/>
            <w:tcMar>
              <w:top w:w="55" w:type="dxa"/>
              <w:left w:w="70" w:type="dxa"/>
              <w:bottom w:w="55" w:type="dxa"/>
              <w:right w:w="70" w:type="dxa"/>
            </w:tcMar>
            <w:vAlign w:val="center"/>
          </w:tcPr>
          <w:p w14:paraId="2BFE1E1D">
            <w:pPr>
              <w:spacing w:after="0" w:line="252" w:lineRule="auto"/>
              <w:ind w:firstLine="0"/>
              <w:jc w:val="both"/>
            </w:pPr>
            <w:r>
              <w:rPr>
                <w:rFonts w:ascii="Times New Roman" w:hAnsi="Times New Roman" w:eastAsia="宋体" w:cs="Times New Roman"/>
                <w:b w:val="0"/>
                <w:color w:val="000000"/>
                <w:sz w:val="17"/>
                <w:szCs w:val="17"/>
              </w:rPr>
              <w:t>50 s</w:t>
            </w:r>
          </w:p>
        </w:tc>
        <w:tc>
          <w:tcPr>
            <w:tcW w:w="0" w:type="auto"/>
            <w:tcMar>
              <w:top w:w="55" w:type="dxa"/>
              <w:left w:w="70" w:type="dxa"/>
              <w:bottom w:w="55" w:type="dxa"/>
              <w:right w:w="70" w:type="dxa"/>
            </w:tcMar>
            <w:vAlign w:val="center"/>
          </w:tcPr>
          <w:p w14:paraId="72D549F2">
            <w:pPr>
              <w:spacing w:after="0" w:line="252" w:lineRule="auto"/>
              <w:ind w:firstLine="0"/>
              <w:jc w:val="both"/>
            </w:pPr>
            <w:r>
              <w:rPr>
                <w:rFonts w:ascii="Times New Roman" w:hAnsi="Times New Roman" w:eastAsia="宋体" w:cs="Times New Roman"/>
                <w:b w:val="0"/>
                <w:color w:val="000000"/>
                <w:sz w:val="17"/>
                <w:szCs w:val="17"/>
              </w:rPr>
              <w:t>三维轨迹、连续爬升和位置误差</w:t>
            </w:r>
          </w:p>
        </w:tc>
      </w:tr>
      <w:tr w14:paraId="3DAC2A0B">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5A8035B3">
            <w:pPr>
              <w:spacing w:after="0" w:line="252" w:lineRule="auto"/>
              <w:ind w:firstLine="0"/>
              <w:jc w:val="both"/>
            </w:pPr>
            <w:r>
              <w:rPr>
                <w:rFonts w:ascii="Times New Roman" w:hAnsi="Times New Roman" w:eastAsia="宋体" w:cs="Times New Roman"/>
                <w:b w:val="0"/>
                <w:color w:val="000000"/>
                <w:sz w:val="17"/>
                <w:szCs w:val="17"/>
              </w:rPr>
              <w:t>八字轨迹跟踪</w:t>
            </w:r>
          </w:p>
        </w:tc>
        <w:tc>
          <w:tcPr>
            <w:tcW w:w="0" w:type="auto"/>
            <w:tcMar>
              <w:top w:w="55" w:type="dxa"/>
              <w:left w:w="70" w:type="dxa"/>
              <w:bottom w:w="55" w:type="dxa"/>
              <w:right w:w="70" w:type="dxa"/>
            </w:tcMar>
            <w:vAlign w:val="center"/>
          </w:tcPr>
          <w:p w14:paraId="238FB140">
            <w:pPr>
              <w:spacing w:after="0" w:line="252" w:lineRule="auto"/>
              <w:ind w:firstLine="0"/>
              <w:jc w:val="both"/>
            </w:pPr>
            <w:r>
              <w:rPr>
                <w:rFonts w:ascii="Times New Roman" w:hAnsi="Times New Roman" w:eastAsia="宋体" w:cs="Times New Roman"/>
                <w:b w:val="0"/>
                <w:color w:val="000000"/>
                <w:sz w:val="17"/>
                <w:szCs w:val="17"/>
              </w:rPr>
              <w:t>Scene03</w:t>
            </w:r>
          </w:p>
        </w:tc>
        <w:tc>
          <w:tcPr>
            <w:tcW w:w="0" w:type="auto"/>
            <w:tcMar>
              <w:top w:w="55" w:type="dxa"/>
              <w:left w:w="70" w:type="dxa"/>
              <w:bottom w:w="55" w:type="dxa"/>
              <w:right w:w="70" w:type="dxa"/>
            </w:tcMar>
            <w:vAlign w:val="center"/>
          </w:tcPr>
          <w:p w14:paraId="1EA7D5D0">
            <w:pPr>
              <w:spacing w:after="0" w:line="252" w:lineRule="auto"/>
              <w:ind w:firstLine="0"/>
              <w:jc w:val="both"/>
            </w:pPr>
            <w:r>
              <w:rPr>
                <w:rFonts w:ascii="Times New Roman" w:hAnsi="Times New Roman" w:eastAsia="宋体" w:cs="Times New Roman"/>
                <w:b w:val="0"/>
                <w:color w:val="000000"/>
                <w:sz w:val="17"/>
                <w:szCs w:val="17"/>
              </w:rPr>
              <w:t>120 s</w:t>
            </w:r>
          </w:p>
        </w:tc>
        <w:tc>
          <w:tcPr>
            <w:tcW w:w="0" w:type="auto"/>
            <w:tcMar>
              <w:top w:w="55" w:type="dxa"/>
              <w:left w:w="70" w:type="dxa"/>
              <w:bottom w:w="55" w:type="dxa"/>
              <w:right w:w="70" w:type="dxa"/>
            </w:tcMar>
            <w:vAlign w:val="center"/>
          </w:tcPr>
          <w:p w14:paraId="41BD1011">
            <w:pPr>
              <w:spacing w:after="0" w:line="252" w:lineRule="auto"/>
              <w:ind w:firstLine="0"/>
              <w:jc w:val="both"/>
            </w:pPr>
            <w:r>
              <w:rPr>
                <w:rFonts w:ascii="Times New Roman" w:hAnsi="Times New Roman" w:eastAsia="宋体" w:cs="Times New Roman"/>
                <w:b w:val="0"/>
                <w:color w:val="000000"/>
                <w:sz w:val="17"/>
                <w:szCs w:val="17"/>
              </w:rPr>
              <w:t>方向反转、轨迹闭合和位置误差</w:t>
            </w:r>
          </w:p>
        </w:tc>
      </w:tr>
    </w:tbl>
    <w:p w14:paraId="7E96CCA5">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'A8_runs\Chapter3_basic'</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-Scene Scene01S_Z,Scene02,Scene03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-Output $Output</w:t>
      </w:r>
    </w:p>
    <w:p w14:paraId="597EE28E">
      <w:pPr>
        <w:widowControl/>
      </w:pPr>
      <w:r>
        <w:rPr>
          <w:rFonts w:ascii="Times New Roman" w:hAnsi="Times New Roman" w:eastAsia="宋体" w:cs="Times New Roman"/>
          <w:color w:val="000000"/>
          <w:sz w:val="21"/>
          <w:szCs w:val="21"/>
        </w:rPr>
        <w:t>运行结束后，输出目录应包含execution_status.json、raw和simulation三个主要入口。execution_status.json中的success应为true、status应为execution_pass，三个场景记录的check、translate、simulate和read_result均应为true。raw目录中应出现对应的三个CSV文件。</w:t>
      </w:r>
    </w:p>
    <w:p w14:paraId="0290026E">
      <w:pPr>
        <w:widowControl/>
      </w:pPr>
      <w:r>
        <w:rPr>
          <w:rFonts w:ascii="Times New Roman" w:hAnsi="Times New Roman" w:eastAsia="宋体" w:cs="Times New Roman"/>
          <w:color w:val="000000"/>
          <w:sz w:val="21"/>
          <w:szCs w:val="21"/>
        </w:rPr>
        <w:t>图3-1给出三项基础任务的参考结果。Z轴阶跃应在过渡后稳定到参考高度；螺旋爬升应形成连续空间轨迹；八字轨迹应完成两侧回环并经过中心交汇。图中数值用于核对本项目当前结果，不是其他任务的统一阈值。</w:t>
      </w:r>
    </w:p>
    <w:p w14:paraId="5D1EE582">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2633980"/>
            <wp:effectExtent l="0" t="0" r="12700" b="13970"/>
            <wp:docPr id="7" name="Figure 7" descr="图3-1  Z轴阶跃、螺旋爬升与八字轨迹的参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图3-1  Z轴阶跃、螺旋爬升与八字轨迹的参考结果"/>
                    <pic:cNvPicPr>
                      <a:picLocks noChangeAspect="1"/>
                    </pic:cNvPicPr>
                  </pic:nvPicPr>
                  <pic:blipFill>
                    <a:blip r:embed="rId18"/>
                    <a:stretch>
                      <a:fillRect/>
                    </a:stretch>
                  </pic:blipFill>
                  <pic:spPr>
                    <a:xfrm>
                      <a:off x="0" y="0"/>
                      <a:ext cx="5760000" cy="2634491"/>
                    </a:xfrm>
                    <a:prstGeom prst="rect">
                      <a:avLst/>
                    </a:prstGeom>
                  </pic:spPr>
                </pic:pic>
              </a:graphicData>
            </a:graphic>
          </wp:inline>
        </w:drawing>
      </w:r>
    </w:p>
    <w:p w14:paraId="62D480E2">
      <w:pPr>
        <w:pStyle w:val="15"/>
        <w:keepLines/>
        <w:widowControl/>
        <w:ind w:firstLine="0"/>
        <w:jc w:val="center"/>
      </w:pPr>
      <w:r>
        <w:rPr>
          <w:rFonts w:ascii="Times New Roman" w:hAnsi="Times New Roman" w:eastAsia="宋体" w:cs="Times New Roman"/>
          <w:color w:val="000000"/>
          <w:sz w:val="19"/>
          <w:szCs w:val="19"/>
        </w:rPr>
        <w:t>图3-1  Z轴阶跃、螺旋爬升与八字轨迹的参考结果</w:t>
      </w:r>
    </w:p>
    <w:p w14:paraId="68C90C88">
      <w:pPr>
        <w:pStyle w:val="4"/>
        <w:keepNext/>
        <w:widowControl/>
      </w:pPr>
      <w:bookmarkStart w:id="9" w:name="_Toc235146491"/>
      <w:r>
        <w:rPr>
          <w:rFonts w:ascii="Times New Roman" w:hAnsi="Times New Roman" w:eastAsia="黑体" w:cs="Times New Roman"/>
          <w:color w:val="000000"/>
          <w:sz w:val="26"/>
          <w:szCs w:val="26"/>
        </w:rPr>
        <w:t>3.2  参数场景与外力扰动</w:t>
      </w:r>
      <w:bookmarkEnd w:id="9"/>
    </w:p>
    <w:p w14:paraId="172077E5">
      <w:pPr>
        <w:widowControl/>
      </w:pPr>
      <w:r>
        <w:rPr>
          <w:rFonts w:ascii="Times New Roman" w:hAnsi="Times New Roman" w:eastAsia="宋体" w:cs="Times New Roman"/>
          <w:color w:val="000000"/>
          <w:sz w:val="21"/>
          <w:szCs w:val="21"/>
        </w:rPr>
        <w:t>参数教程使用已经注册的预定义工况，不直接修改控制器源码。升力降低场景改变被控对象条件，RA-GCA-CGHTE的四项正式增强参数仍保持固定，不能通过命令行覆盖。表3-2列出本节任务及当前证据中的核对值。</w:t>
      </w:r>
    </w:p>
    <w:p w14:paraId="5B0C7DEA">
      <w:pPr>
        <w:pStyle w:val="15"/>
        <w:keepNext/>
        <w:keepLines/>
        <w:widowControl/>
        <w:ind w:firstLine="0"/>
        <w:jc w:val="center"/>
      </w:pPr>
      <w:r>
        <w:rPr>
          <w:rFonts w:ascii="Times New Roman" w:hAnsi="Times New Roman" w:eastAsia="宋体" w:cs="Times New Roman"/>
          <w:color w:val="000000"/>
          <w:sz w:val="19"/>
          <w:szCs w:val="19"/>
        </w:rPr>
        <w:t>表3-2  参数与外扰任务的运行核对值</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1670"/>
        <w:gridCol w:w="1774"/>
        <w:gridCol w:w="482"/>
        <w:gridCol w:w="3116"/>
      </w:tblGrid>
      <w:tr w14:paraId="50B43FFD">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67BFCD3E">
            <w:pPr>
              <w:spacing w:after="0" w:line="252" w:lineRule="auto"/>
              <w:ind w:firstLine="0"/>
              <w:jc w:val="center"/>
            </w:pPr>
            <w:r>
              <w:rPr>
                <w:rFonts w:ascii="Times New Roman" w:hAnsi="Times New Roman" w:eastAsia="宋体" w:cs="Times New Roman"/>
                <w:b/>
                <w:color w:val="000000"/>
                <w:sz w:val="17"/>
                <w:szCs w:val="17"/>
              </w:rPr>
              <w:t>正式任务</w:t>
            </w:r>
          </w:p>
        </w:tc>
        <w:tc>
          <w:tcPr>
            <w:tcW w:w="0" w:type="auto"/>
            <w:tcBorders>
              <w:bottom w:val="single" w:color="000000" w:sz="8" w:space="0"/>
            </w:tcBorders>
            <w:tcMar>
              <w:top w:w="55" w:type="dxa"/>
              <w:left w:w="70" w:type="dxa"/>
              <w:bottom w:w="55" w:type="dxa"/>
              <w:right w:w="70" w:type="dxa"/>
            </w:tcMar>
            <w:vAlign w:val="center"/>
          </w:tcPr>
          <w:p w14:paraId="5A088D06">
            <w:pPr>
              <w:spacing w:after="0" w:line="252" w:lineRule="auto"/>
              <w:ind w:firstLine="0"/>
              <w:jc w:val="center"/>
            </w:pPr>
            <w:r>
              <w:rPr>
                <w:rFonts w:ascii="Times New Roman" w:hAnsi="Times New Roman" w:eastAsia="宋体" w:cs="Times New Roman"/>
                <w:b/>
                <w:color w:val="000000"/>
                <w:sz w:val="17"/>
                <w:szCs w:val="17"/>
              </w:rPr>
              <w:t>场景ID</w:t>
            </w:r>
          </w:p>
        </w:tc>
        <w:tc>
          <w:tcPr>
            <w:tcW w:w="0" w:type="auto"/>
            <w:tcBorders>
              <w:bottom w:val="single" w:color="000000" w:sz="8" w:space="0"/>
            </w:tcBorders>
            <w:tcMar>
              <w:top w:w="55" w:type="dxa"/>
              <w:left w:w="70" w:type="dxa"/>
              <w:bottom w:w="55" w:type="dxa"/>
              <w:right w:w="70" w:type="dxa"/>
            </w:tcMar>
            <w:vAlign w:val="center"/>
          </w:tcPr>
          <w:p w14:paraId="71661999">
            <w:pPr>
              <w:spacing w:after="0" w:line="252" w:lineRule="auto"/>
              <w:ind w:firstLine="0"/>
              <w:jc w:val="center"/>
            </w:pPr>
            <w:r>
              <w:rPr>
                <w:rFonts w:ascii="Times New Roman" w:hAnsi="Times New Roman" w:eastAsia="宋体" w:cs="Times New Roman"/>
                <w:b/>
                <w:color w:val="000000"/>
                <w:sz w:val="17"/>
                <w:szCs w:val="17"/>
              </w:rPr>
              <w:t>时长</w:t>
            </w:r>
          </w:p>
        </w:tc>
        <w:tc>
          <w:tcPr>
            <w:tcW w:w="0" w:type="auto"/>
            <w:tcBorders>
              <w:bottom w:val="single" w:color="000000" w:sz="8" w:space="0"/>
            </w:tcBorders>
            <w:tcMar>
              <w:top w:w="55" w:type="dxa"/>
              <w:left w:w="70" w:type="dxa"/>
              <w:bottom w:w="55" w:type="dxa"/>
              <w:right w:w="70" w:type="dxa"/>
            </w:tcMar>
            <w:vAlign w:val="center"/>
          </w:tcPr>
          <w:p w14:paraId="1CC7EDC0">
            <w:pPr>
              <w:spacing w:after="0" w:line="252" w:lineRule="auto"/>
              <w:ind w:firstLine="0"/>
              <w:jc w:val="center"/>
            </w:pPr>
            <w:r>
              <w:rPr>
                <w:rFonts w:ascii="Times New Roman" w:hAnsi="Times New Roman" w:eastAsia="宋体" w:cs="Times New Roman"/>
                <w:b/>
                <w:color w:val="000000"/>
                <w:sz w:val="17"/>
                <w:szCs w:val="17"/>
              </w:rPr>
              <w:t>当前运行核对值</w:t>
            </w:r>
          </w:p>
        </w:tc>
      </w:tr>
      <w:tr w14:paraId="62F870A7">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42623B61">
            <w:pPr>
              <w:spacing w:after="0" w:line="252" w:lineRule="auto"/>
              <w:ind w:firstLine="0"/>
              <w:jc w:val="center"/>
            </w:pPr>
            <w:r>
              <w:rPr>
                <w:rFonts w:ascii="Times New Roman" w:hAnsi="Times New Roman" w:eastAsia="宋体" w:cs="Times New Roman"/>
                <w:b w:val="0"/>
                <w:color w:val="000000"/>
                <w:sz w:val="17"/>
                <w:szCs w:val="17"/>
              </w:rPr>
              <w:t>参数名义工况</w:t>
            </w:r>
          </w:p>
        </w:tc>
        <w:tc>
          <w:tcPr>
            <w:tcW w:w="0" w:type="auto"/>
            <w:tcMar>
              <w:top w:w="55" w:type="dxa"/>
              <w:left w:w="70" w:type="dxa"/>
              <w:bottom w:w="55" w:type="dxa"/>
              <w:right w:w="70" w:type="dxa"/>
            </w:tcMar>
            <w:vAlign w:val="center"/>
          </w:tcPr>
          <w:p w14:paraId="091D84E5">
            <w:pPr>
              <w:spacing w:after="0" w:line="252" w:lineRule="auto"/>
              <w:ind w:firstLine="0"/>
              <w:jc w:val="center"/>
            </w:pPr>
            <w:r>
              <w:rPr>
                <w:rFonts w:ascii="Times New Roman" w:hAnsi="Times New Roman" w:eastAsia="宋体" w:cs="Times New Roman"/>
                <w:b w:val="0"/>
                <w:color w:val="000000"/>
                <w:sz w:val="17"/>
                <w:szCs w:val="17"/>
              </w:rPr>
              <w:t>Scene05B_Nominal</w:t>
            </w:r>
          </w:p>
        </w:tc>
        <w:tc>
          <w:tcPr>
            <w:tcW w:w="0" w:type="auto"/>
            <w:tcMar>
              <w:top w:w="55" w:type="dxa"/>
              <w:left w:w="70" w:type="dxa"/>
              <w:bottom w:w="55" w:type="dxa"/>
              <w:right w:w="70" w:type="dxa"/>
            </w:tcMar>
            <w:vAlign w:val="center"/>
          </w:tcPr>
          <w:p w14:paraId="3961026F">
            <w:pPr>
              <w:spacing w:after="0" w:line="252" w:lineRule="auto"/>
              <w:ind w:firstLine="0"/>
              <w:jc w:val="center"/>
            </w:pPr>
            <w:r>
              <w:rPr>
                <w:rFonts w:ascii="Times New Roman" w:hAnsi="Times New Roman" w:eastAsia="宋体" w:cs="Times New Roman"/>
                <w:b w:val="0"/>
                <w:color w:val="000000"/>
                <w:sz w:val="17"/>
                <w:szCs w:val="17"/>
              </w:rPr>
              <w:t>50 s</w:t>
            </w:r>
          </w:p>
        </w:tc>
        <w:tc>
          <w:tcPr>
            <w:tcW w:w="0" w:type="auto"/>
            <w:tcMar>
              <w:top w:w="55" w:type="dxa"/>
              <w:left w:w="70" w:type="dxa"/>
              <w:bottom w:w="55" w:type="dxa"/>
              <w:right w:w="70" w:type="dxa"/>
            </w:tcMar>
            <w:vAlign w:val="center"/>
          </w:tcPr>
          <w:p w14:paraId="5AC45F06">
            <w:pPr>
              <w:spacing w:after="0" w:line="252" w:lineRule="auto"/>
              <w:ind w:firstLine="0"/>
              <w:jc w:val="center"/>
            </w:pPr>
            <w:r>
              <w:rPr>
                <w:rFonts w:ascii="Times New Roman" w:hAnsi="Times New Roman" w:eastAsia="宋体" w:cs="Times New Roman"/>
                <w:b w:val="0"/>
                <w:color w:val="000000"/>
                <w:sz w:val="17"/>
                <w:szCs w:val="17"/>
              </w:rPr>
              <w:t>位置RMSE 0.01469 m</w:t>
            </w:r>
          </w:p>
        </w:tc>
      </w:tr>
      <w:tr w14:paraId="56CB97D4">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37F007B">
            <w:pPr>
              <w:spacing w:after="0" w:line="252" w:lineRule="auto"/>
              <w:ind w:firstLine="0"/>
              <w:jc w:val="center"/>
            </w:pPr>
            <w:r>
              <w:rPr>
                <w:rFonts w:ascii="Times New Roman" w:hAnsi="Times New Roman" w:eastAsia="宋体" w:cs="Times New Roman"/>
                <w:b w:val="0"/>
                <w:color w:val="000000"/>
                <w:sz w:val="17"/>
                <w:szCs w:val="17"/>
              </w:rPr>
              <w:t>升力降低10%</w:t>
            </w:r>
          </w:p>
        </w:tc>
        <w:tc>
          <w:tcPr>
            <w:tcW w:w="0" w:type="auto"/>
            <w:tcMar>
              <w:top w:w="55" w:type="dxa"/>
              <w:left w:w="70" w:type="dxa"/>
              <w:bottom w:w="55" w:type="dxa"/>
              <w:right w:w="70" w:type="dxa"/>
            </w:tcMar>
            <w:vAlign w:val="center"/>
          </w:tcPr>
          <w:p w14:paraId="1AEC2FA6">
            <w:pPr>
              <w:spacing w:after="0" w:line="252" w:lineRule="auto"/>
              <w:ind w:firstLine="0"/>
              <w:jc w:val="center"/>
            </w:pPr>
            <w:r>
              <w:rPr>
                <w:rFonts w:ascii="Times New Roman" w:hAnsi="Times New Roman" w:eastAsia="宋体" w:cs="Times New Roman"/>
                <w:b w:val="0"/>
                <w:color w:val="000000"/>
                <w:sz w:val="17"/>
                <w:szCs w:val="17"/>
              </w:rPr>
              <w:t>Scene05B_LiftMinus10</w:t>
            </w:r>
          </w:p>
        </w:tc>
        <w:tc>
          <w:tcPr>
            <w:tcW w:w="0" w:type="auto"/>
            <w:tcMar>
              <w:top w:w="55" w:type="dxa"/>
              <w:left w:w="70" w:type="dxa"/>
              <w:bottom w:w="55" w:type="dxa"/>
              <w:right w:w="70" w:type="dxa"/>
            </w:tcMar>
            <w:vAlign w:val="center"/>
          </w:tcPr>
          <w:p w14:paraId="0A5C0A43">
            <w:pPr>
              <w:spacing w:after="0" w:line="252" w:lineRule="auto"/>
              <w:ind w:firstLine="0"/>
              <w:jc w:val="center"/>
            </w:pPr>
            <w:r>
              <w:rPr>
                <w:rFonts w:ascii="Times New Roman" w:hAnsi="Times New Roman" w:eastAsia="宋体" w:cs="Times New Roman"/>
                <w:b w:val="0"/>
                <w:color w:val="000000"/>
                <w:sz w:val="17"/>
                <w:szCs w:val="17"/>
              </w:rPr>
              <w:t>50 s</w:t>
            </w:r>
          </w:p>
        </w:tc>
        <w:tc>
          <w:tcPr>
            <w:tcW w:w="0" w:type="auto"/>
            <w:tcMar>
              <w:top w:w="55" w:type="dxa"/>
              <w:left w:w="70" w:type="dxa"/>
              <w:bottom w:w="55" w:type="dxa"/>
              <w:right w:w="70" w:type="dxa"/>
            </w:tcMar>
            <w:vAlign w:val="center"/>
          </w:tcPr>
          <w:p w14:paraId="5A93C5E3">
            <w:pPr>
              <w:spacing w:after="0" w:line="252" w:lineRule="auto"/>
              <w:ind w:firstLine="0"/>
              <w:jc w:val="center"/>
            </w:pPr>
            <w:r>
              <w:rPr>
                <w:rFonts w:ascii="Times New Roman" w:hAnsi="Times New Roman" w:eastAsia="宋体" w:cs="Times New Roman"/>
                <w:b w:val="0"/>
                <w:color w:val="000000"/>
                <w:sz w:val="17"/>
                <w:szCs w:val="17"/>
              </w:rPr>
              <w:t>位置RMSE 0.02251 m；应用尺度 1.1111</w:t>
            </w:r>
          </w:p>
        </w:tc>
      </w:tr>
      <w:tr w14:paraId="3CE1B3D8">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03464B26">
            <w:pPr>
              <w:spacing w:after="0" w:line="252" w:lineRule="auto"/>
              <w:ind w:firstLine="0"/>
              <w:jc w:val="center"/>
            </w:pPr>
            <w:r>
              <w:rPr>
                <w:rFonts w:ascii="Times New Roman" w:hAnsi="Times New Roman" w:eastAsia="宋体" w:cs="Times New Roman"/>
                <w:b w:val="0"/>
                <w:color w:val="000000"/>
                <w:sz w:val="17"/>
                <w:szCs w:val="17"/>
              </w:rPr>
              <w:t>三事件外力扰动恢复</w:t>
            </w:r>
          </w:p>
        </w:tc>
        <w:tc>
          <w:tcPr>
            <w:tcW w:w="0" w:type="auto"/>
            <w:tcMar>
              <w:top w:w="55" w:type="dxa"/>
              <w:left w:w="70" w:type="dxa"/>
              <w:bottom w:w="55" w:type="dxa"/>
              <w:right w:w="70" w:type="dxa"/>
            </w:tcMar>
            <w:vAlign w:val="center"/>
          </w:tcPr>
          <w:p w14:paraId="35F76610">
            <w:pPr>
              <w:spacing w:after="0" w:line="252" w:lineRule="auto"/>
              <w:ind w:firstLine="0"/>
              <w:jc w:val="center"/>
            </w:pPr>
            <w:r>
              <w:rPr>
                <w:rFonts w:ascii="Times New Roman" w:hAnsi="Times New Roman" w:eastAsia="宋体" w:cs="Times New Roman"/>
                <w:b w:val="0"/>
                <w:color w:val="000000"/>
                <w:sz w:val="17"/>
                <w:szCs w:val="17"/>
              </w:rPr>
              <w:t>Scene06b</w:t>
            </w:r>
          </w:p>
        </w:tc>
        <w:tc>
          <w:tcPr>
            <w:tcW w:w="0" w:type="auto"/>
            <w:tcMar>
              <w:top w:w="55" w:type="dxa"/>
              <w:left w:w="70" w:type="dxa"/>
              <w:bottom w:w="55" w:type="dxa"/>
              <w:right w:w="70" w:type="dxa"/>
            </w:tcMar>
            <w:vAlign w:val="center"/>
          </w:tcPr>
          <w:p w14:paraId="1C81657C">
            <w:pPr>
              <w:spacing w:after="0" w:line="252" w:lineRule="auto"/>
              <w:ind w:firstLine="0"/>
              <w:jc w:val="center"/>
            </w:pPr>
            <w:r>
              <w:rPr>
                <w:rFonts w:ascii="Times New Roman" w:hAnsi="Times New Roman" w:eastAsia="宋体" w:cs="Times New Roman"/>
                <w:b w:val="0"/>
                <w:color w:val="000000"/>
                <w:sz w:val="17"/>
                <w:szCs w:val="17"/>
              </w:rPr>
              <w:t>30 s</w:t>
            </w:r>
          </w:p>
        </w:tc>
        <w:tc>
          <w:tcPr>
            <w:tcW w:w="0" w:type="auto"/>
            <w:tcMar>
              <w:top w:w="55" w:type="dxa"/>
              <w:left w:w="70" w:type="dxa"/>
              <w:bottom w:w="55" w:type="dxa"/>
              <w:right w:w="70" w:type="dxa"/>
            </w:tcMar>
            <w:vAlign w:val="center"/>
          </w:tcPr>
          <w:p w14:paraId="14C8757F">
            <w:pPr>
              <w:spacing w:after="0" w:line="252" w:lineRule="auto"/>
              <w:ind w:firstLine="0"/>
              <w:jc w:val="center"/>
            </w:pPr>
            <w:r>
              <w:rPr>
                <w:rFonts w:ascii="Times New Roman" w:hAnsi="Times New Roman" w:eastAsia="宋体" w:cs="Times New Roman"/>
                <w:b w:val="0"/>
                <w:color w:val="000000"/>
                <w:sz w:val="17"/>
                <w:szCs w:val="17"/>
              </w:rPr>
              <w:t>位置RMSE 0.29490 m；观察峰值与恢复</w:t>
            </w:r>
          </w:p>
        </w:tc>
      </w:tr>
    </w:tbl>
    <w:p w14:paraId="66B35346">
      <w:pPr>
        <w:widowControl/>
      </w:pPr>
      <w:r>
        <w:rPr>
          <w:rFonts w:ascii="Times New Roman" w:hAnsi="Times New Roman" w:eastAsia="宋体" w:cs="Times New Roman"/>
          <w:color w:val="000000"/>
          <w:sz w:val="21"/>
          <w:szCs w:val="21"/>
        </w:rPr>
        <w:t>先在同一输出目录依次运行名义工况和升力降低工况。运行器会在结束阶段恢复名义参数并核对源文件，因此不需要用户手动改回模型参数。</w:t>
      </w:r>
    </w:p>
    <w:p w14:paraId="16D5513A">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'A8_runs\Chapter3_parameter'</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-Scene Scene05B_Nominal,Scene05B_LiftMinus10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-Output $Output</w:t>
      </w:r>
    </w:p>
    <w:p w14:paraId="795FFC52">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参数边界：</w:t>
      </w:r>
      <w:r>
        <w:rPr>
          <w:rFonts w:ascii="Times New Roman" w:hAnsi="Times New Roman" w:eastAsia="宋体" w:cs="Times New Roman"/>
          <w:color w:val="000000"/>
          <w:sz w:val="21"/>
          <w:szCs w:val="21"/>
        </w:rPr>
        <w:t>不要编辑正式控制器固定参数或源文件来模拟工况变化。只有运行器已经注册并能自动恢复的参数场景用于本教程。</w:t>
      </w:r>
    </w:p>
    <w:p w14:paraId="641C1F49">
      <w:pPr>
        <w:widowControl/>
      </w:pPr>
      <w:r>
        <w:rPr>
          <w:rFonts w:ascii="Times New Roman" w:hAnsi="Times New Roman" w:eastAsia="宋体" w:cs="Times New Roman"/>
          <w:color w:val="000000"/>
          <w:sz w:val="21"/>
          <w:szCs w:val="21"/>
        </w:rPr>
        <w:t>升力效率降低10%时，实际高度在过渡后回到1.5 m附近，应用推力尺度逐步收敛。图3-2同时给出高度、估计尺度、应用尺度、估计状态和执行器域使用率，用于确认估计与平滑应用过程。</w:t>
      </w:r>
    </w:p>
    <w:p w14:paraId="2F338D5A">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3634105"/>
            <wp:effectExtent l="0" t="0" r="12700" b="4445"/>
            <wp:docPr id="8" name="Figure 8" descr="图3-2  升力效率降低10%时的高度与推力尺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descr="图3-2  升力效率降低10%时的高度与推力尺度响应"/>
                    <pic:cNvPicPr>
                      <a:picLocks noChangeAspect="1"/>
                    </pic:cNvPicPr>
                  </pic:nvPicPr>
                  <pic:blipFill>
                    <a:blip r:embed="rId19"/>
                    <a:stretch>
                      <a:fillRect/>
                    </a:stretch>
                  </pic:blipFill>
                  <pic:spPr>
                    <a:xfrm>
                      <a:off x="0" y="0"/>
                      <a:ext cx="5760000" cy="3634237"/>
                    </a:xfrm>
                    <a:prstGeom prst="rect">
                      <a:avLst/>
                    </a:prstGeom>
                  </pic:spPr>
                </pic:pic>
              </a:graphicData>
            </a:graphic>
          </wp:inline>
        </w:drawing>
      </w:r>
    </w:p>
    <w:p w14:paraId="4A95DA35">
      <w:pPr>
        <w:pStyle w:val="15"/>
        <w:keepLines/>
        <w:widowControl/>
        <w:ind w:firstLine="0"/>
        <w:jc w:val="center"/>
      </w:pPr>
      <w:r>
        <w:rPr>
          <w:rFonts w:ascii="Times New Roman" w:hAnsi="Times New Roman" w:eastAsia="宋体" w:cs="Times New Roman"/>
          <w:color w:val="000000"/>
          <w:sz w:val="19"/>
          <w:szCs w:val="19"/>
        </w:rPr>
        <w:t>图3-2  升力效率降低10%时的高度与推力尺度响应</w:t>
      </w:r>
    </w:p>
    <w:p w14:paraId="26770165">
      <w:pPr>
        <w:widowControl/>
      </w:pPr>
      <w:r>
        <w:rPr>
          <w:rFonts w:ascii="Times New Roman" w:hAnsi="Times New Roman" w:eastAsia="宋体" w:cs="Times New Roman"/>
          <w:color w:val="000000"/>
          <w:sz w:val="21"/>
          <w:szCs w:val="21"/>
        </w:rPr>
        <w:t>三事件外力扰动恢复任务单独写入新的输出目录，便于与参数结果区分。</w:t>
      </w:r>
    </w:p>
    <w:p w14:paraId="4AF3260F">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'A8_runs\Chapter3_disturbance'</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-Scene Scene06b -Output $Output</w:t>
      </w:r>
    </w:p>
    <w:p w14:paraId="48B0F873">
      <w:pPr>
        <w:widowControl/>
      </w:pPr>
      <w:r>
        <w:rPr>
          <w:rFonts w:ascii="Times New Roman" w:hAnsi="Times New Roman" w:eastAsia="宋体" w:cs="Times New Roman"/>
          <w:color w:val="000000"/>
          <w:sz w:val="21"/>
          <w:szCs w:val="21"/>
        </w:rPr>
        <w:t>当前主算法在该场景的位置RMSE为0.29490 m。图3-3同时保留五对象同场景结果，其中CP-INDI为0.06212 m，属于该场景的局部优势，不能据此推断其他场景的算法排序。</w:t>
      </w:r>
    </w:p>
    <w:p w14:paraId="34C3F773">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2734310"/>
            <wp:effectExtent l="0" t="0" r="12700" b="8890"/>
            <wp:docPr id="9" name="Figure 9" descr="图3-3  三事件外力扰动场景的五对象位置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descr="图3-3  三事件外力扰动场景的五对象位置RMSE"/>
                    <pic:cNvPicPr>
                      <a:picLocks noChangeAspect="1"/>
                    </pic:cNvPicPr>
                  </pic:nvPicPr>
                  <pic:blipFill>
                    <a:blip r:embed="rId20"/>
                    <a:stretch>
                      <a:fillRect/>
                    </a:stretch>
                  </pic:blipFill>
                  <pic:spPr>
                    <a:xfrm>
                      <a:off x="0" y="0"/>
                      <a:ext cx="5760000" cy="2734876"/>
                    </a:xfrm>
                    <a:prstGeom prst="rect">
                      <a:avLst/>
                    </a:prstGeom>
                  </pic:spPr>
                </pic:pic>
              </a:graphicData>
            </a:graphic>
          </wp:inline>
        </w:drawing>
      </w:r>
    </w:p>
    <w:p w14:paraId="4A0C8AE8">
      <w:pPr>
        <w:pStyle w:val="15"/>
        <w:keepLines/>
        <w:widowControl/>
        <w:ind w:firstLine="0"/>
        <w:jc w:val="center"/>
      </w:pPr>
      <w:r>
        <w:rPr>
          <w:rFonts w:ascii="Times New Roman" w:hAnsi="Times New Roman" w:eastAsia="宋体" w:cs="Times New Roman"/>
          <w:color w:val="000000"/>
          <w:sz w:val="19"/>
          <w:szCs w:val="19"/>
        </w:rPr>
        <w:t>图3-3  三事件外力扰动场景的五对象位置RMSE</w:t>
      </w:r>
    </w:p>
    <w:p w14:paraId="42846513">
      <w:pPr>
        <w:pStyle w:val="4"/>
        <w:keepNext/>
        <w:widowControl/>
      </w:pPr>
      <w:bookmarkStart w:id="10" w:name="_Toc235146492"/>
      <w:r>
        <w:rPr>
          <w:rFonts w:ascii="Times New Roman" w:hAnsi="Times New Roman" w:eastAsia="黑体" w:cs="Times New Roman"/>
          <w:color w:val="000000"/>
          <w:sz w:val="26"/>
          <w:szCs w:val="26"/>
        </w:rPr>
        <w:t>3.3  三机编队与PP-CBF</w:t>
      </w:r>
      <w:bookmarkEnd w:id="10"/>
    </w:p>
    <w:p w14:paraId="29BA7CBE">
      <w:pPr>
        <w:widowControl/>
      </w:pPr>
      <w:r>
        <w:rPr>
          <w:rFonts w:ascii="Times New Roman" w:hAnsi="Times New Roman" w:eastAsia="宋体" w:cs="Times New Roman"/>
          <w:color w:val="000000"/>
          <w:sz w:val="21"/>
          <w:szCs w:val="21"/>
        </w:rPr>
        <w:t>三机任务继续使用RA-GCA-CGHTE作为低层控制器。PP-CBF是独立的上层安全监督器，只在近距离交汇任务中比较关闭和开启状态。表3-3给出三个任务的当前核对值。</w:t>
      </w:r>
    </w:p>
    <w:p w14:paraId="7F4F45E8">
      <w:pPr>
        <w:pStyle w:val="15"/>
        <w:keepNext/>
        <w:keepLines/>
        <w:widowControl/>
        <w:ind w:firstLine="0"/>
        <w:jc w:val="center"/>
      </w:pPr>
      <w:r>
        <w:rPr>
          <w:rFonts w:ascii="Times New Roman" w:hAnsi="Times New Roman" w:eastAsia="宋体" w:cs="Times New Roman"/>
          <w:color w:val="000000"/>
          <w:sz w:val="19"/>
          <w:szCs w:val="19"/>
        </w:rPr>
        <w:t>表3-3  三机编队与安全监督任务</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2102"/>
        <w:gridCol w:w="2048"/>
        <w:gridCol w:w="482"/>
        <w:gridCol w:w="3290"/>
      </w:tblGrid>
      <w:tr w14:paraId="0D49662C">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1AE4D153">
            <w:pPr>
              <w:spacing w:after="0" w:line="252" w:lineRule="auto"/>
              <w:ind w:firstLine="0"/>
              <w:jc w:val="center"/>
            </w:pPr>
            <w:r>
              <w:rPr>
                <w:rFonts w:ascii="Times New Roman" w:hAnsi="Times New Roman" w:eastAsia="宋体" w:cs="Times New Roman"/>
                <w:b/>
                <w:color w:val="000000"/>
                <w:sz w:val="17"/>
                <w:szCs w:val="17"/>
              </w:rPr>
              <w:t>正式任务</w:t>
            </w:r>
          </w:p>
        </w:tc>
        <w:tc>
          <w:tcPr>
            <w:tcW w:w="0" w:type="auto"/>
            <w:tcBorders>
              <w:bottom w:val="single" w:color="000000" w:sz="8" w:space="0"/>
            </w:tcBorders>
            <w:tcMar>
              <w:top w:w="55" w:type="dxa"/>
              <w:left w:w="70" w:type="dxa"/>
              <w:bottom w:w="55" w:type="dxa"/>
              <w:right w:w="70" w:type="dxa"/>
            </w:tcMar>
            <w:vAlign w:val="center"/>
          </w:tcPr>
          <w:p w14:paraId="0A372C19">
            <w:pPr>
              <w:spacing w:after="0" w:line="252" w:lineRule="auto"/>
              <w:ind w:firstLine="0"/>
              <w:jc w:val="center"/>
            </w:pPr>
            <w:r>
              <w:rPr>
                <w:rFonts w:ascii="Times New Roman" w:hAnsi="Times New Roman" w:eastAsia="宋体" w:cs="Times New Roman"/>
                <w:b/>
                <w:color w:val="000000"/>
                <w:sz w:val="17"/>
                <w:szCs w:val="17"/>
              </w:rPr>
              <w:t>场景ID</w:t>
            </w:r>
          </w:p>
        </w:tc>
        <w:tc>
          <w:tcPr>
            <w:tcW w:w="0" w:type="auto"/>
            <w:tcBorders>
              <w:bottom w:val="single" w:color="000000" w:sz="8" w:space="0"/>
            </w:tcBorders>
            <w:tcMar>
              <w:top w:w="55" w:type="dxa"/>
              <w:left w:w="70" w:type="dxa"/>
              <w:bottom w:w="55" w:type="dxa"/>
              <w:right w:w="70" w:type="dxa"/>
            </w:tcMar>
            <w:vAlign w:val="center"/>
          </w:tcPr>
          <w:p w14:paraId="0FE91A7D">
            <w:pPr>
              <w:spacing w:after="0" w:line="252" w:lineRule="auto"/>
              <w:ind w:firstLine="0"/>
              <w:jc w:val="center"/>
            </w:pPr>
            <w:r>
              <w:rPr>
                <w:rFonts w:ascii="Times New Roman" w:hAnsi="Times New Roman" w:eastAsia="宋体" w:cs="Times New Roman"/>
                <w:b/>
                <w:color w:val="000000"/>
                <w:sz w:val="17"/>
                <w:szCs w:val="17"/>
              </w:rPr>
              <w:t>时长</w:t>
            </w:r>
          </w:p>
        </w:tc>
        <w:tc>
          <w:tcPr>
            <w:tcW w:w="0" w:type="auto"/>
            <w:tcBorders>
              <w:bottom w:val="single" w:color="000000" w:sz="8" w:space="0"/>
            </w:tcBorders>
            <w:tcMar>
              <w:top w:w="55" w:type="dxa"/>
              <w:left w:w="70" w:type="dxa"/>
              <w:bottom w:w="55" w:type="dxa"/>
              <w:right w:w="70" w:type="dxa"/>
            </w:tcMar>
            <w:vAlign w:val="center"/>
          </w:tcPr>
          <w:p w14:paraId="606CA42A">
            <w:pPr>
              <w:spacing w:after="0" w:line="252" w:lineRule="auto"/>
              <w:ind w:firstLine="0"/>
              <w:jc w:val="center"/>
            </w:pPr>
            <w:r>
              <w:rPr>
                <w:rFonts w:ascii="Times New Roman" w:hAnsi="Times New Roman" w:eastAsia="宋体" w:cs="Times New Roman"/>
                <w:b/>
                <w:color w:val="000000"/>
                <w:sz w:val="17"/>
                <w:szCs w:val="17"/>
              </w:rPr>
              <w:t>当前运行核对值</w:t>
            </w:r>
          </w:p>
        </w:tc>
      </w:tr>
      <w:tr w14:paraId="209063DD">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5FC959EF">
            <w:pPr>
              <w:spacing w:after="0" w:line="252" w:lineRule="auto"/>
              <w:ind w:firstLine="0"/>
              <w:jc w:val="center"/>
            </w:pPr>
            <w:r>
              <w:rPr>
                <w:rFonts w:ascii="Times New Roman" w:hAnsi="Times New Roman" w:eastAsia="宋体" w:cs="Times New Roman"/>
                <w:b w:val="0"/>
                <w:color w:val="000000"/>
                <w:sz w:val="17"/>
                <w:szCs w:val="17"/>
              </w:rPr>
              <w:t>三机队形变换</w:t>
            </w:r>
          </w:p>
        </w:tc>
        <w:tc>
          <w:tcPr>
            <w:tcW w:w="0" w:type="auto"/>
            <w:tcMar>
              <w:top w:w="55" w:type="dxa"/>
              <w:left w:w="70" w:type="dxa"/>
              <w:bottom w:w="55" w:type="dxa"/>
              <w:right w:w="70" w:type="dxa"/>
            </w:tcMar>
            <w:vAlign w:val="center"/>
          </w:tcPr>
          <w:p w14:paraId="02FCE35F">
            <w:pPr>
              <w:spacing w:after="0" w:line="252" w:lineRule="auto"/>
              <w:ind w:firstLine="0"/>
              <w:jc w:val="center"/>
            </w:pPr>
            <w:r>
              <w:rPr>
                <w:rFonts w:ascii="Times New Roman" w:hAnsi="Times New Roman" w:eastAsia="宋体" w:cs="Times New Roman"/>
                <w:b w:val="0"/>
                <w:color w:val="000000"/>
                <w:sz w:val="17"/>
                <w:szCs w:val="17"/>
              </w:rPr>
              <w:t>Scene07B</w:t>
            </w:r>
          </w:p>
        </w:tc>
        <w:tc>
          <w:tcPr>
            <w:tcW w:w="0" w:type="auto"/>
            <w:tcMar>
              <w:top w:w="55" w:type="dxa"/>
              <w:left w:w="70" w:type="dxa"/>
              <w:bottom w:w="55" w:type="dxa"/>
              <w:right w:w="70" w:type="dxa"/>
            </w:tcMar>
            <w:vAlign w:val="center"/>
          </w:tcPr>
          <w:p w14:paraId="2496DD2F">
            <w:pPr>
              <w:spacing w:after="0" w:line="252" w:lineRule="auto"/>
              <w:ind w:firstLine="0"/>
              <w:jc w:val="center"/>
            </w:pPr>
            <w:r>
              <w:rPr>
                <w:rFonts w:ascii="Times New Roman" w:hAnsi="Times New Roman" w:eastAsia="宋体" w:cs="Times New Roman"/>
                <w:b w:val="0"/>
                <w:color w:val="000000"/>
                <w:sz w:val="17"/>
                <w:szCs w:val="17"/>
              </w:rPr>
              <w:t>60 s</w:t>
            </w:r>
          </w:p>
        </w:tc>
        <w:tc>
          <w:tcPr>
            <w:tcW w:w="0" w:type="auto"/>
            <w:tcMar>
              <w:top w:w="55" w:type="dxa"/>
              <w:left w:w="70" w:type="dxa"/>
              <w:bottom w:w="55" w:type="dxa"/>
              <w:right w:w="70" w:type="dxa"/>
            </w:tcMar>
            <w:vAlign w:val="center"/>
          </w:tcPr>
          <w:p w14:paraId="6FDB7DE9">
            <w:pPr>
              <w:spacing w:after="0" w:line="252" w:lineRule="auto"/>
              <w:ind w:firstLine="0"/>
              <w:jc w:val="center"/>
            </w:pPr>
            <w:r>
              <w:rPr>
                <w:rFonts w:ascii="Times New Roman" w:hAnsi="Times New Roman" w:eastAsia="宋体" w:cs="Times New Roman"/>
                <w:b w:val="0"/>
                <w:color w:val="000000"/>
                <w:sz w:val="17"/>
                <w:szCs w:val="17"/>
              </w:rPr>
              <w:t>最小间距 0.8530 m；队形RMSE 0.03828 m</w:t>
            </w:r>
          </w:p>
        </w:tc>
      </w:tr>
      <w:tr w14:paraId="46EE2DB5">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6FFC63BA">
            <w:pPr>
              <w:spacing w:after="0" w:line="252" w:lineRule="auto"/>
              <w:ind w:firstLine="0"/>
              <w:jc w:val="center"/>
            </w:pPr>
            <w:r>
              <w:rPr>
                <w:rFonts w:ascii="Times New Roman" w:hAnsi="Times New Roman" w:eastAsia="宋体" w:cs="Times New Roman"/>
                <w:b w:val="0"/>
                <w:color w:val="000000"/>
                <w:sz w:val="17"/>
                <w:szCs w:val="17"/>
              </w:rPr>
              <w:t>近距离交汇：PP-CBF关闭</w:t>
            </w:r>
          </w:p>
        </w:tc>
        <w:tc>
          <w:tcPr>
            <w:tcW w:w="0" w:type="auto"/>
            <w:tcMar>
              <w:top w:w="55" w:type="dxa"/>
              <w:left w:w="70" w:type="dxa"/>
              <w:bottom w:w="55" w:type="dxa"/>
              <w:right w:w="70" w:type="dxa"/>
            </w:tcMar>
            <w:vAlign w:val="center"/>
          </w:tcPr>
          <w:p w14:paraId="483972B0">
            <w:pPr>
              <w:spacing w:after="0" w:line="252" w:lineRule="auto"/>
              <w:ind w:firstLine="0"/>
              <w:jc w:val="center"/>
            </w:pPr>
            <w:r>
              <w:rPr>
                <w:rFonts w:ascii="Times New Roman" w:hAnsi="Times New Roman" w:eastAsia="宋体" w:cs="Times New Roman"/>
                <w:b w:val="0"/>
                <w:color w:val="000000"/>
                <w:sz w:val="17"/>
                <w:szCs w:val="17"/>
              </w:rPr>
              <w:t>Scene07COff</w:t>
            </w:r>
          </w:p>
        </w:tc>
        <w:tc>
          <w:tcPr>
            <w:tcW w:w="0" w:type="auto"/>
            <w:tcMar>
              <w:top w:w="55" w:type="dxa"/>
              <w:left w:w="70" w:type="dxa"/>
              <w:bottom w:w="55" w:type="dxa"/>
              <w:right w:w="70" w:type="dxa"/>
            </w:tcMar>
            <w:vAlign w:val="center"/>
          </w:tcPr>
          <w:p w14:paraId="5EB2B09B">
            <w:pPr>
              <w:spacing w:after="0" w:line="252" w:lineRule="auto"/>
              <w:ind w:firstLine="0"/>
              <w:jc w:val="center"/>
            </w:pPr>
            <w:r>
              <w:rPr>
                <w:rFonts w:ascii="Times New Roman" w:hAnsi="Times New Roman" w:eastAsia="宋体" w:cs="Times New Roman"/>
                <w:b w:val="0"/>
                <w:color w:val="000000"/>
                <w:sz w:val="17"/>
                <w:szCs w:val="17"/>
              </w:rPr>
              <w:t>40 s</w:t>
            </w:r>
          </w:p>
        </w:tc>
        <w:tc>
          <w:tcPr>
            <w:tcW w:w="0" w:type="auto"/>
            <w:tcMar>
              <w:top w:w="55" w:type="dxa"/>
              <w:left w:w="70" w:type="dxa"/>
              <w:bottom w:w="55" w:type="dxa"/>
              <w:right w:w="70" w:type="dxa"/>
            </w:tcMar>
            <w:vAlign w:val="center"/>
          </w:tcPr>
          <w:p w14:paraId="52E1989B">
            <w:pPr>
              <w:spacing w:after="0" w:line="252" w:lineRule="auto"/>
              <w:ind w:firstLine="0"/>
              <w:jc w:val="center"/>
            </w:pPr>
            <w:r>
              <w:rPr>
                <w:rFonts w:ascii="Times New Roman" w:hAnsi="Times New Roman" w:eastAsia="宋体" w:cs="Times New Roman"/>
                <w:b w:val="0"/>
                <w:color w:val="000000"/>
                <w:sz w:val="17"/>
                <w:szCs w:val="17"/>
              </w:rPr>
              <w:t>最小间距 0.3832 m；风险暴露 2.04 s</w:t>
            </w:r>
          </w:p>
        </w:tc>
      </w:tr>
      <w:tr w14:paraId="2B6DFB7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17CEB73E">
            <w:pPr>
              <w:spacing w:after="0" w:line="252" w:lineRule="auto"/>
              <w:ind w:firstLine="0"/>
              <w:jc w:val="center"/>
            </w:pPr>
            <w:r>
              <w:rPr>
                <w:rFonts w:ascii="Times New Roman" w:hAnsi="Times New Roman" w:eastAsia="宋体" w:cs="Times New Roman"/>
                <w:b w:val="0"/>
                <w:color w:val="000000"/>
                <w:sz w:val="17"/>
                <w:szCs w:val="17"/>
              </w:rPr>
              <w:t>近距离交汇：PP-CBF开启</w:t>
            </w:r>
          </w:p>
        </w:tc>
        <w:tc>
          <w:tcPr>
            <w:tcW w:w="0" w:type="auto"/>
            <w:tcMar>
              <w:top w:w="55" w:type="dxa"/>
              <w:left w:w="70" w:type="dxa"/>
              <w:bottom w:w="55" w:type="dxa"/>
              <w:right w:w="70" w:type="dxa"/>
            </w:tcMar>
            <w:vAlign w:val="center"/>
          </w:tcPr>
          <w:p w14:paraId="468DA3B3">
            <w:pPr>
              <w:spacing w:after="0" w:line="252" w:lineRule="auto"/>
              <w:ind w:firstLine="0"/>
              <w:jc w:val="center"/>
            </w:pPr>
            <w:r>
              <w:rPr>
                <w:rFonts w:ascii="Times New Roman" w:hAnsi="Times New Roman" w:eastAsia="宋体" w:cs="Times New Roman"/>
                <w:b w:val="0"/>
                <w:color w:val="000000"/>
                <w:sz w:val="17"/>
                <w:szCs w:val="17"/>
              </w:rPr>
              <w:t>Scene07COnPredictiveV5C</w:t>
            </w:r>
          </w:p>
        </w:tc>
        <w:tc>
          <w:tcPr>
            <w:tcW w:w="0" w:type="auto"/>
            <w:tcMar>
              <w:top w:w="55" w:type="dxa"/>
              <w:left w:w="70" w:type="dxa"/>
              <w:bottom w:w="55" w:type="dxa"/>
              <w:right w:w="70" w:type="dxa"/>
            </w:tcMar>
            <w:vAlign w:val="center"/>
          </w:tcPr>
          <w:p w14:paraId="3662B33D">
            <w:pPr>
              <w:spacing w:after="0" w:line="252" w:lineRule="auto"/>
              <w:ind w:firstLine="0"/>
              <w:jc w:val="center"/>
            </w:pPr>
            <w:r>
              <w:rPr>
                <w:rFonts w:ascii="Times New Roman" w:hAnsi="Times New Roman" w:eastAsia="宋体" w:cs="Times New Roman"/>
                <w:b w:val="0"/>
                <w:color w:val="000000"/>
                <w:sz w:val="17"/>
                <w:szCs w:val="17"/>
              </w:rPr>
              <w:t>40 s</w:t>
            </w:r>
          </w:p>
        </w:tc>
        <w:tc>
          <w:tcPr>
            <w:tcW w:w="0" w:type="auto"/>
            <w:tcMar>
              <w:top w:w="55" w:type="dxa"/>
              <w:left w:w="70" w:type="dxa"/>
              <w:bottom w:w="55" w:type="dxa"/>
              <w:right w:w="70" w:type="dxa"/>
            </w:tcMar>
            <w:vAlign w:val="center"/>
          </w:tcPr>
          <w:p w14:paraId="6C6BDA2E">
            <w:pPr>
              <w:spacing w:after="0" w:line="252" w:lineRule="auto"/>
              <w:ind w:firstLine="0"/>
              <w:jc w:val="center"/>
            </w:pPr>
            <w:r>
              <w:rPr>
                <w:rFonts w:ascii="Times New Roman" w:hAnsi="Times New Roman" w:eastAsia="宋体" w:cs="Times New Roman"/>
                <w:b w:val="0"/>
                <w:color w:val="000000"/>
                <w:sz w:val="17"/>
                <w:szCs w:val="17"/>
              </w:rPr>
              <w:t>最小间距 0.6113 m；风险暴露 0.00 s</w:t>
            </w:r>
          </w:p>
        </w:tc>
      </w:tr>
    </w:tbl>
    <w:p w14:paraId="0DA06721">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'A8_runs\Chapter3_formation'</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-Scene Scene07B,Scene07COff,Scene07COnPredictiveV5C `</w:t>
      </w:r>
      <w:r>
        <w:rPr>
          <w:rFonts w:ascii="Consolas" w:hAnsi="Consolas" w:eastAsia="等线" w:cs="Consolas"/>
          <w:color w:val="000000"/>
          <w:sz w:val="16"/>
          <w:szCs w:val="16"/>
        </w:rPr>
        <w:br w:type="textWrapping"/>
      </w:r>
      <w:r>
        <w:rPr>
          <w:rFonts w:ascii="Consolas" w:hAnsi="Consolas" w:eastAsia="等线" w:cs="Consolas"/>
          <w:color w:val="000000"/>
          <w:sz w:val="16"/>
          <w:szCs w:val="16"/>
        </w:rPr>
        <w:t xml:space="preserve">    -Output $Output</w:t>
      </w:r>
    </w:p>
    <w:p w14:paraId="51616775">
      <w:pPr>
        <w:widowControl/>
      </w:pPr>
      <w:r>
        <w:rPr>
          <w:rFonts w:ascii="Times New Roman" w:hAnsi="Times New Roman" w:eastAsia="宋体" w:cs="Times New Roman"/>
          <w:color w:val="000000"/>
          <w:sz w:val="21"/>
          <w:szCs w:val="21"/>
        </w:rPr>
        <w:t>三机队形变换中，最小两机中心间距为0.8530 m，队形误差RMSE为0.03828 m，三机全局位置跟踪RMSE为0.02871 m。队形误差与全局位置跟踪误差含义不同，查看结果时不能混用。图3-4用于核对轨迹和相对误差。</w:t>
      </w:r>
    </w:p>
    <w:p w14:paraId="61EA8E1F">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615940" cy="2260600"/>
            <wp:effectExtent l="0" t="0" r="3810" b="6350"/>
            <wp:docPr id="10" name="Figure 10" descr="图3-4  三机队形变换的轨迹与相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descr="图3-4  三机队形变换的轨迹与相对误差"/>
                    <pic:cNvPicPr>
                      <a:picLocks noChangeAspect="1"/>
                    </pic:cNvPicPr>
                  </pic:nvPicPr>
                  <pic:blipFill>
                    <a:blip r:embed="rId21"/>
                    <a:stretch>
                      <a:fillRect/>
                    </a:stretch>
                  </pic:blipFill>
                  <pic:spPr>
                    <a:xfrm>
                      <a:off x="0" y="0"/>
                      <a:ext cx="5616000" cy="2261043"/>
                    </a:xfrm>
                    <a:prstGeom prst="rect">
                      <a:avLst/>
                    </a:prstGeom>
                  </pic:spPr>
                </pic:pic>
              </a:graphicData>
            </a:graphic>
          </wp:inline>
        </w:drawing>
      </w:r>
    </w:p>
    <w:p w14:paraId="3D5C11D4">
      <w:pPr>
        <w:pStyle w:val="15"/>
        <w:keepLines/>
        <w:widowControl/>
        <w:ind w:firstLine="0"/>
        <w:jc w:val="center"/>
      </w:pPr>
      <w:r>
        <w:rPr>
          <w:rFonts w:ascii="Times New Roman" w:hAnsi="Times New Roman" w:eastAsia="宋体" w:cs="Times New Roman"/>
          <w:color w:val="000000"/>
          <w:sz w:val="19"/>
          <w:szCs w:val="19"/>
        </w:rPr>
        <w:t>图3-4  三机队形变换的轨迹与相对误差</w:t>
      </w:r>
    </w:p>
    <w:p w14:paraId="7BC6F3E3">
      <w:pPr>
        <w:widowControl/>
      </w:pPr>
      <w:r>
        <w:rPr>
          <w:rFonts w:ascii="Times New Roman" w:hAnsi="Times New Roman" w:eastAsia="宋体" w:cs="Times New Roman"/>
          <w:color w:val="000000"/>
          <w:sz w:val="21"/>
          <w:szCs w:val="21"/>
        </w:rPr>
        <w:t>近距离交汇时，PP-CBF开启后最小间距由0.3832 m增至0.6113 m，低于0.60 m的累计时间由2.04 s降至0.00 s。三机全局位置跟踪RMSE由0.06724 m增至0.08334 m，对应跟踪代价增加23.95%。</w:t>
      </w:r>
    </w:p>
    <w:p w14:paraId="6BD3D2BF">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219700" cy="3604260"/>
            <wp:effectExtent l="0" t="0" r="0" b="15240"/>
            <wp:docPr id="11" name="Figure 11" descr="图3-5  PP-CBF开关下的最小机间距与风险暴露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descr="图3-5  PP-CBF开关下的最小机间距与风险暴露时间"/>
                    <pic:cNvPicPr>
                      <a:picLocks noChangeAspect="1"/>
                    </pic:cNvPicPr>
                  </pic:nvPicPr>
                  <pic:blipFill>
                    <a:blip r:embed="rId22"/>
                    <a:stretch>
                      <a:fillRect/>
                    </a:stretch>
                  </pic:blipFill>
                  <pic:spPr>
                    <a:xfrm>
                      <a:off x="0" y="0"/>
                      <a:ext cx="5220000" cy="3604286"/>
                    </a:xfrm>
                    <a:prstGeom prst="rect">
                      <a:avLst/>
                    </a:prstGeom>
                  </pic:spPr>
                </pic:pic>
              </a:graphicData>
            </a:graphic>
          </wp:inline>
        </w:drawing>
      </w:r>
    </w:p>
    <w:p w14:paraId="46EFBD53">
      <w:pPr>
        <w:pStyle w:val="15"/>
        <w:keepLines/>
        <w:widowControl/>
        <w:ind w:firstLine="0"/>
        <w:jc w:val="center"/>
      </w:pPr>
      <w:r>
        <w:rPr>
          <w:rFonts w:ascii="Times New Roman" w:hAnsi="Times New Roman" w:eastAsia="宋体" w:cs="Times New Roman"/>
          <w:color w:val="000000"/>
          <w:sz w:val="19"/>
          <w:szCs w:val="19"/>
        </w:rPr>
        <w:t>图3-5  PP-CBF开关下的最小机间距与风险暴露时间</w:t>
      </w:r>
    </w:p>
    <w:p w14:paraId="5EBC6438">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评价边界：</w:t>
      </w:r>
      <w:r>
        <w:rPr>
          <w:rFonts w:ascii="Times New Roman" w:hAnsi="Times New Roman" w:eastAsia="宋体" w:cs="Times New Roman"/>
          <w:color w:val="000000"/>
          <w:sz w:val="21"/>
          <w:szCs w:val="21"/>
        </w:rPr>
        <w:t>0.60 m是本项目用于比较近距离交汇风险的评价距离，不是比赛统一安全阈值。PP-CBF的安全收益伴随跟踪代价，不能只保留其中一项结果。</w:t>
      </w:r>
    </w:p>
    <w:p w14:paraId="6267070A">
      <w:pPr>
        <w:widowControl/>
      </w:pPr>
      <w:r>
        <w:rPr>
          <w:rFonts w:ascii="Times New Roman" w:hAnsi="Times New Roman" w:eastAsia="宋体" w:cs="Times New Roman"/>
          <w:color w:val="000000"/>
          <w:sz w:val="21"/>
          <w:szCs w:val="21"/>
        </w:rPr>
        <w:t>完成上述任务后，第3章的基础、参数、外扰和编队结果均位于用户目录下的独立输出文件夹。曲线选择、字段含义、结果导出和详细判读统一见第4章。</w:t>
      </w:r>
    </w:p>
    <w:p w14:paraId="42369E77">
      <w:pPr>
        <w:pStyle w:val="3"/>
        <w:keepNext/>
        <w:pageBreakBefore/>
        <w:widowControl/>
      </w:pPr>
      <w:bookmarkStart w:id="11" w:name="_Toc235146493"/>
      <w:r>
        <w:rPr>
          <w:rFonts w:ascii="Times New Roman" w:hAnsi="Times New Roman" w:eastAsia="黑体" w:cs="Times New Roman"/>
          <w:color w:val="000000"/>
          <w:sz w:val="32"/>
          <w:szCs w:val="32"/>
        </w:rPr>
        <w:t>第4章  结果查看、导出与判读</w:t>
      </w:r>
      <w:bookmarkEnd w:id="11"/>
    </w:p>
    <w:p w14:paraId="165BDC9E">
      <w:pPr>
        <w:widowControl/>
      </w:pPr>
      <w:r>
        <w:rPr>
          <w:rFonts w:ascii="Times New Roman" w:hAnsi="Times New Roman" w:eastAsia="宋体" w:cs="Times New Roman"/>
          <w:color w:val="000000"/>
          <w:sz w:val="21"/>
          <w:szCs w:val="21"/>
        </w:rPr>
        <w:t>本章承接第2章首次运行和第3章场景复现，说明如何确认输出、在Sysplorer中选择信号、生成曲线并保存可复算证据。结果判读以包外输出目录中的状态文件、raw数据和正式证据表为准，截图只用于定位操作。</w:t>
      </w:r>
    </w:p>
    <w:p w14:paraId="5163F7BB">
      <w:pPr>
        <w:pStyle w:val="4"/>
        <w:keepNext/>
        <w:widowControl/>
      </w:pPr>
      <w:bookmarkStart w:id="12" w:name="_Toc235146494"/>
      <w:r>
        <w:rPr>
          <w:rFonts w:ascii="Times New Roman" w:hAnsi="Times New Roman" w:eastAsia="黑体" w:cs="Times New Roman"/>
          <w:color w:val="000000"/>
          <w:sz w:val="26"/>
          <w:szCs w:val="26"/>
        </w:rPr>
        <w:t>4.1  输出、曲线与导出</w:t>
      </w:r>
      <w:bookmarkEnd w:id="12"/>
    </w:p>
    <w:p w14:paraId="7457012F">
      <w:pPr>
        <w:widowControl/>
      </w:pPr>
      <w:r>
        <w:rPr>
          <w:rFonts w:ascii="Times New Roman" w:hAnsi="Times New Roman" w:eastAsia="宋体" w:cs="Times New Roman"/>
          <w:color w:val="000000"/>
          <w:sz w:val="21"/>
          <w:szCs w:val="21"/>
        </w:rPr>
        <w:t>每次运行先检查&lt;输出目录&gt;\execution_status.json。success为true且status为execution_pass时，再查看raw和Sysplorer结果；若状态未通过，应先按第6章排查，不依据不完整曲线形成结论。</w:t>
      </w:r>
    </w:p>
    <w:p w14:paraId="45C03FE3">
      <w:pPr>
        <w:widowControl/>
        <w:ind w:left="425" w:hanging="425"/>
      </w:pPr>
      <w:r>
        <w:rPr>
          <w:rFonts w:ascii="Times New Roman" w:hAnsi="Times New Roman" w:eastAsia="宋体" w:cs="Times New Roman"/>
          <w:b/>
          <w:color w:val="000000"/>
          <w:sz w:val="21"/>
          <w:szCs w:val="21"/>
        </w:rPr>
        <w:t>1. 确认场景和结果入口。</w:t>
      </w:r>
      <w:r>
        <w:rPr>
          <w:rFonts w:ascii="Times New Roman" w:hAnsi="Times New Roman" w:eastAsia="宋体" w:cs="Times New Roman"/>
          <w:color w:val="000000"/>
          <w:sz w:val="21"/>
          <w:szCs w:val="21"/>
        </w:rPr>
        <w:t>打开结果查看器后，先核对窗口标题中的场景名称，再展开左侧“仿真浏览器”。图4-1以Scene04为例，场景名称必须与本次命令一致。</w:t>
      </w:r>
    </w:p>
    <w:p w14:paraId="05C60D4B">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2303780"/>
            <wp:effectExtent l="0" t="0" r="12700" b="1270"/>
            <wp:docPr id="12" name="Figure 12" descr="图4-1  打开结果查看器并确认当前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descr="图4-1  打开结果查看器并确认当前场景"/>
                    <pic:cNvPicPr>
                      <a:picLocks noChangeAspect="1"/>
                    </pic:cNvPicPr>
                  </pic:nvPicPr>
                  <pic:blipFill>
                    <a:blip r:embed="rId23"/>
                    <a:stretch>
                      <a:fillRect/>
                    </a:stretch>
                  </pic:blipFill>
                  <pic:spPr>
                    <a:xfrm>
                      <a:off x="0" y="0"/>
                      <a:ext cx="5760000" cy="2304000"/>
                    </a:xfrm>
                    <a:prstGeom prst="rect">
                      <a:avLst/>
                    </a:prstGeom>
                  </pic:spPr>
                </pic:pic>
              </a:graphicData>
            </a:graphic>
          </wp:inline>
        </w:drawing>
      </w:r>
    </w:p>
    <w:p w14:paraId="7F00DBEF">
      <w:pPr>
        <w:pStyle w:val="15"/>
        <w:keepLines/>
        <w:widowControl/>
        <w:ind w:firstLine="0"/>
        <w:jc w:val="center"/>
      </w:pPr>
      <w:r>
        <w:rPr>
          <w:rFonts w:ascii="Times New Roman" w:hAnsi="Times New Roman" w:eastAsia="宋体" w:cs="Times New Roman"/>
          <w:color w:val="000000"/>
          <w:sz w:val="19"/>
          <w:szCs w:val="19"/>
        </w:rPr>
        <w:t>图4-1  打开结果查看器并确认当前场景</w:t>
      </w:r>
    </w:p>
    <w:p w14:paraId="4A134257">
      <w:pPr>
        <w:widowControl/>
        <w:ind w:left="425" w:hanging="425"/>
      </w:pPr>
      <w:r>
        <w:rPr>
          <w:rFonts w:ascii="Times New Roman" w:hAnsi="Times New Roman" w:eastAsia="宋体" w:cs="Times New Roman"/>
          <w:b/>
          <w:color w:val="000000"/>
          <w:sz w:val="21"/>
          <w:szCs w:val="21"/>
        </w:rPr>
        <w:t>2. 选择参考量和实际量。</w:t>
      </w:r>
      <w:r>
        <w:rPr>
          <w:rFonts w:ascii="Times New Roman" w:hAnsi="Times New Roman" w:eastAsia="宋体" w:cs="Times New Roman"/>
          <w:color w:val="000000"/>
          <w:sz w:val="21"/>
          <w:szCs w:val="21"/>
        </w:rPr>
        <w:t>定点悬停高度使用referenceVector[3]和quadChassisTest17_1.body.r_0[3]。先选参考量，再选实际量；三机任务的最小间距、队形误差和PP-CBF状态应按raw表头及正式证据字段核对。</w:t>
      </w:r>
    </w:p>
    <w:p w14:paraId="3D3391E8">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1964690"/>
            <wp:effectExtent l="0" t="0" r="12700" b="16510"/>
            <wp:docPr id="13" name="Figure 13" descr="图4-2  在仿真浏览器中定位高度参考与实际高度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3" descr="图4-2  在仿真浏览器中定位高度参考与实际高度信号"/>
                    <pic:cNvPicPr>
                      <a:picLocks noChangeAspect="1"/>
                    </pic:cNvPicPr>
                  </pic:nvPicPr>
                  <pic:blipFill>
                    <a:blip r:embed="rId24"/>
                    <a:stretch>
                      <a:fillRect/>
                    </a:stretch>
                  </pic:blipFill>
                  <pic:spPr>
                    <a:xfrm>
                      <a:off x="0" y="0"/>
                      <a:ext cx="5760000" cy="1965176"/>
                    </a:xfrm>
                    <a:prstGeom prst="rect">
                      <a:avLst/>
                    </a:prstGeom>
                  </pic:spPr>
                </pic:pic>
              </a:graphicData>
            </a:graphic>
          </wp:inline>
        </w:drawing>
      </w:r>
    </w:p>
    <w:p w14:paraId="5F5AB9AF">
      <w:pPr>
        <w:pStyle w:val="15"/>
        <w:keepLines/>
        <w:widowControl/>
        <w:ind w:firstLine="0"/>
        <w:jc w:val="center"/>
      </w:pPr>
      <w:r>
        <w:rPr>
          <w:rFonts w:ascii="Times New Roman" w:hAnsi="Times New Roman" w:eastAsia="宋体" w:cs="Times New Roman"/>
          <w:color w:val="000000"/>
          <w:sz w:val="19"/>
          <w:szCs w:val="19"/>
        </w:rPr>
        <w:t>图4-2  在仿真浏览器中定位高度参考与实际高度信号</w:t>
      </w:r>
    </w:p>
    <w:p w14:paraId="4498273D">
      <w:pPr>
        <w:widowControl/>
        <w:ind w:left="425" w:hanging="425"/>
      </w:pPr>
      <w:r>
        <w:rPr>
          <w:rFonts w:ascii="Times New Roman" w:hAnsi="Times New Roman" w:eastAsia="宋体" w:cs="Times New Roman"/>
          <w:b/>
          <w:color w:val="000000"/>
          <w:sz w:val="21"/>
          <w:szCs w:val="21"/>
        </w:rPr>
        <w:t>3. 生成并检查曲线。</w:t>
      </w:r>
      <w:r>
        <w:rPr>
          <w:rFonts w:ascii="Times New Roman" w:hAnsi="Times New Roman" w:eastAsia="宋体" w:cs="Times New Roman"/>
          <w:color w:val="000000"/>
          <w:sz w:val="21"/>
          <w:szCs w:val="21"/>
        </w:rPr>
        <w:t>曲线生成后保留场景标题、两条图例、横轴范围和单位。图4-3中的时间范围为0至30 s，实际高度单位为m；参考量与实际量应在同一坐标系中比较。</w:t>
      </w:r>
    </w:p>
    <w:p w14:paraId="45643552">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3096260"/>
            <wp:effectExtent l="0" t="0" r="12700" b="8890"/>
            <wp:docPr id="14" name="Figure 14" descr="图4-3  Scene04高度参考与实际高度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descr="图4-3  Scene04高度参考与实际高度曲线"/>
                    <pic:cNvPicPr>
                      <a:picLocks noChangeAspect="1"/>
                    </pic:cNvPicPr>
                  </pic:nvPicPr>
                  <pic:blipFill>
                    <a:blip r:embed="rId25"/>
                    <a:stretch>
                      <a:fillRect/>
                    </a:stretch>
                  </pic:blipFill>
                  <pic:spPr>
                    <a:xfrm>
                      <a:off x="0" y="0"/>
                      <a:ext cx="5760000" cy="3096637"/>
                    </a:xfrm>
                    <a:prstGeom prst="rect">
                      <a:avLst/>
                    </a:prstGeom>
                  </pic:spPr>
                </pic:pic>
              </a:graphicData>
            </a:graphic>
          </wp:inline>
        </w:drawing>
      </w:r>
    </w:p>
    <w:p w14:paraId="152D3911">
      <w:pPr>
        <w:pStyle w:val="15"/>
        <w:keepLines/>
        <w:widowControl/>
        <w:ind w:firstLine="0"/>
        <w:jc w:val="center"/>
      </w:pPr>
      <w:r>
        <w:rPr>
          <w:rFonts w:ascii="Times New Roman" w:hAnsi="Times New Roman" w:eastAsia="宋体" w:cs="Times New Roman"/>
          <w:color w:val="000000"/>
          <w:sz w:val="19"/>
          <w:szCs w:val="19"/>
        </w:rPr>
        <w:t>图4-3  Scene04高度参考与实际高度曲线</w:t>
      </w:r>
    </w:p>
    <w:p w14:paraId="0EA9B8FE">
      <w:pPr>
        <w:widowControl/>
        <w:ind w:left="425" w:hanging="425"/>
      </w:pPr>
      <w:r>
        <w:rPr>
          <w:rFonts w:ascii="Times New Roman" w:hAnsi="Times New Roman" w:eastAsia="宋体" w:cs="Times New Roman"/>
          <w:b/>
          <w:color w:val="000000"/>
          <w:sz w:val="21"/>
          <w:szCs w:val="21"/>
        </w:rPr>
        <w:t>4. 保存机器可读结果。</w:t>
      </w:r>
      <w:r>
        <w:rPr>
          <w:rFonts w:ascii="Times New Roman" w:hAnsi="Times New Roman" w:eastAsia="宋体" w:cs="Times New Roman"/>
          <w:color w:val="000000"/>
          <w:sz w:val="21"/>
          <w:szCs w:val="21"/>
        </w:rPr>
        <w:t>运行器已将规范化数据写入&lt;输出目录&gt;\raw\&lt;场景ID&gt;.csv，复算和表格取值优先使用该CSV。需要保存当前视图或自定义字段时，在包外建立exports目录，并从结果文件操作区导出；不得写回源文件包。</w:t>
      </w:r>
    </w:p>
    <w:p w14:paraId="4D317806">
      <w:pPr>
        <w:widowControl/>
      </w:pPr>
      <w:r>
        <w:rPr>
          <w:rFonts w:ascii="Times New Roman" w:hAnsi="Times New Roman" w:eastAsia="宋体" w:cs="Times New Roman"/>
          <w:color w:val="000000"/>
          <w:sz w:val="21"/>
          <w:szCs w:val="21"/>
        </w:rPr>
        <w:t>本次Scene04操作核对的自定义导出包含3001 个采样点，时间范围为0至30 s；其他场景应按各自停止时间和raw行数核对。</w:t>
      </w:r>
    </w:p>
    <w:p w14:paraId="63FB0B26">
      <w:pPr>
        <w:keepLines/>
        <w:widowControl/>
        <w:pBdr>
          <w:left w:val="single" w:color="315B6B" w:sz="16" w:space="8"/>
        </w:pBdr>
        <w:shd w:val="clear" w:fill="F3F5F7"/>
        <w:spacing w:before="60" w:after="100" w:line="276" w:lineRule="auto"/>
        <w:ind w:left="312" w:right="142" w:firstLine="0"/>
        <w:jc w:val="left"/>
      </w:pPr>
      <w:r>
        <w:rPr>
          <w:rFonts w:ascii="Consolas" w:hAnsi="Consolas" w:eastAsia="等线" w:cs="Consolas"/>
          <w:color w:val="000000"/>
          <w:sz w:val="16"/>
          <w:szCs w:val="16"/>
        </w:rPr>
        <w:t>$Output = Join-Path $env:USERPROFILE 'A8_runs\Chapter4'</w:t>
      </w:r>
      <w:r>
        <w:rPr>
          <w:rFonts w:ascii="Consolas" w:hAnsi="Consolas" w:eastAsia="等线" w:cs="Consolas"/>
          <w:color w:val="000000"/>
          <w:sz w:val="16"/>
          <w:szCs w:val="16"/>
        </w:rPr>
        <w:br w:type="textWrapping"/>
      </w:r>
      <w:r>
        <w:rPr>
          <w:rFonts w:ascii="Consolas" w:hAnsi="Consolas" w:eastAsia="等线" w:cs="Consolas"/>
          <w:color w:val="000000"/>
          <w:sz w:val="16"/>
          <w:szCs w:val="16"/>
        </w:rPr>
        <w:t>$Export = Join-Path $Output 'exports'</w:t>
      </w:r>
      <w:r>
        <w:rPr>
          <w:rFonts w:ascii="Consolas" w:hAnsi="Consolas" w:eastAsia="等线" w:cs="Consolas"/>
          <w:color w:val="000000"/>
          <w:sz w:val="16"/>
          <w:szCs w:val="16"/>
        </w:rPr>
        <w:br w:type="textWrapping"/>
      </w:r>
      <w:r>
        <w:rPr>
          <w:rFonts w:ascii="Consolas" w:hAnsi="Consolas" w:eastAsia="等线" w:cs="Consolas"/>
          <w:color w:val="000000"/>
          <w:sz w:val="16"/>
          <w:szCs w:val="16"/>
        </w:rPr>
        <w:t>New-Item -ItemType Directory -Path $Export -Force</w:t>
      </w:r>
    </w:p>
    <w:p w14:paraId="6AF37B21">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2175510"/>
            <wp:effectExtent l="0" t="0" r="12700" b="15240"/>
            <wp:docPr id="15" name="Figure 15" descr="图4-4  结果文件操作区与包外导出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descr="图4-4  结果文件操作区与包外导出位置"/>
                    <pic:cNvPicPr>
                      <a:picLocks noChangeAspect="1"/>
                    </pic:cNvPicPr>
                  </pic:nvPicPr>
                  <pic:blipFill>
                    <a:blip r:embed="rId26"/>
                    <a:stretch>
                      <a:fillRect/>
                    </a:stretch>
                  </pic:blipFill>
                  <pic:spPr>
                    <a:xfrm>
                      <a:off x="0" y="0"/>
                      <a:ext cx="5760000" cy="2176000"/>
                    </a:xfrm>
                    <a:prstGeom prst="rect">
                      <a:avLst/>
                    </a:prstGeom>
                  </pic:spPr>
                </pic:pic>
              </a:graphicData>
            </a:graphic>
          </wp:inline>
        </w:drawing>
      </w:r>
    </w:p>
    <w:p w14:paraId="41C8579A">
      <w:pPr>
        <w:pStyle w:val="15"/>
        <w:keepLines/>
        <w:widowControl/>
        <w:ind w:firstLine="0"/>
        <w:jc w:val="center"/>
      </w:pPr>
      <w:r>
        <w:rPr>
          <w:rFonts w:ascii="Times New Roman" w:hAnsi="Times New Roman" w:eastAsia="宋体" w:cs="Times New Roman"/>
          <w:color w:val="000000"/>
          <w:sz w:val="19"/>
          <w:szCs w:val="19"/>
        </w:rPr>
        <w:t>图4-4  结果文件操作区与包外导出位置</w:t>
      </w:r>
    </w:p>
    <w:p w14:paraId="1EF3600C">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操作依据：</w:t>
      </w:r>
      <w:r>
        <w:rPr>
          <w:rFonts w:ascii="Times New Roman" w:hAnsi="Times New Roman" w:eastAsia="宋体" w:cs="Times New Roman"/>
          <w:color w:val="000000"/>
          <w:sz w:val="21"/>
          <w:szCs w:val="21"/>
        </w:rPr>
        <w:t>不同安装环境的按钮位置可能略有差异，正式操作以可复制路径和字段名为准。截图中的Scene04只用于演示操作顺序，其他场景按同样方法替换场景名称和观察量。</w:t>
      </w:r>
    </w:p>
    <w:p w14:paraId="05B2748C">
      <w:pPr>
        <w:pStyle w:val="4"/>
        <w:keepNext/>
        <w:widowControl/>
      </w:pPr>
      <w:bookmarkStart w:id="13" w:name="_Toc235146495"/>
      <w:r>
        <w:rPr>
          <w:rFonts w:ascii="Times New Roman" w:hAnsi="Times New Roman" w:eastAsia="黑体" w:cs="Times New Roman"/>
          <w:color w:val="000000"/>
          <w:sz w:val="26"/>
          <w:szCs w:val="26"/>
        </w:rPr>
        <w:t>4.2  指标与证据</w:t>
      </w:r>
      <w:bookmarkEnd w:id="13"/>
    </w:p>
    <w:p w14:paraId="676C4E8C">
      <w:pPr>
        <w:widowControl/>
      </w:pPr>
      <w:r>
        <w:rPr>
          <w:rFonts w:ascii="Times New Roman" w:hAnsi="Times New Roman" w:eastAsia="宋体" w:cs="Times New Roman"/>
          <w:color w:val="000000"/>
          <w:sz w:val="21"/>
          <w:szCs w:val="21"/>
        </w:rPr>
        <w:t>曲线用于发现趋势，指标用于形成可复核结论。表4-1给出本手册使用的核心指标及其权威入口；计算窗口、误差定义和单位不得自行修改。</w:t>
      </w:r>
    </w:p>
    <w:p w14:paraId="122D2047">
      <w:pPr>
        <w:pStyle w:val="15"/>
        <w:keepNext/>
        <w:keepLines/>
        <w:widowControl/>
        <w:ind w:firstLine="0"/>
        <w:jc w:val="center"/>
      </w:pPr>
      <w:r>
        <w:rPr>
          <w:rFonts w:ascii="Times New Roman" w:hAnsi="Times New Roman" w:eastAsia="宋体" w:cs="Times New Roman"/>
          <w:color w:val="000000"/>
          <w:sz w:val="19"/>
          <w:szCs w:val="19"/>
        </w:rPr>
        <w:t>表4-1  主要指标的定义与证据入口</w:t>
      </w:r>
    </w:p>
    <w:tbl>
      <w:tblPr>
        <w:tblStyle w:val="32"/>
        <w:tblW w:w="5000" w:type="pct"/>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1135"/>
        <w:gridCol w:w="6218"/>
        <w:gridCol w:w="1915"/>
      </w:tblGrid>
      <w:tr w14:paraId="3420EE2E">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612" w:type="pct"/>
            <w:tcBorders>
              <w:bottom w:val="single" w:color="000000" w:sz="8" w:space="0"/>
            </w:tcBorders>
            <w:tcMar>
              <w:top w:w="55" w:type="dxa"/>
              <w:left w:w="70" w:type="dxa"/>
              <w:bottom w:w="55" w:type="dxa"/>
              <w:right w:w="70" w:type="dxa"/>
            </w:tcMar>
            <w:vAlign w:val="center"/>
          </w:tcPr>
          <w:p w14:paraId="06311177">
            <w:pPr>
              <w:spacing w:after="0" w:line="252" w:lineRule="auto"/>
              <w:ind w:firstLine="0"/>
              <w:jc w:val="center"/>
            </w:pPr>
            <w:r>
              <w:rPr>
                <w:rFonts w:ascii="Times New Roman" w:hAnsi="Times New Roman" w:eastAsia="宋体" w:cs="Times New Roman"/>
                <w:b/>
                <w:color w:val="000000"/>
                <w:sz w:val="17"/>
                <w:szCs w:val="17"/>
              </w:rPr>
              <w:t>指标</w:t>
            </w:r>
          </w:p>
        </w:tc>
        <w:tc>
          <w:tcPr>
            <w:tcW w:w="3354" w:type="pct"/>
            <w:tcBorders>
              <w:bottom w:val="single" w:color="000000" w:sz="8" w:space="0"/>
            </w:tcBorders>
            <w:tcMar>
              <w:top w:w="55" w:type="dxa"/>
              <w:left w:w="70" w:type="dxa"/>
              <w:bottom w:w="55" w:type="dxa"/>
              <w:right w:w="70" w:type="dxa"/>
            </w:tcMar>
            <w:vAlign w:val="center"/>
          </w:tcPr>
          <w:p w14:paraId="3FC604F7">
            <w:pPr>
              <w:spacing w:after="0" w:line="252" w:lineRule="auto"/>
              <w:ind w:firstLine="0"/>
              <w:jc w:val="center"/>
            </w:pPr>
            <w:r>
              <w:rPr>
                <w:rFonts w:ascii="Times New Roman" w:hAnsi="Times New Roman" w:eastAsia="宋体" w:cs="Times New Roman"/>
                <w:b/>
                <w:color w:val="000000"/>
                <w:sz w:val="17"/>
                <w:szCs w:val="17"/>
              </w:rPr>
              <w:t>定义与判读</w:t>
            </w:r>
          </w:p>
        </w:tc>
        <w:tc>
          <w:tcPr>
            <w:tcW w:w="1033" w:type="pct"/>
            <w:tcBorders>
              <w:bottom w:val="single" w:color="000000" w:sz="8" w:space="0"/>
            </w:tcBorders>
            <w:tcMar>
              <w:top w:w="55" w:type="dxa"/>
              <w:left w:w="70" w:type="dxa"/>
              <w:bottom w:w="55" w:type="dxa"/>
              <w:right w:w="70" w:type="dxa"/>
            </w:tcMar>
            <w:vAlign w:val="center"/>
          </w:tcPr>
          <w:p w14:paraId="20FF0A23">
            <w:pPr>
              <w:spacing w:after="0" w:line="252" w:lineRule="auto"/>
              <w:ind w:firstLine="0"/>
              <w:jc w:val="center"/>
            </w:pPr>
            <w:r>
              <w:rPr>
                <w:rFonts w:ascii="Times New Roman" w:hAnsi="Times New Roman" w:eastAsia="宋体" w:cs="Times New Roman"/>
                <w:b/>
                <w:color w:val="000000"/>
                <w:sz w:val="17"/>
                <w:szCs w:val="17"/>
              </w:rPr>
              <w:t>权威入口</w:t>
            </w:r>
          </w:p>
        </w:tc>
      </w:tr>
      <w:tr w14:paraId="742C2E68">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0A2E6B3C">
            <w:pPr>
              <w:spacing w:after="0" w:line="252" w:lineRule="auto"/>
              <w:ind w:firstLine="0"/>
              <w:jc w:val="center"/>
            </w:pPr>
            <w:r>
              <w:rPr>
                <w:rFonts w:ascii="Times New Roman" w:hAnsi="Times New Roman" w:eastAsia="宋体" w:cs="Times New Roman"/>
                <w:b w:val="0"/>
                <w:color w:val="000000"/>
                <w:sz w:val="17"/>
                <w:szCs w:val="17"/>
              </w:rPr>
              <w:t>超调量</w:t>
            </w:r>
          </w:p>
        </w:tc>
        <w:tc>
          <w:tcPr>
            <w:tcW w:w="3354" w:type="pct"/>
            <w:tcMar>
              <w:top w:w="55" w:type="dxa"/>
              <w:left w:w="70" w:type="dxa"/>
              <w:bottom w:w="55" w:type="dxa"/>
              <w:right w:w="70" w:type="dxa"/>
            </w:tcMar>
            <w:vAlign w:val="center"/>
          </w:tcPr>
          <w:p w14:paraId="1A1F4D11">
            <w:pPr>
              <w:spacing w:after="0" w:line="252" w:lineRule="auto"/>
              <w:ind w:firstLine="0"/>
              <w:jc w:val="center"/>
            </w:pPr>
            <w:r>
              <w:rPr>
                <w:rFonts w:ascii="Times New Roman" w:hAnsi="Times New Roman" w:eastAsia="宋体" w:cs="Times New Roman"/>
                <w:b w:val="0"/>
                <w:color w:val="000000"/>
                <w:sz w:val="17"/>
                <w:szCs w:val="17"/>
              </w:rPr>
              <w:t>阶跃后响应超过目标值的最大幅度，占阶跃幅值的百分比。下降阶跃按运动方向处理。</w:t>
            </w:r>
          </w:p>
        </w:tc>
        <w:tc>
          <w:tcPr>
            <w:tcW w:w="1033" w:type="pct"/>
            <w:tcMar>
              <w:top w:w="55" w:type="dxa"/>
              <w:left w:w="70" w:type="dxa"/>
              <w:bottom w:w="55" w:type="dxa"/>
              <w:right w:w="70" w:type="dxa"/>
            </w:tcMar>
            <w:vAlign w:val="center"/>
          </w:tcPr>
          <w:p w14:paraId="22B80EEC">
            <w:pPr>
              <w:spacing w:after="0" w:line="252" w:lineRule="auto"/>
              <w:ind w:firstLine="0"/>
              <w:jc w:val="center"/>
            </w:pPr>
            <w:r>
              <w:rPr>
                <w:rFonts w:ascii="Times New Roman" w:hAnsi="Times New Roman" w:eastAsia="宋体" w:cs="Times New Roman"/>
                <w:b w:val="0"/>
                <w:color w:val="000000"/>
                <w:sz w:val="17"/>
                <w:szCs w:val="17"/>
              </w:rPr>
              <w:t>raw；统一阶跃指标脚本</w:t>
            </w:r>
          </w:p>
        </w:tc>
      </w:tr>
      <w:tr w14:paraId="1BE76602">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1814A104">
            <w:pPr>
              <w:spacing w:after="0" w:line="252" w:lineRule="auto"/>
              <w:ind w:firstLine="0"/>
              <w:jc w:val="center"/>
            </w:pPr>
            <w:r>
              <w:rPr>
                <w:rFonts w:ascii="Times New Roman" w:hAnsi="Times New Roman" w:eastAsia="宋体" w:cs="Times New Roman"/>
                <w:b w:val="0"/>
                <w:color w:val="000000"/>
                <w:sz w:val="17"/>
                <w:szCs w:val="17"/>
              </w:rPr>
              <w:t>调节时间</w:t>
            </w:r>
          </w:p>
        </w:tc>
        <w:tc>
          <w:tcPr>
            <w:tcW w:w="3354" w:type="pct"/>
            <w:tcMar>
              <w:top w:w="55" w:type="dxa"/>
              <w:left w:w="70" w:type="dxa"/>
              <w:bottom w:w="55" w:type="dxa"/>
              <w:right w:w="70" w:type="dxa"/>
            </w:tcMar>
            <w:vAlign w:val="center"/>
          </w:tcPr>
          <w:p w14:paraId="3764924A">
            <w:pPr>
              <w:spacing w:after="0" w:line="252" w:lineRule="auto"/>
              <w:ind w:firstLine="0"/>
              <w:jc w:val="center"/>
            </w:pPr>
            <w:r>
              <w:rPr>
                <w:rFonts w:ascii="Times New Roman" w:hAnsi="Times New Roman" w:eastAsia="宋体" w:cs="Times New Roman"/>
                <w:b w:val="0"/>
                <w:color w:val="000000"/>
                <w:sz w:val="17"/>
                <w:szCs w:val="17"/>
              </w:rPr>
              <w:t>响应进入max(2%阶跃幅值, 0.02 m)误差带并连续保持2 s后，距阶跃时刻的时间。</w:t>
            </w:r>
          </w:p>
        </w:tc>
        <w:tc>
          <w:tcPr>
            <w:tcW w:w="1033" w:type="pct"/>
            <w:tcMar>
              <w:top w:w="55" w:type="dxa"/>
              <w:left w:w="70" w:type="dxa"/>
              <w:bottom w:w="55" w:type="dxa"/>
              <w:right w:w="70" w:type="dxa"/>
            </w:tcMar>
            <w:vAlign w:val="center"/>
          </w:tcPr>
          <w:p w14:paraId="6913BE7B">
            <w:pPr>
              <w:spacing w:after="0" w:line="252" w:lineRule="auto"/>
              <w:ind w:firstLine="0"/>
              <w:jc w:val="center"/>
            </w:pPr>
            <w:r>
              <w:rPr>
                <w:rFonts w:ascii="Times New Roman" w:hAnsi="Times New Roman" w:eastAsia="宋体" w:cs="Times New Roman"/>
                <w:b w:val="0"/>
                <w:color w:val="000000"/>
                <w:sz w:val="17"/>
                <w:szCs w:val="17"/>
              </w:rPr>
              <w:t>raw；统一阶跃指标脚本</w:t>
            </w:r>
          </w:p>
        </w:tc>
      </w:tr>
      <w:tr w14:paraId="7762C0AA">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2C1BBAB9">
            <w:pPr>
              <w:spacing w:after="0" w:line="252" w:lineRule="auto"/>
              <w:ind w:firstLine="0"/>
              <w:jc w:val="center"/>
            </w:pPr>
            <w:r>
              <w:rPr>
                <w:rFonts w:ascii="Times New Roman" w:hAnsi="Times New Roman" w:eastAsia="宋体" w:cs="Times New Roman"/>
                <w:b w:val="0"/>
                <w:color w:val="000000"/>
                <w:sz w:val="17"/>
                <w:szCs w:val="17"/>
              </w:rPr>
              <w:t>稳态绝对误差</w:t>
            </w:r>
          </w:p>
        </w:tc>
        <w:tc>
          <w:tcPr>
            <w:tcW w:w="3354" w:type="pct"/>
            <w:tcMar>
              <w:top w:w="55" w:type="dxa"/>
              <w:left w:w="70" w:type="dxa"/>
              <w:bottom w:w="55" w:type="dxa"/>
              <w:right w:w="70" w:type="dxa"/>
            </w:tcMar>
            <w:vAlign w:val="center"/>
          </w:tcPr>
          <w:p w14:paraId="5556BBEF">
            <w:pPr>
              <w:spacing w:after="0" w:line="252" w:lineRule="auto"/>
              <w:ind w:firstLine="0"/>
              <w:jc w:val="center"/>
            </w:pPr>
            <w:r>
              <w:rPr>
                <w:rFonts w:ascii="Times New Roman" w:hAnsi="Times New Roman" w:eastAsia="宋体" w:cs="Times New Roman"/>
                <w:b w:val="0"/>
                <w:color w:val="000000"/>
                <w:sz w:val="17"/>
                <w:szCs w:val="17"/>
              </w:rPr>
              <w:t>阶跃后末段20%样本的绝对误差均值；连续任务按对应评价脚本的末段窗口计算。</w:t>
            </w:r>
          </w:p>
        </w:tc>
        <w:tc>
          <w:tcPr>
            <w:tcW w:w="1033" w:type="pct"/>
            <w:tcMar>
              <w:top w:w="55" w:type="dxa"/>
              <w:left w:w="70" w:type="dxa"/>
              <w:bottom w:w="55" w:type="dxa"/>
              <w:right w:w="70" w:type="dxa"/>
            </w:tcMar>
            <w:vAlign w:val="center"/>
          </w:tcPr>
          <w:p w14:paraId="63292344">
            <w:pPr>
              <w:spacing w:after="0" w:line="252" w:lineRule="auto"/>
              <w:ind w:firstLine="0"/>
              <w:jc w:val="center"/>
            </w:pPr>
            <w:r>
              <w:rPr>
                <w:rFonts w:ascii="Times New Roman" w:hAnsi="Times New Roman" w:eastAsia="宋体" w:cs="Times New Roman"/>
                <w:b w:val="0"/>
                <w:color w:val="000000"/>
                <w:sz w:val="17"/>
                <w:szCs w:val="17"/>
              </w:rPr>
              <w:t>raw；报告证据表</w:t>
            </w:r>
          </w:p>
        </w:tc>
      </w:tr>
      <w:tr w14:paraId="31A6330A">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682430C7">
            <w:pPr>
              <w:spacing w:after="0" w:line="252" w:lineRule="auto"/>
              <w:ind w:firstLine="0"/>
              <w:jc w:val="center"/>
            </w:pPr>
            <w:r>
              <w:rPr>
                <w:rFonts w:ascii="Times New Roman" w:hAnsi="Times New Roman" w:eastAsia="宋体" w:cs="Times New Roman"/>
                <w:b w:val="0"/>
                <w:color w:val="000000"/>
                <w:sz w:val="17"/>
                <w:szCs w:val="17"/>
              </w:rPr>
              <w:t>位置RMSE</w:t>
            </w:r>
          </w:p>
        </w:tc>
        <w:tc>
          <w:tcPr>
            <w:tcW w:w="3354" w:type="pct"/>
            <w:tcMar>
              <w:top w:w="55" w:type="dxa"/>
              <w:left w:w="70" w:type="dxa"/>
              <w:bottom w:w="55" w:type="dxa"/>
              <w:right w:w="70" w:type="dxa"/>
            </w:tcMar>
            <w:vAlign w:val="center"/>
          </w:tcPr>
          <w:p w14:paraId="30760254">
            <w:pPr>
              <w:spacing w:after="0" w:line="252" w:lineRule="auto"/>
              <w:ind w:firstLine="0"/>
              <w:jc w:val="center"/>
            </w:pPr>
            <w:r>
              <w:rPr>
                <w:rFonts w:ascii="Times New Roman" w:hAnsi="Times New Roman" w:eastAsia="宋体" w:cs="Times New Roman"/>
                <w:b w:val="0"/>
                <w:color w:val="000000"/>
                <w:sz w:val="17"/>
                <w:szCs w:val="17"/>
              </w:rPr>
              <w:t>评价区间内三维位置误差范数的均方根，用于描述整体跟踪偏差。</w:t>
            </w:r>
          </w:p>
        </w:tc>
        <w:tc>
          <w:tcPr>
            <w:tcW w:w="1033" w:type="pct"/>
            <w:tcMar>
              <w:top w:w="55" w:type="dxa"/>
              <w:left w:w="70" w:type="dxa"/>
              <w:bottom w:w="55" w:type="dxa"/>
              <w:right w:w="70" w:type="dxa"/>
            </w:tcMar>
            <w:vAlign w:val="center"/>
          </w:tcPr>
          <w:p w14:paraId="15800FC0">
            <w:pPr>
              <w:spacing w:after="0" w:line="252" w:lineRule="auto"/>
              <w:ind w:firstLine="0"/>
              <w:jc w:val="center"/>
            </w:pPr>
            <w:r>
              <w:rPr>
                <w:rFonts w:ascii="Times New Roman" w:hAnsi="Times New Roman" w:eastAsia="宋体" w:cs="Times New Roman"/>
                <w:b w:val="0"/>
                <w:color w:val="000000"/>
                <w:sz w:val="17"/>
                <w:szCs w:val="17"/>
              </w:rPr>
              <w:t>raw；统一场景指标脚本</w:t>
            </w:r>
          </w:p>
        </w:tc>
      </w:tr>
      <w:tr w14:paraId="4DA691E6">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195D057B">
            <w:pPr>
              <w:spacing w:after="0" w:line="252" w:lineRule="auto"/>
              <w:ind w:firstLine="0"/>
              <w:jc w:val="center"/>
            </w:pPr>
            <w:r>
              <w:rPr>
                <w:rFonts w:ascii="Times New Roman" w:hAnsi="Times New Roman" w:eastAsia="宋体" w:cs="Times New Roman"/>
                <w:b w:val="0"/>
                <w:color w:val="000000"/>
                <w:sz w:val="17"/>
                <w:szCs w:val="17"/>
              </w:rPr>
              <w:t>最小两机间距</w:t>
            </w:r>
          </w:p>
        </w:tc>
        <w:tc>
          <w:tcPr>
            <w:tcW w:w="3354" w:type="pct"/>
            <w:tcMar>
              <w:top w:w="55" w:type="dxa"/>
              <w:left w:w="70" w:type="dxa"/>
              <w:bottom w:w="55" w:type="dxa"/>
              <w:right w:w="70" w:type="dxa"/>
            </w:tcMar>
            <w:vAlign w:val="center"/>
          </w:tcPr>
          <w:p w14:paraId="2AC623B7">
            <w:pPr>
              <w:spacing w:after="0" w:line="252" w:lineRule="auto"/>
              <w:ind w:firstLine="0"/>
              <w:jc w:val="center"/>
            </w:pPr>
            <w:r>
              <w:rPr>
                <w:rFonts w:ascii="Times New Roman" w:hAnsi="Times New Roman" w:eastAsia="宋体" w:cs="Times New Roman"/>
                <w:b w:val="0"/>
                <w:color w:val="000000"/>
                <w:sz w:val="17"/>
                <w:szCs w:val="17"/>
              </w:rPr>
              <w:t>三机任务中三对无人机中心距离的全时段最小值。</w:t>
            </w:r>
          </w:p>
        </w:tc>
        <w:tc>
          <w:tcPr>
            <w:tcW w:w="1033" w:type="pct"/>
            <w:tcMar>
              <w:top w:w="55" w:type="dxa"/>
              <w:left w:w="70" w:type="dxa"/>
              <w:bottom w:w="55" w:type="dxa"/>
              <w:right w:w="70" w:type="dxa"/>
            </w:tcMar>
            <w:vAlign w:val="center"/>
          </w:tcPr>
          <w:p w14:paraId="799A3907">
            <w:pPr>
              <w:spacing w:after="0" w:line="252" w:lineRule="auto"/>
              <w:ind w:firstLine="0"/>
              <w:jc w:val="center"/>
            </w:pPr>
            <w:r>
              <w:rPr>
                <w:rFonts w:ascii="Times New Roman" w:hAnsi="Times New Roman" w:eastAsia="宋体" w:cs="Times New Roman"/>
                <w:b w:val="0"/>
                <w:color w:val="000000"/>
                <w:sz w:val="17"/>
                <w:szCs w:val="17"/>
              </w:rPr>
              <w:t>raw；编队指标脚本</w:t>
            </w:r>
          </w:p>
        </w:tc>
      </w:tr>
      <w:tr w14:paraId="3B665834">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58F9AE0F">
            <w:pPr>
              <w:spacing w:after="0" w:line="252" w:lineRule="auto"/>
              <w:ind w:firstLine="0"/>
              <w:jc w:val="center"/>
            </w:pPr>
            <w:r>
              <w:rPr>
                <w:rFonts w:ascii="Times New Roman" w:hAnsi="Times New Roman" w:eastAsia="宋体" w:cs="Times New Roman"/>
                <w:b w:val="0"/>
                <w:color w:val="000000"/>
                <w:sz w:val="17"/>
                <w:szCs w:val="17"/>
              </w:rPr>
              <w:t>风险暴露时间</w:t>
            </w:r>
          </w:p>
        </w:tc>
        <w:tc>
          <w:tcPr>
            <w:tcW w:w="3354" w:type="pct"/>
            <w:tcMar>
              <w:top w:w="55" w:type="dxa"/>
              <w:left w:w="70" w:type="dxa"/>
              <w:bottom w:w="55" w:type="dxa"/>
              <w:right w:w="70" w:type="dxa"/>
            </w:tcMar>
            <w:vAlign w:val="center"/>
          </w:tcPr>
          <w:p w14:paraId="7BACDA77">
            <w:pPr>
              <w:spacing w:after="0" w:line="252" w:lineRule="auto"/>
              <w:ind w:firstLine="0"/>
              <w:jc w:val="center"/>
            </w:pPr>
            <w:r>
              <w:rPr>
                <w:rFonts w:ascii="Times New Roman" w:hAnsi="Times New Roman" w:eastAsia="宋体" w:cs="Times New Roman"/>
                <w:b w:val="0"/>
                <w:color w:val="000000"/>
                <w:sz w:val="17"/>
                <w:szCs w:val="17"/>
              </w:rPr>
              <w:t>最小两机间距低于0.60 m的累计时间。0.60 m是本项目评价距离，不是比赛统一安全阈值。</w:t>
            </w:r>
          </w:p>
        </w:tc>
        <w:tc>
          <w:tcPr>
            <w:tcW w:w="1033" w:type="pct"/>
            <w:tcMar>
              <w:top w:w="55" w:type="dxa"/>
              <w:left w:w="70" w:type="dxa"/>
              <w:bottom w:w="55" w:type="dxa"/>
              <w:right w:w="70" w:type="dxa"/>
            </w:tcMar>
            <w:vAlign w:val="center"/>
          </w:tcPr>
          <w:p w14:paraId="1BBD8542">
            <w:pPr>
              <w:spacing w:after="0" w:line="252" w:lineRule="auto"/>
              <w:ind w:firstLine="0"/>
              <w:jc w:val="center"/>
            </w:pPr>
            <w:r>
              <w:rPr>
                <w:rFonts w:ascii="Times New Roman" w:hAnsi="Times New Roman" w:eastAsia="宋体" w:cs="Times New Roman"/>
                <w:b w:val="0"/>
                <w:color w:val="000000"/>
                <w:sz w:val="17"/>
                <w:szCs w:val="17"/>
              </w:rPr>
              <w:t>09_formation_pp_cbf.csv</w:t>
            </w:r>
          </w:p>
        </w:tc>
      </w:tr>
      <w:tr w14:paraId="165EDAAF">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612" w:type="pct"/>
            <w:tcMar>
              <w:top w:w="55" w:type="dxa"/>
              <w:left w:w="70" w:type="dxa"/>
              <w:bottom w:w="55" w:type="dxa"/>
              <w:right w:w="70" w:type="dxa"/>
            </w:tcMar>
            <w:vAlign w:val="center"/>
          </w:tcPr>
          <w:p w14:paraId="50E5FEE9">
            <w:pPr>
              <w:spacing w:after="0" w:line="252" w:lineRule="auto"/>
              <w:ind w:firstLine="0"/>
              <w:jc w:val="center"/>
            </w:pPr>
            <w:r>
              <w:rPr>
                <w:rFonts w:ascii="Times New Roman" w:hAnsi="Times New Roman" w:eastAsia="宋体" w:cs="Times New Roman"/>
                <w:b w:val="0"/>
                <w:color w:val="000000"/>
                <w:sz w:val="17"/>
                <w:szCs w:val="17"/>
              </w:rPr>
              <w:t>两类编队RMSE</w:t>
            </w:r>
          </w:p>
        </w:tc>
        <w:tc>
          <w:tcPr>
            <w:tcW w:w="3354" w:type="pct"/>
            <w:tcMar>
              <w:top w:w="55" w:type="dxa"/>
              <w:left w:w="70" w:type="dxa"/>
              <w:bottom w:w="55" w:type="dxa"/>
              <w:right w:w="70" w:type="dxa"/>
            </w:tcMar>
            <w:vAlign w:val="center"/>
          </w:tcPr>
          <w:p w14:paraId="132DF39B">
            <w:pPr>
              <w:spacing w:after="0" w:line="252" w:lineRule="auto"/>
              <w:ind w:firstLine="0"/>
              <w:jc w:val="center"/>
            </w:pPr>
            <w:r>
              <w:rPr>
                <w:rFonts w:ascii="Times New Roman" w:hAnsi="Times New Roman" w:eastAsia="宋体" w:cs="Times New Roman"/>
                <w:b w:val="0"/>
                <w:color w:val="000000"/>
                <w:sz w:val="17"/>
                <w:szCs w:val="17"/>
              </w:rPr>
              <w:t>队形RMSE衡量相对队形误差；三机全局位置跟踪RMSE衡量三机对各自指令的跟踪误差，二者不得混用。</w:t>
            </w:r>
          </w:p>
        </w:tc>
        <w:tc>
          <w:tcPr>
            <w:tcW w:w="1033" w:type="pct"/>
            <w:tcMar>
              <w:top w:w="55" w:type="dxa"/>
              <w:left w:w="70" w:type="dxa"/>
              <w:bottom w:w="55" w:type="dxa"/>
              <w:right w:w="70" w:type="dxa"/>
            </w:tcMar>
            <w:vAlign w:val="center"/>
          </w:tcPr>
          <w:p w14:paraId="7751E258">
            <w:pPr>
              <w:spacing w:after="0" w:line="252" w:lineRule="auto"/>
              <w:ind w:firstLine="0"/>
              <w:jc w:val="center"/>
            </w:pPr>
            <w:r>
              <w:rPr>
                <w:rFonts w:ascii="Times New Roman" w:hAnsi="Times New Roman" w:eastAsia="宋体" w:cs="Times New Roman"/>
                <w:b w:val="0"/>
                <w:color w:val="000000"/>
                <w:sz w:val="17"/>
                <w:szCs w:val="17"/>
              </w:rPr>
              <w:t>09_formation_pp_cbf.csv</w:t>
            </w:r>
          </w:p>
        </w:tc>
      </w:tr>
    </w:tbl>
    <w:p w14:paraId="5CA1EF9A">
      <w:pPr>
        <w:widowControl/>
      </w:pPr>
      <w:r>
        <w:rPr>
          <w:rFonts w:ascii="Times New Roman" w:hAnsi="Times New Roman" w:eastAsia="宋体" w:cs="Times New Roman"/>
          <w:color w:val="000000"/>
          <w:sz w:val="21"/>
          <w:szCs w:val="21"/>
        </w:rPr>
        <w:t>证据按以下顺序读取：先用execution_status.json确认运行完成，再用raw核对字段和时间轴；需要引用报告统计时，读取&lt;源文件包&gt;\04_results\report_evidence中的对应CSV或JSON；需要从结论回溯到raw和脚本时，读取10_claim_evidence_index.csv；需要核对报告图件来源时，读取&lt;源文件包&gt;\08_provenance\FINAL_REPORT_ASSET_INDEX.csv。</w:t>
      </w:r>
    </w:p>
    <w:p w14:paraId="466465A5">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判读边界：</w:t>
      </w:r>
      <w:r>
        <w:rPr>
          <w:rFonts w:ascii="Times New Roman" w:hAnsi="Times New Roman" w:eastAsia="宋体" w:cs="Times New Roman"/>
          <w:color w:val="000000"/>
          <w:sz w:val="21"/>
          <w:szCs w:val="21"/>
        </w:rPr>
        <w:t>PP-CBF是独立上层安全监督器。查看近距离交汇任务时，应同时报告最小间距、风险暴露时间和跟踪代价；不得把局部场景结果外推为全部任务结论。</w:t>
      </w:r>
    </w:p>
    <w:p w14:paraId="46D0055A">
      <w:pPr>
        <w:widowControl/>
      </w:pPr>
      <w:r>
        <w:rPr>
          <w:rFonts w:ascii="Times New Roman" w:hAnsi="Times New Roman" w:eastAsia="宋体" w:cs="Times New Roman"/>
          <w:color w:val="000000"/>
          <w:sz w:val="21"/>
          <w:szCs w:val="21"/>
        </w:rPr>
        <w:t>完成本章后，用户应能从运行状态、曲线、指标和证据文件四个层次核对同一场景。下一章说明脚本参数、控制器端口和模型模块接口。</w:t>
      </w:r>
    </w:p>
    <w:p w14:paraId="5772A6D6">
      <w:pPr>
        <w:pStyle w:val="3"/>
        <w:keepNext/>
        <w:pageBreakBefore/>
        <w:widowControl/>
      </w:pPr>
      <w:bookmarkStart w:id="14" w:name="_Toc235146496"/>
      <w:r>
        <w:rPr>
          <w:rFonts w:ascii="Times New Roman" w:hAnsi="Times New Roman" w:eastAsia="黑体" w:cs="Times New Roman"/>
          <w:color w:val="000000"/>
          <w:sz w:val="32"/>
          <w:szCs w:val="32"/>
        </w:rPr>
        <w:t>第5章  接口与模块说明</w:t>
      </w:r>
      <w:bookmarkEnd w:id="14"/>
    </w:p>
    <w:p w14:paraId="0E75275A">
      <w:pPr>
        <w:widowControl/>
        <w:spacing w:after="50" w:line="324" w:lineRule="auto"/>
        <w:ind w:firstLine="420"/>
      </w:pPr>
      <w:r>
        <w:rPr>
          <w:rFonts w:ascii="Times New Roman" w:hAnsi="Times New Roman" w:eastAsia="宋体" w:cs="Times New Roman"/>
          <w:color w:val="000000"/>
          <w:sz w:val="21"/>
          <w:szCs w:val="21"/>
        </w:rPr>
        <w:t>本章说明用户直接使用的脚本参数、控制器信号和模型加载顺序。用户通过PowerShell入口选择任务；Sysblock控制器接收参考、状态和分配限制，并向赛题四旋翼模型输出电机指令。接口名称采用源文件中的实际标识，其含义、维数和限制均用中文说明。</w:t>
      </w:r>
    </w:p>
    <w:p w14:paraId="111B8C59">
      <w:pPr>
        <w:widowControl/>
        <w:spacing w:after="50"/>
        <w:ind w:firstLine="420"/>
      </w:pPr>
      <w:r>
        <w:rPr>
          <w:rFonts w:ascii="Times New Roman" w:hAnsi="Times New Roman" w:eastAsia="宋体" w:cs="Times New Roman"/>
          <w:color w:val="000000"/>
          <w:sz w:val="21"/>
          <w:szCs w:val="21"/>
        </w:rPr>
        <w:t>普通用户通常只需使用运行脚本，不需要修改控制器内部参数或手工连接端口。RA-GCA-CGHTE的置信门控推力估计参数已固定在正式模型中，运行脚本不提供覆盖入口。</w:t>
      </w:r>
    </w:p>
    <w:p w14:paraId="5BCD6369">
      <w:pPr>
        <w:pStyle w:val="4"/>
        <w:keepNext/>
        <w:widowControl/>
      </w:pPr>
      <w:bookmarkStart w:id="15" w:name="_Toc235146497"/>
      <w:r>
        <w:rPr>
          <w:rFonts w:ascii="Times New Roman" w:hAnsi="Times New Roman" w:eastAsia="黑体" w:cs="Times New Roman"/>
          <w:color w:val="000000"/>
          <w:sz w:val="26"/>
          <w:szCs w:val="26"/>
        </w:rPr>
        <w:t>5.1  运行接口</w:t>
      </w:r>
      <w:bookmarkEnd w:id="15"/>
    </w:p>
    <w:p w14:paraId="6791D6E7">
      <w:pPr>
        <w:widowControl/>
        <w:spacing w:after="50" w:line="324" w:lineRule="auto"/>
        <w:ind w:firstLine="420"/>
      </w:pPr>
      <w:r>
        <w:rPr>
          <w:rFonts w:ascii="Times New Roman" w:hAnsi="Times New Roman" w:eastAsia="宋体" w:cs="Times New Roman"/>
          <w:color w:val="000000"/>
          <w:sz w:val="21"/>
          <w:szCs w:val="21"/>
        </w:rPr>
        <w:t>源文件包根目录提供三个用户入口。首次使用先执行只读自检，再运行一个明确指定的任务；结果资料校验用于复核，不进入日常运行主路径。表5-1列出脚本及参数的实际行为。</w:t>
      </w:r>
    </w:p>
    <w:p w14:paraId="14628184">
      <w:pPr>
        <w:keepLines/>
        <w:widowControl/>
        <w:spacing w:after="50" w:line="324" w:lineRule="auto"/>
        <w:ind w:firstLine="0"/>
      </w:pPr>
      <w:r>
        <w:rPr>
          <w:rFonts w:ascii="Consolas" w:hAnsi="Consolas" w:eastAsia="等线" w:cs="Consolas"/>
          <w:color w:val="000000"/>
          <w:sz w:val="16"/>
          <w:szCs w:val="16"/>
        </w:rPr>
        <w:t>三个根目录入口统一通过共享解析器查找MWORKS Python；RUN_QUICK_VERIFY.ps1还会解析julia-ty。环境变量、自动发现顺序和配置方法见第2章。</w:t>
      </w:r>
    </w:p>
    <w:tbl>
      <w:tblPr>
        <w:tblStyle w:val="32"/>
        <w:tblpPr w:leftFromText="180" w:rightFromText="180" w:vertAnchor="text" w:horzAnchor="page" w:tblpXSpec="center" w:tblpY="338"/>
        <w:tblOverlap w:val="never"/>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1992"/>
        <w:gridCol w:w="613"/>
        <w:gridCol w:w="2862"/>
        <w:gridCol w:w="3801"/>
      </w:tblGrid>
      <w:tr w14:paraId="378ABDAA">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insideH w:val="nil"/>
              <w:insideV w:val="nil"/>
              <w:tl2br w:val="nil"/>
            </w:tcBorders>
            <w:shd w:val="clear" w:color="auto" w:fill="FFFFFF"/>
            <w:tcMar>
              <w:top w:w="55" w:type="dxa"/>
              <w:left w:w="70" w:type="dxa"/>
              <w:bottom w:w="55" w:type="dxa"/>
              <w:right w:w="70" w:type="dxa"/>
            </w:tcMar>
            <w:vAlign w:val="center"/>
          </w:tcPr>
          <w:p w14:paraId="7381EEE9">
            <w:pPr>
              <w:spacing w:after="0" w:line="252" w:lineRule="auto"/>
              <w:ind w:firstLine="0"/>
              <w:jc w:val="center"/>
              <w:rPr>
                <w:b/>
                <w:bCs/>
              </w:rPr>
            </w:pPr>
            <w:r>
              <w:rPr>
                <w:rFonts w:ascii="Times New Roman" w:hAnsi="Times New Roman" w:eastAsia="宋体" w:cs="Times New Roman"/>
                <w:b/>
                <w:bCs/>
                <w:color w:val="000000"/>
                <w:sz w:val="17"/>
                <w:szCs w:val="17"/>
              </w:rPr>
              <w:t>入口</w:t>
            </w:r>
          </w:p>
        </w:tc>
        <w:tc>
          <w:tcPr>
            <w:tcW w:w="0" w:type="auto"/>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28F95424">
            <w:pPr>
              <w:spacing w:after="0" w:line="252" w:lineRule="auto"/>
              <w:ind w:firstLine="0"/>
              <w:jc w:val="center"/>
              <w:rPr>
                <w:b/>
                <w:bCs/>
              </w:rPr>
            </w:pPr>
            <w:r>
              <w:rPr>
                <w:rFonts w:ascii="Times New Roman" w:hAnsi="Times New Roman" w:eastAsia="宋体" w:cs="Times New Roman"/>
                <w:b/>
                <w:bCs/>
                <w:color w:val="000000"/>
                <w:sz w:val="17"/>
                <w:szCs w:val="17"/>
              </w:rPr>
              <w:t>参数</w:t>
            </w:r>
          </w:p>
        </w:tc>
        <w:tc>
          <w:tcPr>
            <w:tcW w:w="0" w:type="auto"/>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380C0790">
            <w:pPr>
              <w:spacing w:after="0" w:line="252" w:lineRule="auto"/>
              <w:ind w:firstLine="0"/>
              <w:jc w:val="center"/>
              <w:rPr>
                <w:b/>
                <w:bCs/>
              </w:rPr>
            </w:pPr>
            <w:r>
              <w:rPr>
                <w:rFonts w:ascii="Times New Roman" w:hAnsi="Times New Roman" w:eastAsia="宋体" w:cs="Times New Roman"/>
                <w:b/>
                <w:bCs/>
                <w:color w:val="000000"/>
                <w:sz w:val="17"/>
                <w:szCs w:val="17"/>
              </w:rPr>
              <w:t>作用</w:t>
            </w:r>
          </w:p>
        </w:tc>
        <w:tc>
          <w:tcPr>
            <w:tcW w:w="0" w:type="auto"/>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37FF9BAF">
            <w:pPr>
              <w:spacing w:after="0" w:line="252" w:lineRule="auto"/>
              <w:ind w:firstLine="0"/>
              <w:jc w:val="center"/>
              <w:rPr>
                <w:b/>
                <w:bCs/>
              </w:rPr>
            </w:pPr>
            <w:r>
              <w:rPr>
                <w:rFonts w:ascii="Times New Roman" w:hAnsi="Times New Roman" w:eastAsia="宋体" w:cs="Times New Roman"/>
                <w:b/>
                <w:bCs/>
                <w:color w:val="000000"/>
                <w:sz w:val="17"/>
                <w:szCs w:val="17"/>
              </w:rPr>
              <w:t>关键约束</w:t>
            </w:r>
          </w:p>
        </w:tc>
      </w:tr>
      <w:tr w14:paraId="7A24383A">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single" w:color="000000" w:sz="4" w:space="0"/>
              <w:bottom w:val="nil"/>
            </w:tcBorders>
            <w:shd w:val="clear" w:color="auto" w:fill="FFFFFF"/>
            <w:tcMar>
              <w:top w:w="55" w:type="dxa"/>
              <w:left w:w="70" w:type="dxa"/>
              <w:bottom w:w="55" w:type="dxa"/>
              <w:right w:w="70" w:type="dxa"/>
            </w:tcMar>
            <w:vAlign w:val="center"/>
          </w:tcPr>
          <w:p w14:paraId="5F86FCFA">
            <w:pPr>
              <w:spacing w:after="0" w:line="252" w:lineRule="auto"/>
              <w:ind w:firstLine="0"/>
              <w:jc w:val="center"/>
              <w:rPr>
                <w:b w:val="0"/>
              </w:rPr>
            </w:pPr>
            <w:r>
              <w:rPr>
                <w:rFonts w:ascii="Times New Roman" w:hAnsi="Times New Roman" w:eastAsia="宋体" w:cs="Times New Roman"/>
                <w:b w:val="0"/>
                <w:color w:val="000000"/>
                <w:sz w:val="17"/>
                <w:szCs w:val="17"/>
              </w:rPr>
              <w:t>RUN_QUICK_</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VERIFY.ps1</w:t>
            </w:r>
          </w:p>
        </w:tc>
        <w:tc>
          <w:tcPr>
            <w:tcW w:w="0" w:type="auto"/>
            <w:tcBorders>
              <w:top w:val="single" w:color="000000" w:sz="4" w:space="0"/>
              <w:bottom w:val="nil"/>
            </w:tcBorders>
            <w:shd w:val="clear" w:color="auto" w:fill="FFFFFF"/>
            <w:tcMar>
              <w:top w:w="55" w:type="dxa"/>
              <w:left w:w="70" w:type="dxa"/>
              <w:bottom w:w="55" w:type="dxa"/>
              <w:right w:w="70" w:type="dxa"/>
            </w:tcMar>
            <w:vAlign w:val="center"/>
          </w:tcPr>
          <w:p w14:paraId="44B1D597">
            <w:pPr>
              <w:spacing w:after="0" w:line="252" w:lineRule="auto"/>
              <w:ind w:firstLine="0"/>
              <w:jc w:val="center"/>
              <w:rPr>
                <w:b w:val="0"/>
              </w:rPr>
            </w:pPr>
            <w:r>
              <w:rPr>
                <w:rFonts w:ascii="Times New Roman" w:hAnsi="Times New Roman" w:eastAsia="宋体" w:cs="Times New Roman"/>
                <w:b w:val="0"/>
                <w:color w:val="000000"/>
                <w:sz w:val="17"/>
                <w:szCs w:val="17"/>
              </w:rPr>
              <w:t>无</w:t>
            </w:r>
          </w:p>
        </w:tc>
        <w:tc>
          <w:tcPr>
            <w:tcW w:w="0" w:type="auto"/>
            <w:tcBorders>
              <w:top w:val="single" w:color="000000" w:sz="4" w:space="0"/>
              <w:bottom w:val="nil"/>
            </w:tcBorders>
            <w:shd w:val="clear" w:color="auto" w:fill="FFFFFF"/>
            <w:tcMar>
              <w:top w:w="55" w:type="dxa"/>
              <w:left w:w="70" w:type="dxa"/>
              <w:bottom w:w="55" w:type="dxa"/>
              <w:right w:w="70" w:type="dxa"/>
            </w:tcMar>
            <w:vAlign w:val="center"/>
          </w:tcPr>
          <w:p w14:paraId="5B364AED">
            <w:pPr>
              <w:spacing w:after="0" w:line="252" w:lineRule="auto"/>
              <w:ind w:firstLine="0"/>
              <w:jc w:val="center"/>
              <w:rPr>
                <w:b w:val="0"/>
              </w:rPr>
            </w:pPr>
            <w:r>
              <w:rPr>
                <w:rFonts w:ascii="Times New Roman" w:hAnsi="Times New Roman" w:eastAsia="宋体" w:cs="Times New Roman"/>
                <w:b w:val="0"/>
                <w:color w:val="000000"/>
                <w:sz w:val="17"/>
                <w:szCs w:val="17"/>
              </w:rPr>
              <w:t>只读检查运行时解析、Python、Syslab、报告证据、图件和整包清单</w:t>
            </w:r>
          </w:p>
        </w:tc>
        <w:tc>
          <w:tcPr>
            <w:tcW w:w="0" w:type="auto"/>
            <w:tcBorders>
              <w:top w:val="single" w:color="000000" w:sz="4" w:space="0"/>
              <w:bottom w:val="nil"/>
            </w:tcBorders>
            <w:shd w:val="clear" w:color="auto" w:fill="FFFFFF"/>
            <w:tcMar>
              <w:top w:w="55" w:type="dxa"/>
              <w:left w:w="70" w:type="dxa"/>
              <w:bottom w:w="55" w:type="dxa"/>
              <w:right w:w="70" w:type="dxa"/>
            </w:tcMar>
            <w:vAlign w:val="center"/>
          </w:tcPr>
          <w:p w14:paraId="43D44348">
            <w:pPr>
              <w:spacing w:after="0" w:line="252" w:lineRule="auto"/>
              <w:ind w:firstLine="0"/>
              <w:jc w:val="center"/>
              <w:rPr>
                <w:b w:val="0"/>
              </w:rPr>
            </w:pPr>
            <w:r>
              <w:rPr>
                <w:rFonts w:ascii="Times New Roman" w:hAnsi="Times New Roman" w:eastAsia="宋体" w:cs="Times New Roman"/>
                <w:b w:val="0"/>
                <w:color w:val="000000"/>
                <w:sz w:val="17"/>
                <w:szCs w:val="17"/>
              </w:rPr>
              <w:t>不启动仿真，不写入源文件包</w:t>
            </w:r>
          </w:p>
        </w:tc>
      </w:tr>
      <w:tr w14:paraId="1CE0BE15">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0458A595">
            <w:pPr>
              <w:spacing w:after="0" w:line="252" w:lineRule="auto"/>
              <w:ind w:firstLine="0"/>
              <w:jc w:val="center"/>
              <w:rPr>
                <w:b w:val="0"/>
              </w:rPr>
            </w:pPr>
            <w:r>
              <w:rPr>
                <w:rFonts w:ascii="Times New Roman" w:hAnsi="Times New Roman" w:eastAsia="宋体" w:cs="Times New Roman"/>
                <w:b w:val="0"/>
                <w:color w:val="000000"/>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78D46990">
            <w:pPr>
              <w:spacing w:after="0" w:line="252" w:lineRule="auto"/>
              <w:ind w:firstLine="0"/>
              <w:jc w:val="center"/>
              <w:rPr>
                <w:b w:val="0"/>
              </w:rPr>
            </w:pPr>
            <w:r>
              <w:rPr>
                <w:rFonts w:ascii="Times New Roman" w:hAnsi="Times New Roman" w:eastAsia="宋体" w:cs="Times New Roman"/>
                <w:b w:val="0"/>
                <w:color w:val="000000"/>
                <w:sz w:val="17"/>
                <w:szCs w:val="17"/>
              </w:rPr>
              <w:t>Mode</w:t>
            </w:r>
          </w:p>
        </w:tc>
        <w:tc>
          <w:tcPr>
            <w:tcW w:w="0" w:type="auto"/>
            <w:tcBorders>
              <w:top w:val="nil"/>
              <w:bottom w:val="nil"/>
            </w:tcBorders>
            <w:shd w:val="clear" w:color="auto" w:fill="FFFFFF"/>
            <w:tcMar>
              <w:top w:w="55" w:type="dxa"/>
              <w:left w:w="70" w:type="dxa"/>
              <w:bottom w:w="55" w:type="dxa"/>
              <w:right w:w="70" w:type="dxa"/>
            </w:tcMar>
            <w:vAlign w:val="center"/>
          </w:tcPr>
          <w:p w14:paraId="315A376F">
            <w:pPr>
              <w:spacing w:after="0" w:line="252" w:lineRule="auto"/>
              <w:ind w:firstLine="0"/>
              <w:jc w:val="center"/>
              <w:rPr>
                <w:b w:val="0"/>
              </w:rPr>
            </w:pPr>
            <w:r>
              <w:rPr>
                <w:rFonts w:ascii="Times New Roman" w:hAnsi="Times New Roman" w:eastAsia="宋体" w:cs="Times New Roman"/>
                <w:b w:val="0"/>
                <w:color w:val="000000"/>
                <w:sz w:val="17"/>
                <w:szCs w:val="17"/>
              </w:rPr>
              <w:t>Precheck：仅自检；Simulate：自检后运行所选任务；All：执行自检和所选任务的完整流程</w:t>
            </w:r>
          </w:p>
        </w:tc>
        <w:tc>
          <w:tcPr>
            <w:tcW w:w="0" w:type="auto"/>
            <w:tcBorders>
              <w:top w:val="nil"/>
              <w:bottom w:val="nil"/>
            </w:tcBorders>
            <w:shd w:val="clear" w:color="auto" w:fill="FFFFFF"/>
            <w:tcMar>
              <w:top w:w="55" w:type="dxa"/>
              <w:left w:w="70" w:type="dxa"/>
              <w:bottom w:w="55" w:type="dxa"/>
              <w:right w:w="70" w:type="dxa"/>
            </w:tcMar>
            <w:vAlign w:val="center"/>
          </w:tcPr>
          <w:p w14:paraId="7A57AE0E">
            <w:pPr>
              <w:spacing w:after="0" w:line="252" w:lineRule="auto"/>
              <w:ind w:firstLine="0"/>
              <w:jc w:val="center"/>
              <w:rPr>
                <w:b w:val="0"/>
              </w:rPr>
            </w:pPr>
            <w:r>
              <w:rPr>
                <w:rFonts w:ascii="Times New Roman" w:hAnsi="Times New Roman" w:eastAsia="宋体" w:cs="Times New Roman"/>
                <w:b w:val="0"/>
                <w:color w:val="000000"/>
                <w:sz w:val="17"/>
                <w:szCs w:val="17"/>
              </w:rPr>
              <w:t>默认Precheck；普通用户使用Precheck或Simulate</w:t>
            </w:r>
          </w:p>
        </w:tc>
      </w:tr>
      <w:tr w14:paraId="587D445D">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678E29B9">
            <w:pPr>
              <w:spacing w:after="0" w:line="252" w:lineRule="auto"/>
              <w:ind w:firstLine="0"/>
              <w:jc w:val="center"/>
              <w:rPr>
                <w:b w:val="0"/>
              </w:rPr>
            </w:pPr>
            <w:r>
              <w:rPr>
                <w:rFonts w:ascii="Times New Roman" w:hAnsi="Times New Roman" w:eastAsia="宋体" w:cs="Times New Roman"/>
                <w:b w:val="0"/>
                <w:color w:val="000000"/>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08028238">
            <w:pPr>
              <w:spacing w:after="0" w:line="252" w:lineRule="auto"/>
              <w:ind w:firstLine="0"/>
              <w:jc w:val="center"/>
              <w:rPr>
                <w:b w:val="0"/>
              </w:rPr>
            </w:pPr>
            <w:r>
              <w:rPr>
                <w:rFonts w:ascii="Times New Roman" w:hAnsi="Times New Roman" w:eastAsia="宋体" w:cs="Times New Roman"/>
                <w:b w:val="0"/>
                <w:color w:val="000000"/>
                <w:sz w:val="17"/>
                <w:szCs w:val="17"/>
              </w:rPr>
              <w:t>Port</w:t>
            </w:r>
          </w:p>
        </w:tc>
        <w:tc>
          <w:tcPr>
            <w:tcW w:w="0" w:type="auto"/>
            <w:tcBorders>
              <w:top w:val="nil"/>
              <w:bottom w:val="nil"/>
            </w:tcBorders>
            <w:shd w:val="clear" w:color="auto" w:fill="FFFFFF"/>
            <w:tcMar>
              <w:top w:w="55" w:type="dxa"/>
              <w:left w:w="70" w:type="dxa"/>
              <w:bottom w:w="55" w:type="dxa"/>
              <w:right w:w="70" w:type="dxa"/>
            </w:tcMar>
            <w:vAlign w:val="center"/>
          </w:tcPr>
          <w:p w14:paraId="40713D8F">
            <w:pPr>
              <w:spacing w:after="0" w:line="252" w:lineRule="auto"/>
              <w:ind w:firstLine="0"/>
              <w:jc w:val="center"/>
              <w:rPr>
                <w:b w:val="0"/>
              </w:rPr>
            </w:pPr>
            <w:r>
              <w:rPr>
                <w:rFonts w:ascii="Times New Roman" w:hAnsi="Times New Roman" w:eastAsia="宋体" w:cs="Times New Roman"/>
                <w:b w:val="0"/>
                <w:color w:val="000000"/>
                <w:sz w:val="17"/>
                <w:szCs w:val="17"/>
              </w:rPr>
              <w:t>连接已经启动的Sysplorer端口</w:t>
            </w:r>
          </w:p>
        </w:tc>
        <w:tc>
          <w:tcPr>
            <w:tcW w:w="0" w:type="auto"/>
            <w:tcBorders>
              <w:top w:val="nil"/>
              <w:bottom w:val="nil"/>
            </w:tcBorders>
            <w:shd w:val="clear" w:color="auto" w:fill="FFFFFF"/>
            <w:tcMar>
              <w:top w:w="55" w:type="dxa"/>
              <w:left w:w="70" w:type="dxa"/>
              <w:bottom w:w="55" w:type="dxa"/>
              <w:right w:w="70" w:type="dxa"/>
            </w:tcMar>
            <w:vAlign w:val="center"/>
          </w:tcPr>
          <w:p w14:paraId="2E3C58B2">
            <w:pPr>
              <w:spacing w:after="0" w:line="252" w:lineRule="auto"/>
              <w:ind w:firstLine="0"/>
              <w:jc w:val="center"/>
              <w:rPr>
                <w:b w:val="0"/>
              </w:rPr>
            </w:pPr>
            <w:r>
              <w:rPr>
                <w:rFonts w:ascii="Times New Roman" w:hAnsi="Times New Roman" w:eastAsia="宋体" w:cs="Times New Roman"/>
                <w:b w:val="0"/>
                <w:color w:val="000000"/>
                <w:sz w:val="17"/>
                <w:szCs w:val="17"/>
              </w:rPr>
              <w:t>默认49152；只能保留一个匹配实例</w:t>
            </w:r>
          </w:p>
        </w:tc>
      </w:tr>
      <w:tr w14:paraId="6F9CF920">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6F010C6E">
            <w:pPr>
              <w:spacing w:after="0" w:line="252" w:lineRule="auto"/>
              <w:ind w:firstLine="0"/>
              <w:jc w:val="center"/>
              <w:rPr>
                <w:b w:val="0"/>
              </w:rPr>
            </w:pPr>
            <w:r>
              <w:rPr>
                <w:rFonts w:ascii="Times New Roman" w:hAnsi="Times New Roman" w:eastAsia="宋体" w:cs="Times New Roman"/>
                <w:b w:val="0"/>
                <w:color w:val="000000"/>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63418E35">
            <w:pPr>
              <w:spacing w:after="0" w:line="252" w:lineRule="auto"/>
              <w:ind w:firstLine="0"/>
              <w:jc w:val="center"/>
              <w:rPr>
                <w:b w:val="0"/>
              </w:rPr>
            </w:pPr>
            <w:r>
              <w:rPr>
                <w:rFonts w:ascii="Times New Roman" w:hAnsi="Times New Roman" w:eastAsia="宋体" w:cs="Times New Roman"/>
                <w:b w:val="0"/>
                <w:color w:val="000000"/>
                <w:sz w:val="17"/>
                <w:szCs w:val="17"/>
              </w:rPr>
              <w:t>Scene</w:t>
            </w:r>
          </w:p>
        </w:tc>
        <w:tc>
          <w:tcPr>
            <w:tcW w:w="0" w:type="auto"/>
            <w:tcBorders>
              <w:top w:val="nil"/>
              <w:bottom w:val="nil"/>
            </w:tcBorders>
            <w:shd w:val="clear" w:color="auto" w:fill="FFFFFF"/>
            <w:tcMar>
              <w:top w:w="55" w:type="dxa"/>
              <w:left w:w="70" w:type="dxa"/>
              <w:bottom w:w="55" w:type="dxa"/>
              <w:right w:w="70" w:type="dxa"/>
            </w:tcMar>
            <w:vAlign w:val="center"/>
          </w:tcPr>
          <w:p w14:paraId="451D9575">
            <w:pPr>
              <w:spacing w:after="0" w:line="252" w:lineRule="auto"/>
              <w:ind w:firstLine="0"/>
              <w:jc w:val="center"/>
              <w:rPr>
                <w:b w:val="0"/>
              </w:rPr>
            </w:pPr>
            <w:r>
              <w:rPr>
                <w:rFonts w:ascii="Times New Roman" w:hAnsi="Times New Roman" w:eastAsia="宋体" w:cs="Times New Roman"/>
                <w:b w:val="0"/>
                <w:color w:val="000000"/>
                <w:sz w:val="17"/>
                <w:szCs w:val="17"/>
              </w:rPr>
              <w:t>选择一个或多个已注册场景</w:t>
            </w:r>
          </w:p>
        </w:tc>
        <w:tc>
          <w:tcPr>
            <w:tcW w:w="0" w:type="auto"/>
            <w:tcBorders>
              <w:top w:val="nil"/>
              <w:bottom w:val="nil"/>
            </w:tcBorders>
            <w:shd w:val="clear" w:color="auto" w:fill="FFFFFF"/>
            <w:tcMar>
              <w:top w:w="55" w:type="dxa"/>
              <w:left w:w="70" w:type="dxa"/>
              <w:bottom w:w="55" w:type="dxa"/>
              <w:right w:w="70" w:type="dxa"/>
            </w:tcMar>
            <w:vAlign w:val="center"/>
          </w:tcPr>
          <w:p w14:paraId="0ABFB7D4">
            <w:pPr>
              <w:spacing w:after="0" w:line="252" w:lineRule="auto"/>
              <w:ind w:firstLine="0"/>
              <w:jc w:val="center"/>
              <w:rPr>
                <w:b w:val="0"/>
              </w:rPr>
            </w:pPr>
            <w:r>
              <w:rPr>
                <w:rFonts w:ascii="Times New Roman" w:hAnsi="Times New Roman" w:eastAsia="宋体" w:cs="Times New Roman"/>
                <w:b w:val="0"/>
                <w:color w:val="000000"/>
                <w:sz w:val="17"/>
                <w:szCs w:val="17"/>
              </w:rPr>
              <w:t>省略时运行项目回归集全部32项任务，即用于集中验证项目功能和结果一致性的测试集合；耗时较长，首次使用应指定单个任务</w:t>
            </w:r>
          </w:p>
        </w:tc>
      </w:tr>
      <w:tr w14:paraId="5B1E586B">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0D7119E9">
            <w:pPr>
              <w:spacing w:after="0" w:line="252" w:lineRule="auto"/>
              <w:ind w:firstLine="0"/>
              <w:jc w:val="center"/>
              <w:rPr>
                <w:b w:val="0"/>
              </w:rPr>
            </w:pPr>
            <w:r>
              <w:rPr>
                <w:rFonts w:ascii="Times New Roman" w:hAnsi="Times New Roman" w:eastAsia="宋体" w:cs="Times New Roman"/>
                <w:b w:val="0"/>
                <w:color w:val="000000"/>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3D9B51C2">
            <w:pPr>
              <w:spacing w:after="0" w:line="252" w:lineRule="auto"/>
              <w:ind w:firstLine="0"/>
              <w:jc w:val="center"/>
              <w:rPr>
                <w:b w:val="0"/>
              </w:rPr>
            </w:pPr>
            <w:r>
              <w:rPr>
                <w:rFonts w:ascii="Times New Roman" w:hAnsi="Times New Roman" w:eastAsia="宋体" w:cs="Times New Roman"/>
                <w:b w:val="0"/>
                <w:color w:val="000000"/>
                <w:sz w:val="17"/>
                <w:szCs w:val="17"/>
              </w:rPr>
              <w:t>Output</w:t>
            </w:r>
          </w:p>
        </w:tc>
        <w:tc>
          <w:tcPr>
            <w:tcW w:w="0" w:type="auto"/>
            <w:tcBorders>
              <w:top w:val="nil"/>
              <w:bottom w:val="nil"/>
            </w:tcBorders>
            <w:shd w:val="clear" w:color="auto" w:fill="FFFFFF"/>
            <w:tcMar>
              <w:top w:w="55" w:type="dxa"/>
              <w:left w:w="70" w:type="dxa"/>
              <w:bottom w:w="55" w:type="dxa"/>
              <w:right w:w="70" w:type="dxa"/>
            </w:tcMar>
            <w:vAlign w:val="center"/>
          </w:tcPr>
          <w:p w14:paraId="4A97D7E5">
            <w:pPr>
              <w:spacing w:after="0" w:line="252" w:lineRule="auto"/>
              <w:ind w:firstLine="0"/>
              <w:jc w:val="center"/>
              <w:rPr>
                <w:b w:val="0"/>
              </w:rPr>
            </w:pPr>
            <w:r>
              <w:rPr>
                <w:rFonts w:ascii="Times New Roman" w:hAnsi="Times New Roman" w:eastAsia="宋体" w:cs="Times New Roman"/>
                <w:b w:val="0"/>
                <w:color w:val="000000"/>
                <w:sz w:val="17"/>
                <w:szCs w:val="17"/>
              </w:rPr>
              <w:t>指定仿真结果目录</w:t>
            </w:r>
          </w:p>
        </w:tc>
        <w:tc>
          <w:tcPr>
            <w:tcW w:w="0" w:type="auto"/>
            <w:tcBorders>
              <w:top w:val="nil"/>
              <w:bottom w:val="nil"/>
            </w:tcBorders>
            <w:shd w:val="clear" w:color="auto" w:fill="FFFFFF"/>
            <w:tcMar>
              <w:top w:w="55" w:type="dxa"/>
              <w:left w:w="70" w:type="dxa"/>
              <w:bottom w:w="55" w:type="dxa"/>
              <w:right w:w="70" w:type="dxa"/>
            </w:tcMar>
            <w:vAlign w:val="center"/>
          </w:tcPr>
          <w:p w14:paraId="51F10885">
            <w:pPr>
              <w:spacing w:after="0" w:line="252" w:lineRule="auto"/>
              <w:ind w:firstLine="0"/>
              <w:jc w:val="center"/>
              <w:rPr>
                <w:b w:val="0"/>
              </w:rPr>
            </w:pPr>
            <w:r>
              <w:rPr>
                <w:rFonts w:ascii="Times New Roman" w:hAnsi="Times New Roman" w:eastAsia="宋体" w:cs="Times New Roman"/>
                <w:b w:val="0"/>
                <w:color w:val="000000"/>
                <w:sz w:val="17"/>
                <w:szCs w:val="17"/>
              </w:rPr>
              <w:t>Simulate和All必填；必须是源文件包外的绝对路径</w:t>
            </w:r>
          </w:p>
        </w:tc>
      </w:tr>
      <w:tr w14:paraId="55C5C97C">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Borders>
              <w:top w:val="nil"/>
              <w:bottom w:val="single" w:color="000000" w:sz="12" w:space="0"/>
            </w:tcBorders>
            <w:shd w:val="clear" w:color="auto" w:fill="FFFFFF"/>
            <w:tcMar>
              <w:top w:w="55" w:type="dxa"/>
              <w:left w:w="70" w:type="dxa"/>
              <w:bottom w:w="55" w:type="dxa"/>
              <w:right w:w="70" w:type="dxa"/>
            </w:tcMar>
            <w:vAlign w:val="center"/>
          </w:tcPr>
          <w:p w14:paraId="482FC6BB">
            <w:pPr>
              <w:spacing w:after="0" w:line="252" w:lineRule="auto"/>
              <w:ind w:firstLine="0"/>
              <w:jc w:val="center"/>
              <w:rPr>
                <w:b w:val="0"/>
              </w:rPr>
            </w:pPr>
            <w:r>
              <w:rPr>
                <w:rFonts w:ascii="Times New Roman" w:hAnsi="Times New Roman" w:eastAsia="宋体" w:cs="Times New Roman"/>
                <w:b w:val="0"/>
                <w:color w:val="000000"/>
                <w:sz w:val="17"/>
                <w:szCs w:val="17"/>
              </w:rPr>
              <w:t>RECOMPUTE_REPORT_</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EVIDENCE.ps1</w:t>
            </w:r>
          </w:p>
        </w:tc>
        <w:tc>
          <w:tcPr>
            <w:tcW w:w="0" w:type="auto"/>
            <w:tcBorders>
              <w:top w:val="nil"/>
              <w:bottom w:val="single" w:color="000000" w:sz="12" w:space="0"/>
            </w:tcBorders>
            <w:shd w:val="clear" w:color="auto" w:fill="FFFFFF"/>
            <w:tcMar>
              <w:top w:w="55" w:type="dxa"/>
              <w:left w:w="70" w:type="dxa"/>
              <w:bottom w:w="55" w:type="dxa"/>
              <w:right w:w="70" w:type="dxa"/>
            </w:tcMar>
            <w:vAlign w:val="center"/>
          </w:tcPr>
          <w:p w14:paraId="2B9CDBB4">
            <w:pPr>
              <w:spacing w:after="0" w:line="252" w:lineRule="auto"/>
              <w:ind w:firstLine="0"/>
              <w:jc w:val="center"/>
              <w:rPr>
                <w:b w:val="0"/>
              </w:rPr>
            </w:pPr>
            <w:r>
              <w:rPr>
                <w:rFonts w:ascii="Times New Roman" w:hAnsi="Times New Roman" w:eastAsia="宋体" w:cs="Times New Roman"/>
                <w:b w:val="0"/>
                <w:color w:val="000000"/>
                <w:sz w:val="17"/>
                <w:szCs w:val="17"/>
              </w:rPr>
              <w:t>Check</w:t>
            </w:r>
          </w:p>
        </w:tc>
        <w:tc>
          <w:tcPr>
            <w:tcW w:w="0" w:type="auto"/>
            <w:tcBorders>
              <w:top w:val="nil"/>
              <w:bottom w:val="single" w:color="000000" w:sz="12" w:space="0"/>
            </w:tcBorders>
            <w:shd w:val="clear" w:color="auto" w:fill="FFFFFF"/>
            <w:tcMar>
              <w:top w:w="55" w:type="dxa"/>
              <w:left w:w="70" w:type="dxa"/>
              <w:bottom w:w="55" w:type="dxa"/>
              <w:right w:w="70" w:type="dxa"/>
            </w:tcMar>
            <w:vAlign w:val="center"/>
          </w:tcPr>
          <w:p w14:paraId="27CCE377">
            <w:pPr>
              <w:spacing w:after="0" w:line="252" w:lineRule="auto"/>
              <w:ind w:firstLine="0"/>
              <w:jc w:val="center"/>
              <w:rPr>
                <w:b w:val="0"/>
              </w:rPr>
            </w:pPr>
            <w:r>
              <w:rPr>
                <w:rFonts w:ascii="Times New Roman" w:hAnsi="Times New Roman" w:eastAsia="宋体" w:cs="Times New Roman"/>
                <w:b w:val="0"/>
                <w:color w:val="000000"/>
                <w:sz w:val="17"/>
                <w:szCs w:val="17"/>
              </w:rPr>
              <w:t>只读核对报告结果资料</w:t>
            </w:r>
          </w:p>
        </w:tc>
        <w:tc>
          <w:tcPr>
            <w:tcW w:w="0" w:type="auto"/>
            <w:tcBorders>
              <w:top w:val="nil"/>
              <w:bottom w:val="single" w:color="000000" w:sz="12" w:space="0"/>
            </w:tcBorders>
            <w:shd w:val="clear" w:color="auto" w:fill="FFFFFF"/>
            <w:tcMar>
              <w:top w:w="55" w:type="dxa"/>
              <w:left w:w="70" w:type="dxa"/>
              <w:bottom w:w="55" w:type="dxa"/>
              <w:right w:w="70" w:type="dxa"/>
            </w:tcMar>
            <w:vAlign w:val="center"/>
          </w:tcPr>
          <w:p w14:paraId="31BC4B07">
            <w:pPr>
              <w:spacing w:after="0" w:line="252" w:lineRule="auto"/>
              <w:ind w:firstLine="0"/>
              <w:jc w:val="center"/>
              <w:rPr>
                <w:b w:val="0"/>
              </w:rPr>
            </w:pPr>
            <w:r>
              <w:rPr>
                <w:rFonts w:ascii="Times New Roman" w:hAnsi="Times New Roman" w:eastAsia="宋体" w:cs="Times New Roman"/>
                <w:b w:val="0"/>
                <w:color w:val="000000"/>
                <w:sz w:val="17"/>
                <w:szCs w:val="17"/>
              </w:rPr>
              <w:t>不重建文件；用于结果复核</w:t>
            </w:r>
          </w:p>
        </w:tc>
      </w:tr>
    </w:tbl>
    <w:p w14:paraId="6FB558FF">
      <w:pPr>
        <w:pStyle w:val="15"/>
        <w:keepNext/>
        <w:keepLines/>
        <w:widowControl/>
        <w:ind w:firstLine="0"/>
        <w:jc w:val="center"/>
      </w:pPr>
      <w:r>
        <w:rPr>
          <w:rFonts w:ascii="Times New Roman" w:hAnsi="Times New Roman" w:eastAsia="宋体" w:cs="Times New Roman"/>
          <w:color w:val="000000"/>
          <w:sz w:val="19"/>
          <w:szCs w:val="19"/>
        </w:rPr>
        <w:t>表5-1  运行脚本及主要参数</w:t>
      </w:r>
    </w:p>
    <w:p w14:paraId="3BB90B89">
      <w:pPr>
        <w:widowControl/>
        <w:spacing w:after="0" w:line="240" w:lineRule="auto"/>
      </w:pPr>
    </w:p>
    <w:p w14:paraId="341C0714">
      <w:pPr>
        <w:widowControl/>
        <w:spacing w:after="40"/>
        <w:ind w:firstLine="0"/>
      </w:pPr>
      <w:r>
        <w:rPr>
          <w:rFonts w:ascii="Times New Roman" w:hAnsi="Times New Roman" w:eastAsia="宋体" w:cs="Times New Roman"/>
          <w:color w:val="000000"/>
          <w:sz w:val="21"/>
          <w:szCs w:val="21"/>
        </w:rPr>
        <w:t>推荐的单场景命令如下。场景名称及其正式任务含义见第3章；完整已注册场景清单见&lt;源文件包&gt;\00_START_HERE\SCENE_INDEX.csv。</w:t>
      </w:r>
    </w:p>
    <w:tbl>
      <w:tblPr>
        <w:tblStyle w:val="32"/>
        <w:tblW w:w="0" w:type="auto"/>
        <w:jc w:val="center"/>
        <w:tblBorders>
          <w:top w:val="none" w:color="FFFFFF" w:sz="0" w:space="0"/>
          <w:left w:val="single" w:color="2F6F9F" w:sz="18" w:space="0"/>
          <w:bottom w:val="none" w:color="FFFFFF" w:sz="0" w:space="0"/>
          <w:right w:val="none" w:color="FFFFFF" w:sz="0" w:space="0"/>
          <w:insideH w:val="none" w:color="FFFFFF" w:sz="0" w:space="0"/>
          <w:insideV w:val="none" w:color="FFFFFF" w:sz="0" w:space="0"/>
        </w:tblBorders>
        <w:tblLayout w:type="fixed"/>
        <w:tblCellMar>
          <w:top w:w="0" w:type="dxa"/>
          <w:left w:w="108" w:type="dxa"/>
          <w:bottom w:w="0" w:type="dxa"/>
          <w:right w:w="108" w:type="dxa"/>
        </w:tblCellMar>
      </w:tblPr>
      <w:tblGrid>
        <w:gridCol w:w="9128"/>
      </w:tblGrid>
      <w:tr w14:paraId="71D88D95">
        <w:tblPrEx>
          <w:tblBorders>
            <w:top w:val="none" w:color="FFFFFF" w:sz="0" w:space="0"/>
            <w:left w:val="single" w:color="2F6F9F" w:sz="18"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cantSplit/>
          <w:jc w:val="center"/>
        </w:trPr>
        <w:tc>
          <w:tcPr>
            <w:tcW w:w="8957" w:type="dxa"/>
            <w:shd w:val="clear" w:color="auto" w:fill="F3F5F7"/>
            <w:tcMar>
              <w:top w:w="55" w:type="dxa"/>
              <w:left w:w="70" w:type="dxa"/>
              <w:bottom w:w="55" w:type="dxa"/>
              <w:right w:w="70" w:type="dxa"/>
            </w:tcMar>
            <w:vAlign w:val="center"/>
          </w:tcPr>
          <w:p w14:paraId="2199833C">
            <w:pPr>
              <w:spacing w:after="0" w:line="276" w:lineRule="auto"/>
              <w:ind w:firstLine="0"/>
              <w:jc w:val="left"/>
            </w:pPr>
            <w:r>
              <w:rPr>
                <w:rFonts w:ascii="Consolas" w:hAnsi="Consolas" w:eastAsia="等线" w:cs="Consolas"/>
                <w:color w:val="000000"/>
                <w:sz w:val="16"/>
                <w:szCs w:val="16"/>
              </w:rPr>
              <w:t>$Output = Join-Path $env:USERPROFILE 'A8_runs\Scene04'</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-Scene Scene04 -Output $Output</w:t>
            </w:r>
          </w:p>
        </w:tc>
      </w:tr>
    </w:tbl>
    <w:p w14:paraId="6155DA37">
      <w:pPr>
        <w:widowControl/>
        <w:spacing w:after="0" w:line="240" w:lineRule="auto"/>
      </w:pPr>
    </w:p>
    <w:tbl>
      <w:tblPr>
        <w:tblStyle w:val="32"/>
        <w:tblW w:w="0" w:type="auto"/>
        <w:jc w:val="center"/>
        <w:tblLayout w:type="fixed"/>
        <w:tblCellMar>
          <w:top w:w="0" w:type="dxa"/>
          <w:left w:w="108" w:type="dxa"/>
          <w:bottom w:w="0" w:type="dxa"/>
          <w:right w:w="108" w:type="dxa"/>
        </w:tblCellMar>
      </w:tblPr>
      <w:tblGrid>
        <w:gridCol w:w="9128"/>
      </w:tblGrid>
      <w:tr w14:paraId="2289C684">
        <w:tblPrEx>
          <w:tblCellMar>
            <w:top w:w="0" w:type="dxa"/>
            <w:left w:w="108" w:type="dxa"/>
            <w:bottom w:w="0" w:type="dxa"/>
            <w:right w:w="108" w:type="dxa"/>
          </w:tblCellMar>
        </w:tblPrEx>
        <w:trPr>
          <w:cantSplit/>
          <w:jc w:val="center"/>
        </w:trPr>
        <w:tc>
          <w:tcPr>
            <w:tcW w:w="8957" w:type="dxa"/>
            <w:shd w:val="clear" w:color="auto" w:fill="EEF4F8"/>
            <w:tcMar>
              <w:top w:w="55" w:type="dxa"/>
              <w:left w:w="70" w:type="dxa"/>
              <w:bottom w:w="55" w:type="dxa"/>
              <w:right w:w="70" w:type="dxa"/>
            </w:tcMar>
            <w:vAlign w:val="center"/>
          </w:tcPr>
          <w:p w14:paraId="6FEDC15A">
            <w:pPr>
              <w:spacing w:after="0" w:line="288" w:lineRule="auto"/>
              <w:ind w:firstLine="0"/>
            </w:pPr>
            <w:r>
              <w:rPr>
                <w:rFonts w:ascii="Times New Roman" w:hAnsi="Times New Roman" w:eastAsia="宋体" w:cs="Times New Roman"/>
                <w:b/>
                <w:color w:val="000000"/>
                <w:sz w:val="21"/>
                <w:szCs w:val="21"/>
              </w:rPr>
              <w:t>连接要求：</w:t>
            </w:r>
            <w:r>
              <w:rPr>
                <w:rFonts w:ascii="Times New Roman" w:hAnsi="Times New Roman" w:eastAsia="宋体" w:cs="Times New Roman"/>
                <w:color w:val="000000"/>
                <w:sz w:val="21"/>
                <w:szCs w:val="21"/>
              </w:rPr>
              <w:t>运行器只连接现有Sysplorer实例，不会自动启动或关闭软件，也不会清空当前工作区或改变工作目录。端口列表与-Port指定值不一致时，脚本会停止并报告错误。</w:t>
            </w:r>
          </w:p>
        </w:tc>
      </w:tr>
    </w:tbl>
    <w:p w14:paraId="4CA8D9CF">
      <w:pPr>
        <w:pStyle w:val="4"/>
        <w:keepNext/>
        <w:widowControl/>
      </w:pPr>
      <w:bookmarkStart w:id="16" w:name="_Toc235146498"/>
      <w:r>
        <w:rPr>
          <w:rFonts w:ascii="Times New Roman" w:hAnsi="Times New Roman" w:eastAsia="黑体" w:cs="Times New Roman"/>
          <w:color w:val="000000"/>
          <w:sz w:val="26"/>
          <w:szCs w:val="26"/>
        </w:rPr>
        <w:t>5.2  控制器接口与加载顺序</w:t>
      </w:r>
      <w:bookmarkEnd w:id="16"/>
    </w:p>
    <w:p w14:paraId="6CFA7F09">
      <w:pPr>
        <w:widowControl/>
        <w:spacing w:after="50"/>
        <w:ind w:firstLine="420"/>
      </w:pPr>
      <w:r>
        <w:rPr>
          <w:rFonts w:ascii="Times New Roman" w:hAnsi="Times New Roman" w:eastAsia="宋体" w:cs="Times New Roman"/>
          <w:color w:val="000000"/>
          <w:sz w:val="21"/>
          <w:szCs w:val="21"/>
        </w:rPr>
        <w:t>RA-GCA-CGHTE作为单机低层控制器，直接输出四路电机角速度指令；PP-CBF仅在三机安全任务中位于参考生成与三套低层控制器之间，输出经安全修正的三机参考。两个模块均以0.01 s周期更新。</w:t>
      </w:r>
    </w:p>
    <w:p w14:paraId="03C494BB">
      <w:pPr>
        <w:keepNext/>
        <w:widowControl/>
        <w:spacing w:before="40" w:after="20"/>
        <w:ind w:firstLine="0"/>
        <w:jc w:val="center"/>
      </w:pPr>
      <w:r>
        <w:rPr>
          <w:rFonts w:ascii="Times New Roman" w:hAnsi="Times New Roman" w:eastAsia="宋体" w:cs="Times New Roman"/>
          <w:color w:val="000000"/>
          <w:sz w:val="21"/>
          <w:szCs w:val="21"/>
        </w:rPr>
        <w:drawing>
          <wp:inline distT="0" distB="0" distL="114300" distR="114300">
            <wp:extent cx="5723890" cy="1717040"/>
            <wp:effectExtent l="0" t="0" r="10160" b="16510"/>
            <wp:docPr id="16" name="Figure 16" descr="图5-1  RA-GCA-CGHTE与赛题四旋翼模型的接口关系" title="图5-1  RA-GCA-CGHTE与赛题四旋翼模型的接口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descr="图5-1  RA-GCA-CGHTE与赛题四旋翼模型的接口关系" title="图5-1  RA-GCA-CGHTE与赛题四旋翼模型的接口关系"/>
                    <pic:cNvPicPr>
                      <a:picLocks noChangeAspect="1"/>
                    </pic:cNvPicPr>
                  </pic:nvPicPr>
                  <pic:blipFill>
                    <a:blip r:embed="rId27"/>
                    <a:stretch>
                      <a:fillRect/>
                    </a:stretch>
                  </pic:blipFill>
                  <pic:spPr>
                    <a:xfrm>
                      <a:off x="0" y="0"/>
                      <a:ext cx="5724000" cy="1717200"/>
                    </a:xfrm>
                    <a:prstGeom prst="rect">
                      <a:avLst/>
                    </a:prstGeom>
                  </pic:spPr>
                </pic:pic>
              </a:graphicData>
            </a:graphic>
          </wp:inline>
        </w:drawing>
      </w:r>
    </w:p>
    <w:p w14:paraId="70AEA7B5">
      <w:pPr>
        <w:pStyle w:val="15"/>
        <w:keepLines/>
        <w:widowControl/>
        <w:ind w:firstLine="0"/>
        <w:jc w:val="center"/>
      </w:pPr>
      <w:r>
        <w:rPr>
          <w:rFonts w:ascii="Times New Roman" w:hAnsi="Times New Roman" w:eastAsia="宋体" w:cs="Times New Roman"/>
          <w:color w:val="000000"/>
          <w:sz w:val="19"/>
          <w:szCs w:val="19"/>
        </w:rPr>
        <w:t>图5-1  RA-GCA-CGHTE与赛题四旋翼模型的接口关系</w:t>
      </w:r>
    </w:p>
    <w:p w14:paraId="3DA6125E">
      <w:pPr>
        <w:pStyle w:val="15"/>
        <w:keepNext/>
        <w:keepLines/>
        <w:widowControl/>
        <w:ind w:firstLine="0"/>
        <w:jc w:val="center"/>
      </w:pPr>
      <w:r>
        <w:rPr>
          <w:rFonts w:ascii="Times New Roman" w:hAnsi="Times New Roman" w:eastAsia="宋体" w:cs="Times New Roman"/>
          <w:color w:val="000000"/>
          <w:sz w:val="19"/>
          <w:szCs w:val="19"/>
        </w:rPr>
        <w:t>表5-2  RA-GCA-CGHTE与PP-CBF信号合同</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fixed"/>
        <w:tblCellMar>
          <w:top w:w="0" w:type="dxa"/>
          <w:left w:w="108" w:type="dxa"/>
          <w:bottom w:w="0" w:type="dxa"/>
          <w:right w:w="108" w:type="dxa"/>
        </w:tblCellMar>
      </w:tblPr>
      <w:tblGrid>
        <w:gridCol w:w="1221"/>
        <w:gridCol w:w="528"/>
        <w:gridCol w:w="1437"/>
        <w:gridCol w:w="5991"/>
      </w:tblGrid>
      <w:tr w14:paraId="14D1232C">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1221" w:type="dxa"/>
            <w:tcBorders>
              <w:top w:val="single" w:color="000000" w:sz="12" w:space="0"/>
              <w:left w:val="nil"/>
              <w:bottom w:val="single" w:color="000000" w:sz="4" w:space="0"/>
              <w:right w:val="nil"/>
              <w:insideH w:val="nil"/>
              <w:insideV w:val="nil"/>
              <w:tl2br w:val="nil"/>
            </w:tcBorders>
            <w:shd w:val="clear" w:color="auto" w:fill="FFFFFF"/>
            <w:tcMar>
              <w:top w:w="55" w:type="dxa"/>
              <w:left w:w="70" w:type="dxa"/>
              <w:bottom w:w="55" w:type="dxa"/>
              <w:right w:w="70" w:type="dxa"/>
            </w:tcMar>
            <w:vAlign w:val="center"/>
          </w:tcPr>
          <w:p w14:paraId="0D4E61D2">
            <w:pPr>
              <w:spacing w:after="0" w:line="252" w:lineRule="auto"/>
              <w:ind w:firstLine="0"/>
              <w:jc w:val="center"/>
              <w:rPr>
                <w:b/>
                <w:bCs/>
              </w:rPr>
            </w:pPr>
            <w:r>
              <w:rPr>
                <w:rFonts w:ascii="Times New Roman" w:hAnsi="Times New Roman" w:eastAsia="宋体" w:cs="Times New Roman"/>
                <w:b/>
                <w:bCs/>
                <w:color w:val="000000"/>
                <w:sz w:val="17"/>
                <w:szCs w:val="17"/>
              </w:rPr>
              <w:t>模块</w:t>
            </w:r>
          </w:p>
        </w:tc>
        <w:tc>
          <w:tcPr>
            <w:tcW w:w="528" w:type="dxa"/>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4900B66F">
            <w:pPr>
              <w:spacing w:after="0" w:line="252" w:lineRule="auto"/>
              <w:ind w:firstLine="0"/>
              <w:jc w:val="center"/>
              <w:rPr>
                <w:b/>
                <w:bCs/>
              </w:rPr>
            </w:pPr>
            <w:r>
              <w:rPr>
                <w:rFonts w:ascii="Times New Roman" w:hAnsi="Times New Roman" w:eastAsia="宋体" w:cs="Times New Roman"/>
                <w:b/>
                <w:bCs/>
                <w:color w:val="000000"/>
                <w:sz w:val="17"/>
                <w:szCs w:val="17"/>
              </w:rPr>
              <w:t>方向</w:t>
            </w:r>
          </w:p>
        </w:tc>
        <w:tc>
          <w:tcPr>
            <w:tcW w:w="1437" w:type="dxa"/>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7C5BC819">
            <w:pPr>
              <w:spacing w:after="0" w:line="252" w:lineRule="auto"/>
              <w:ind w:firstLine="0"/>
              <w:jc w:val="center"/>
              <w:rPr>
                <w:b/>
                <w:bCs/>
              </w:rPr>
            </w:pPr>
            <w:r>
              <w:rPr>
                <w:rFonts w:ascii="Times New Roman" w:hAnsi="Times New Roman" w:eastAsia="宋体" w:cs="Times New Roman"/>
                <w:b/>
                <w:bCs/>
                <w:color w:val="000000"/>
                <w:sz w:val="17"/>
                <w:szCs w:val="17"/>
              </w:rPr>
              <w:t>端口与维数</w:t>
            </w:r>
          </w:p>
        </w:tc>
        <w:tc>
          <w:tcPr>
            <w:tcW w:w="5991" w:type="dxa"/>
            <w:tcBorders>
              <w:top w:val="single" w:color="000000" w:sz="12" w:space="0"/>
              <w:left w:val="nil"/>
              <w:bottom w:val="single" w:color="000000" w:sz="4" w:space="0"/>
              <w:right w:val="nil"/>
              <w:insideH w:val="nil"/>
              <w:insideV w:val="nil"/>
            </w:tcBorders>
            <w:shd w:val="clear" w:color="auto" w:fill="FFFFFF"/>
            <w:tcMar>
              <w:top w:w="55" w:type="dxa"/>
              <w:left w:w="70" w:type="dxa"/>
              <w:bottom w:w="55" w:type="dxa"/>
              <w:right w:w="70" w:type="dxa"/>
            </w:tcMar>
            <w:vAlign w:val="center"/>
          </w:tcPr>
          <w:p w14:paraId="3054716C">
            <w:pPr>
              <w:spacing w:after="0" w:line="252" w:lineRule="auto"/>
              <w:ind w:firstLine="0"/>
              <w:jc w:val="center"/>
              <w:rPr>
                <w:b/>
                <w:bCs/>
              </w:rPr>
            </w:pPr>
            <w:r>
              <w:rPr>
                <w:rFonts w:ascii="Times New Roman" w:hAnsi="Times New Roman" w:eastAsia="宋体" w:cs="Times New Roman"/>
                <w:b/>
                <w:bCs/>
                <w:color w:val="000000"/>
                <w:sz w:val="17"/>
                <w:szCs w:val="17"/>
              </w:rPr>
              <w:t>分量顺序或用途</w:t>
            </w:r>
          </w:p>
        </w:tc>
      </w:tr>
      <w:tr w14:paraId="3F5D5D0B">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single" w:color="000000" w:sz="4" w:space="0"/>
              <w:bottom w:val="nil"/>
            </w:tcBorders>
            <w:shd w:val="clear" w:color="auto" w:fill="FFFFFF"/>
            <w:tcMar>
              <w:top w:w="55" w:type="dxa"/>
              <w:left w:w="70" w:type="dxa"/>
              <w:bottom w:w="55" w:type="dxa"/>
              <w:right w:w="70" w:type="dxa"/>
            </w:tcMar>
            <w:vAlign w:val="center"/>
          </w:tcPr>
          <w:p w14:paraId="782EF283">
            <w:pPr>
              <w:spacing w:after="0" w:line="252" w:lineRule="auto"/>
              <w:ind w:firstLine="0"/>
              <w:jc w:val="center"/>
              <w:rPr>
                <w:b w:val="0"/>
              </w:rPr>
            </w:pPr>
            <w:r>
              <w:rPr>
                <w:rFonts w:ascii="Times New Roman" w:hAnsi="Times New Roman" w:eastAsia="宋体" w:cs="Times New Roman"/>
                <w:b w:val="0"/>
                <w:color w:val="000000"/>
                <w:sz w:val="17"/>
                <w:szCs w:val="17"/>
              </w:rPr>
              <w:t>RA-GCA-CGHTE</w:t>
            </w:r>
          </w:p>
        </w:tc>
        <w:tc>
          <w:tcPr>
            <w:tcW w:w="528" w:type="dxa"/>
            <w:tcBorders>
              <w:top w:val="single" w:color="000000" w:sz="4" w:space="0"/>
              <w:bottom w:val="nil"/>
            </w:tcBorders>
            <w:shd w:val="clear" w:color="auto" w:fill="FFFFFF"/>
            <w:tcMar>
              <w:top w:w="55" w:type="dxa"/>
              <w:left w:w="70" w:type="dxa"/>
              <w:bottom w:w="55" w:type="dxa"/>
              <w:right w:w="70" w:type="dxa"/>
            </w:tcMar>
            <w:vAlign w:val="center"/>
          </w:tcPr>
          <w:p w14:paraId="0FF57610">
            <w:pPr>
              <w:spacing w:after="0" w:line="252" w:lineRule="auto"/>
              <w:ind w:firstLine="0"/>
              <w:jc w:val="center"/>
              <w:rPr>
                <w:b w:val="0"/>
              </w:rPr>
            </w:pPr>
            <w:r>
              <w:rPr>
                <w:rFonts w:ascii="Times New Roman" w:hAnsi="Times New Roman" w:eastAsia="宋体" w:cs="Times New Roman"/>
                <w:b w:val="0"/>
                <w:color w:val="000000"/>
                <w:sz w:val="17"/>
                <w:szCs w:val="17"/>
              </w:rPr>
              <w:t>输入</w:t>
            </w:r>
          </w:p>
        </w:tc>
        <w:tc>
          <w:tcPr>
            <w:tcW w:w="1437" w:type="dxa"/>
            <w:tcBorders>
              <w:top w:val="single" w:color="000000" w:sz="4" w:space="0"/>
              <w:bottom w:val="nil"/>
            </w:tcBorders>
            <w:shd w:val="clear" w:color="auto" w:fill="FFFFFF"/>
            <w:tcMar>
              <w:top w:w="55" w:type="dxa"/>
              <w:left w:w="70" w:type="dxa"/>
              <w:bottom w:w="55" w:type="dxa"/>
              <w:right w:w="70" w:type="dxa"/>
            </w:tcMar>
            <w:vAlign w:val="center"/>
          </w:tcPr>
          <w:p w14:paraId="1BE29D37">
            <w:pPr>
              <w:spacing w:after="0" w:line="252" w:lineRule="auto"/>
              <w:ind w:firstLine="0"/>
              <w:jc w:val="center"/>
              <w:rPr>
                <w:b w:val="0"/>
              </w:rPr>
            </w:pPr>
            <w:r>
              <w:rPr>
                <w:rFonts w:ascii="Times New Roman" w:hAnsi="Times New Roman" w:eastAsia="宋体" w:cs="Times New Roman"/>
                <w:b w:val="0"/>
                <w:color w:val="000000"/>
                <w:sz w:val="17"/>
                <w:szCs w:val="17"/>
              </w:rPr>
              <w:t>reference</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11维</w:t>
            </w:r>
          </w:p>
        </w:tc>
        <w:tc>
          <w:tcPr>
            <w:tcW w:w="5991" w:type="dxa"/>
            <w:tcBorders>
              <w:top w:val="single" w:color="000000" w:sz="4" w:space="0"/>
              <w:bottom w:val="nil"/>
            </w:tcBorders>
            <w:shd w:val="clear" w:color="auto" w:fill="FFFFFF"/>
            <w:tcMar>
              <w:top w:w="55" w:type="dxa"/>
              <w:left w:w="70" w:type="dxa"/>
              <w:bottom w:w="55" w:type="dxa"/>
              <w:right w:w="70" w:type="dxa"/>
            </w:tcMar>
            <w:vAlign w:val="center"/>
          </w:tcPr>
          <w:p w14:paraId="2C166207">
            <w:pPr>
              <w:spacing w:after="0" w:line="252" w:lineRule="auto"/>
              <w:ind w:firstLine="0"/>
              <w:jc w:val="center"/>
              <w:rPr>
                <w:b w:val="0"/>
              </w:rPr>
            </w:pPr>
            <w:r>
              <w:rPr>
                <w:rFonts w:ascii="Times New Roman" w:hAnsi="Times New Roman" w:eastAsia="宋体" w:cs="Times New Roman"/>
                <w:b w:val="0"/>
                <w:color w:val="000000"/>
                <w:sz w:val="17"/>
                <w:szCs w:val="17"/>
              </w:rPr>
              <w:t>[1:3]期望位置(m)；[4:6]期望速度(m/s)；[7:9]期望加速度(m/s²)；[10:11]偏航占位(rad、rad/s)</w:t>
            </w:r>
          </w:p>
        </w:tc>
      </w:tr>
      <w:tr w14:paraId="7DB5653F">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3250F597">
            <w:pPr>
              <w:spacing w:after="0" w:line="252" w:lineRule="auto"/>
              <w:ind w:firstLine="0"/>
              <w:jc w:val="center"/>
              <w:rPr>
                <w:b w:val="0"/>
              </w:rPr>
            </w:pPr>
            <w:r>
              <w:rPr>
                <w:rFonts w:ascii="Times New Roman" w:hAnsi="Times New Roman" w:eastAsia="宋体" w:cs="Times New Roman"/>
                <w:b w:val="0"/>
                <w:color w:val="000000"/>
                <w:sz w:val="17"/>
                <w:szCs w:val="17"/>
              </w:rPr>
              <w:t>RA-GCA-CGHTE</w:t>
            </w:r>
          </w:p>
        </w:tc>
        <w:tc>
          <w:tcPr>
            <w:tcW w:w="528" w:type="dxa"/>
            <w:tcBorders>
              <w:top w:val="nil"/>
              <w:bottom w:val="nil"/>
            </w:tcBorders>
            <w:shd w:val="clear" w:color="auto" w:fill="FFFFFF"/>
            <w:tcMar>
              <w:top w:w="55" w:type="dxa"/>
              <w:left w:w="70" w:type="dxa"/>
              <w:bottom w:w="55" w:type="dxa"/>
              <w:right w:w="70" w:type="dxa"/>
            </w:tcMar>
            <w:vAlign w:val="center"/>
          </w:tcPr>
          <w:p w14:paraId="7E02B4E7">
            <w:pPr>
              <w:spacing w:after="0" w:line="252" w:lineRule="auto"/>
              <w:ind w:firstLine="0"/>
              <w:jc w:val="center"/>
              <w:rPr>
                <w:b w:val="0"/>
              </w:rPr>
            </w:pPr>
            <w:r>
              <w:rPr>
                <w:rFonts w:ascii="Times New Roman" w:hAnsi="Times New Roman" w:eastAsia="宋体" w:cs="Times New Roman"/>
                <w:b w:val="0"/>
                <w:color w:val="000000"/>
                <w:sz w:val="17"/>
                <w:szCs w:val="17"/>
              </w:rPr>
              <w:t>输入</w:t>
            </w:r>
          </w:p>
        </w:tc>
        <w:tc>
          <w:tcPr>
            <w:tcW w:w="1437" w:type="dxa"/>
            <w:tcBorders>
              <w:top w:val="nil"/>
              <w:bottom w:val="nil"/>
            </w:tcBorders>
            <w:shd w:val="clear" w:color="auto" w:fill="FFFFFF"/>
            <w:tcMar>
              <w:top w:w="55" w:type="dxa"/>
              <w:left w:w="70" w:type="dxa"/>
              <w:bottom w:w="55" w:type="dxa"/>
              <w:right w:w="70" w:type="dxa"/>
            </w:tcMar>
            <w:vAlign w:val="center"/>
          </w:tcPr>
          <w:p w14:paraId="5CAEB882">
            <w:pPr>
              <w:spacing w:after="0" w:line="252" w:lineRule="auto"/>
              <w:ind w:firstLine="0"/>
              <w:jc w:val="center"/>
              <w:rPr>
                <w:b w:val="0"/>
              </w:rPr>
            </w:pPr>
            <w:r>
              <w:rPr>
                <w:rFonts w:ascii="Times New Roman" w:hAnsi="Times New Roman" w:eastAsia="宋体" w:cs="Times New Roman"/>
                <w:b w:val="0"/>
                <w:color w:val="000000"/>
                <w:sz w:val="17"/>
                <w:szCs w:val="17"/>
              </w:rPr>
              <w:t>state</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18维</w:t>
            </w:r>
          </w:p>
        </w:tc>
        <w:tc>
          <w:tcPr>
            <w:tcW w:w="5991" w:type="dxa"/>
            <w:tcBorders>
              <w:top w:val="nil"/>
              <w:bottom w:val="nil"/>
            </w:tcBorders>
            <w:shd w:val="clear" w:color="auto" w:fill="FFFFFF"/>
            <w:tcMar>
              <w:top w:w="55" w:type="dxa"/>
              <w:left w:w="70" w:type="dxa"/>
              <w:bottom w:w="55" w:type="dxa"/>
              <w:right w:w="70" w:type="dxa"/>
            </w:tcMar>
            <w:vAlign w:val="center"/>
          </w:tcPr>
          <w:p w14:paraId="7CF027FE">
            <w:pPr>
              <w:spacing w:after="0" w:line="252" w:lineRule="auto"/>
              <w:ind w:firstLine="0"/>
              <w:jc w:val="center"/>
              <w:rPr>
                <w:b w:val="0"/>
              </w:rPr>
            </w:pPr>
            <w:r>
              <w:rPr>
                <w:rFonts w:ascii="Times New Roman" w:hAnsi="Times New Roman" w:eastAsia="宋体" w:cs="Times New Roman"/>
                <w:b w:val="0"/>
                <w:color w:val="000000"/>
                <w:sz w:val="17"/>
                <w:szCs w:val="17"/>
              </w:rPr>
              <w:t>[1:3]位置(m)；[4:6]速度(m/s)；[7:15]旋转矩阵三个列向量；[16:18]机体系角速度(rad/s)</w:t>
            </w:r>
          </w:p>
        </w:tc>
      </w:tr>
      <w:tr w14:paraId="4A33B876">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39D9C1DC">
            <w:pPr>
              <w:spacing w:after="0" w:line="252" w:lineRule="auto"/>
              <w:ind w:firstLine="0"/>
              <w:jc w:val="center"/>
              <w:rPr>
                <w:b w:val="0"/>
              </w:rPr>
            </w:pPr>
            <w:r>
              <w:rPr>
                <w:rFonts w:ascii="Times New Roman" w:hAnsi="Times New Roman" w:eastAsia="宋体" w:cs="Times New Roman"/>
                <w:b w:val="0"/>
                <w:color w:val="000000"/>
                <w:sz w:val="17"/>
                <w:szCs w:val="17"/>
              </w:rPr>
              <w:t>RA-GCA-CGHTE</w:t>
            </w:r>
          </w:p>
        </w:tc>
        <w:tc>
          <w:tcPr>
            <w:tcW w:w="528" w:type="dxa"/>
            <w:tcBorders>
              <w:top w:val="nil"/>
              <w:bottom w:val="nil"/>
            </w:tcBorders>
            <w:shd w:val="clear" w:color="auto" w:fill="FFFFFF"/>
            <w:tcMar>
              <w:top w:w="55" w:type="dxa"/>
              <w:left w:w="70" w:type="dxa"/>
              <w:bottom w:w="55" w:type="dxa"/>
              <w:right w:w="70" w:type="dxa"/>
            </w:tcMar>
            <w:vAlign w:val="center"/>
          </w:tcPr>
          <w:p w14:paraId="71348E36">
            <w:pPr>
              <w:spacing w:after="0" w:line="252" w:lineRule="auto"/>
              <w:ind w:firstLine="0"/>
              <w:jc w:val="center"/>
              <w:rPr>
                <w:b w:val="0"/>
              </w:rPr>
            </w:pPr>
            <w:r>
              <w:rPr>
                <w:rFonts w:ascii="Times New Roman" w:hAnsi="Times New Roman" w:eastAsia="宋体" w:cs="Times New Roman"/>
                <w:b w:val="0"/>
                <w:color w:val="000000"/>
                <w:sz w:val="17"/>
                <w:szCs w:val="17"/>
              </w:rPr>
              <w:t>输入</w:t>
            </w:r>
          </w:p>
        </w:tc>
        <w:tc>
          <w:tcPr>
            <w:tcW w:w="1437" w:type="dxa"/>
            <w:tcBorders>
              <w:top w:val="nil"/>
              <w:bottom w:val="nil"/>
            </w:tcBorders>
            <w:shd w:val="clear" w:color="auto" w:fill="FFFFFF"/>
            <w:tcMar>
              <w:top w:w="55" w:type="dxa"/>
              <w:left w:w="70" w:type="dxa"/>
              <w:bottom w:w="55" w:type="dxa"/>
              <w:right w:w="70" w:type="dxa"/>
            </w:tcMar>
            <w:vAlign w:val="center"/>
          </w:tcPr>
          <w:p w14:paraId="2E11A952">
            <w:pPr>
              <w:spacing w:after="0" w:line="252" w:lineRule="auto"/>
              <w:ind w:firstLine="0"/>
              <w:jc w:val="center"/>
              <w:rPr>
                <w:b w:val="0"/>
              </w:rPr>
            </w:pPr>
            <w:r>
              <w:rPr>
                <w:rFonts w:ascii="Times New Roman" w:hAnsi="Times New Roman" w:eastAsia="宋体" w:cs="Times New Roman"/>
                <w:b w:val="0"/>
                <w:color w:val="000000"/>
                <w:sz w:val="17"/>
                <w:szCs w:val="17"/>
              </w:rPr>
              <w:t>allocator_limit</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2维</w:t>
            </w:r>
          </w:p>
        </w:tc>
        <w:tc>
          <w:tcPr>
            <w:tcW w:w="5991" w:type="dxa"/>
            <w:tcBorders>
              <w:top w:val="nil"/>
              <w:bottom w:val="nil"/>
            </w:tcBorders>
            <w:shd w:val="clear" w:color="auto" w:fill="FFFFFF"/>
            <w:tcMar>
              <w:top w:w="55" w:type="dxa"/>
              <w:left w:w="70" w:type="dxa"/>
              <w:bottom w:w="55" w:type="dxa"/>
              <w:right w:w="70" w:type="dxa"/>
            </w:tcMar>
            <w:vAlign w:val="center"/>
          </w:tcPr>
          <w:p w14:paraId="4F68B768">
            <w:pPr>
              <w:spacing w:after="0" w:line="252" w:lineRule="auto"/>
              <w:ind w:firstLine="0"/>
              <w:jc w:val="center"/>
              <w:rPr>
                <w:b w:val="0"/>
              </w:rPr>
            </w:pPr>
            <w:r>
              <w:rPr>
                <w:rFonts w:ascii="Times New Roman" w:hAnsi="Times New Roman" w:eastAsia="宋体" w:cs="Times New Roman"/>
                <w:b w:val="0"/>
                <w:color w:val="000000"/>
                <w:sz w:val="17"/>
                <w:szCs w:val="17"/>
              </w:rPr>
              <w:t>四个旋翼平方转速的统一下限和上限；正式场景通常为[0, 3600]</w:t>
            </w:r>
          </w:p>
        </w:tc>
      </w:tr>
      <w:tr w14:paraId="7C27CAC3">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1DCC98CD">
            <w:pPr>
              <w:spacing w:after="0" w:line="252" w:lineRule="auto"/>
              <w:ind w:firstLine="0"/>
              <w:jc w:val="center"/>
              <w:rPr>
                <w:b w:val="0"/>
              </w:rPr>
            </w:pPr>
            <w:r>
              <w:rPr>
                <w:rFonts w:ascii="Times New Roman" w:hAnsi="Times New Roman" w:eastAsia="宋体" w:cs="Times New Roman"/>
                <w:b w:val="0"/>
                <w:color w:val="000000"/>
                <w:sz w:val="17"/>
                <w:szCs w:val="17"/>
              </w:rPr>
              <w:t>RA-GCA-CGHTE</w:t>
            </w:r>
          </w:p>
        </w:tc>
        <w:tc>
          <w:tcPr>
            <w:tcW w:w="528" w:type="dxa"/>
            <w:tcBorders>
              <w:top w:val="nil"/>
              <w:bottom w:val="nil"/>
            </w:tcBorders>
            <w:shd w:val="clear" w:color="auto" w:fill="FFFFFF"/>
            <w:tcMar>
              <w:top w:w="55" w:type="dxa"/>
              <w:left w:w="70" w:type="dxa"/>
              <w:bottom w:w="55" w:type="dxa"/>
              <w:right w:w="70" w:type="dxa"/>
            </w:tcMar>
            <w:vAlign w:val="center"/>
          </w:tcPr>
          <w:p w14:paraId="42B8296A">
            <w:pPr>
              <w:spacing w:after="0" w:line="252" w:lineRule="auto"/>
              <w:ind w:firstLine="0"/>
              <w:jc w:val="center"/>
              <w:rPr>
                <w:b w:val="0"/>
              </w:rPr>
            </w:pPr>
            <w:r>
              <w:rPr>
                <w:rFonts w:ascii="Times New Roman" w:hAnsi="Times New Roman" w:eastAsia="宋体" w:cs="Times New Roman"/>
                <w:b w:val="0"/>
                <w:color w:val="000000"/>
                <w:sz w:val="17"/>
                <w:szCs w:val="17"/>
              </w:rPr>
              <w:t>输出</w:t>
            </w:r>
          </w:p>
        </w:tc>
        <w:tc>
          <w:tcPr>
            <w:tcW w:w="1437" w:type="dxa"/>
            <w:tcBorders>
              <w:top w:val="nil"/>
              <w:bottom w:val="nil"/>
            </w:tcBorders>
            <w:shd w:val="clear" w:color="auto" w:fill="FFFFFF"/>
            <w:tcMar>
              <w:top w:w="55" w:type="dxa"/>
              <w:left w:w="70" w:type="dxa"/>
              <w:bottom w:w="55" w:type="dxa"/>
              <w:right w:w="70" w:type="dxa"/>
            </w:tcMar>
            <w:vAlign w:val="center"/>
          </w:tcPr>
          <w:p w14:paraId="78C9FD47">
            <w:pPr>
              <w:spacing w:after="0" w:line="252" w:lineRule="auto"/>
              <w:ind w:firstLine="0"/>
              <w:jc w:val="center"/>
              <w:rPr>
                <w:b w:val="0"/>
              </w:rPr>
            </w:pPr>
            <w:r>
              <w:rPr>
                <w:rFonts w:ascii="Times New Roman" w:hAnsi="Times New Roman" w:eastAsia="宋体" w:cs="Times New Roman"/>
                <w:b w:val="0"/>
                <w:color w:val="000000"/>
                <w:sz w:val="17"/>
                <w:szCs w:val="17"/>
              </w:rPr>
              <w:t>motor_cmd</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4维</w:t>
            </w:r>
          </w:p>
        </w:tc>
        <w:tc>
          <w:tcPr>
            <w:tcW w:w="5991" w:type="dxa"/>
            <w:tcBorders>
              <w:top w:val="nil"/>
              <w:bottom w:val="nil"/>
            </w:tcBorders>
            <w:shd w:val="clear" w:color="auto" w:fill="FFFFFF"/>
            <w:tcMar>
              <w:top w:w="55" w:type="dxa"/>
              <w:left w:w="70" w:type="dxa"/>
              <w:bottom w:w="55" w:type="dxa"/>
              <w:right w:w="70" w:type="dxa"/>
            </w:tcMar>
            <w:vAlign w:val="center"/>
          </w:tcPr>
          <w:p w14:paraId="0C19601A">
            <w:pPr>
              <w:spacing w:after="0" w:line="252" w:lineRule="auto"/>
              <w:ind w:firstLine="0"/>
              <w:jc w:val="center"/>
              <w:rPr>
                <w:b w:val="0"/>
              </w:rPr>
            </w:pPr>
            <w:r>
              <w:rPr>
                <w:rFonts w:ascii="Times New Roman" w:hAnsi="Times New Roman" w:eastAsia="宋体" w:cs="Times New Roman"/>
                <w:b w:val="0"/>
                <w:color w:val="000000"/>
                <w:sz w:val="17"/>
                <w:szCs w:val="17"/>
              </w:rPr>
              <w:t>第1至第4路电机角速度指令(rad/s)，连接赛题四路执行器</w:t>
            </w:r>
          </w:p>
        </w:tc>
      </w:tr>
      <w:tr w14:paraId="1912F3B3">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2836A0A7">
            <w:pPr>
              <w:spacing w:after="0" w:line="252" w:lineRule="auto"/>
              <w:ind w:firstLine="0"/>
              <w:jc w:val="center"/>
              <w:rPr>
                <w:b w:val="0"/>
              </w:rPr>
            </w:pPr>
            <w:r>
              <w:rPr>
                <w:rFonts w:ascii="Times New Roman" w:hAnsi="Times New Roman" w:eastAsia="宋体" w:cs="Times New Roman"/>
                <w:b w:val="0"/>
                <w:color w:val="000000"/>
                <w:sz w:val="17"/>
                <w:szCs w:val="17"/>
              </w:rPr>
              <w:t>RA-GCA-CGHTE</w:t>
            </w:r>
          </w:p>
        </w:tc>
        <w:tc>
          <w:tcPr>
            <w:tcW w:w="528" w:type="dxa"/>
            <w:tcBorders>
              <w:top w:val="nil"/>
              <w:bottom w:val="nil"/>
            </w:tcBorders>
            <w:shd w:val="clear" w:color="auto" w:fill="FFFFFF"/>
            <w:tcMar>
              <w:top w:w="55" w:type="dxa"/>
              <w:left w:w="70" w:type="dxa"/>
              <w:bottom w:w="55" w:type="dxa"/>
              <w:right w:w="70" w:type="dxa"/>
            </w:tcMar>
            <w:vAlign w:val="center"/>
          </w:tcPr>
          <w:p w14:paraId="7E5DA6D2">
            <w:pPr>
              <w:spacing w:after="0" w:line="252" w:lineRule="auto"/>
              <w:ind w:firstLine="0"/>
              <w:jc w:val="center"/>
              <w:rPr>
                <w:b w:val="0"/>
              </w:rPr>
            </w:pPr>
            <w:r>
              <w:rPr>
                <w:rFonts w:ascii="Times New Roman" w:hAnsi="Times New Roman" w:eastAsia="宋体" w:cs="Times New Roman"/>
                <w:b w:val="0"/>
                <w:color w:val="000000"/>
                <w:sz w:val="17"/>
                <w:szCs w:val="17"/>
              </w:rPr>
              <w:t>输出</w:t>
            </w:r>
          </w:p>
        </w:tc>
        <w:tc>
          <w:tcPr>
            <w:tcW w:w="1437" w:type="dxa"/>
            <w:tcBorders>
              <w:top w:val="nil"/>
              <w:bottom w:val="nil"/>
            </w:tcBorders>
            <w:shd w:val="clear" w:color="auto" w:fill="FFFFFF"/>
            <w:tcMar>
              <w:top w:w="55" w:type="dxa"/>
              <w:left w:w="70" w:type="dxa"/>
              <w:bottom w:w="55" w:type="dxa"/>
              <w:right w:w="70" w:type="dxa"/>
            </w:tcMar>
            <w:vAlign w:val="center"/>
          </w:tcPr>
          <w:p w14:paraId="21A4A60B">
            <w:pPr>
              <w:spacing w:after="0" w:line="252" w:lineRule="auto"/>
              <w:ind w:firstLine="0"/>
              <w:jc w:val="center"/>
              <w:rPr>
                <w:b w:val="0"/>
              </w:rPr>
            </w:pPr>
            <w:r>
              <w:rPr>
                <w:rFonts w:ascii="Times New Roman" w:hAnsi="Times New Roman" w:eastAsia="宋体" w:cs="Times New Roman"/>
                <w:b w:val="0"/>
                <w:color w:val="000000"/>
                <w:sz w:val="17"/>
                <w:szCs w:val="17"/>
              </w:rPr>
              <w:t>diagnostics</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16维</w:t>
            </w:r>
          </w:p>
        </w:tc>
        <w:tc>
          <w:tcPr>
            <w:tcW w:w="5991" w:type="dxa"/>
            <w:tcBorders>
              <w:top w:val="nil"/>
              <w:bottom w:val="nil"/>
            </w:tcBorders>
            <w:shd w:val="clear" w:color="auto" w:fill="FFFFFF"/>
            <w:tcMar>
              <w:top w:w="55" w:type="dxa"/>
              <w:left w:w="70" w:type="dxa"/>
              <w:bottom w:w="55" w:type="dxa"/>
              <w:right w:w="70" w:type="dxa"/>
            </w:tcMar>
            <w:vAlign w:val="center"/>
          </w:tcPr>
          <w:p w14:paraId="225CA8F7">
            <w:pPr>
              <w:spacing w:after="0" w:line="252" w:lineRule="auto"/>
              <w:ind w:firstLine="0"/>
              <w:jc w:val="center"/>
              <w:rPr>
                <w:b w:val="0"/>
              </w:rPr>
            </w:pPr>
            <w:r>
              <w:rPr>
                <w:rFonts w:ascii="Times New Roman" w:hAnsi="Times New Roman" w:eastAsia="宋体" w:cs="Times New Roman"/>
                <w:b w:val="0"/>
                <w:color w:val="000000"/>
                <w:sz w:val="17"/>
                <w:szCs w:val="17"/>
              </w:rPr>
              <w:t>期望力与力矩、分配残差、裁剪数量、控制误差，以及推力尺度估计和分配状态</w:t>
            </w:r>
          </w:p>
        </w:tc>
      </w:tr>
      <w:tr w14:paraId="1C31857F">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536B1D6C">
            <w:pPr>
              <w:spacing w:after="0" w:line="252" w:lineRule="auto"/>
              <w:ind w:firstLine="0"/>
              <w:jc w:val="center"/>
              <w:rPr>
                <w:b w:val="0"/>
              </w:rPr>
            </w:pPr>
            <w:r>
              <w:rPr>
                <w:rFonts w:ascii="Times New Roman" w:hAnsi="Times New Roman" w:eastAsia="宋体" w:cs="Times New Roman"/>
                <w:b w:val="0"/>
                <w:color w:val="000000"/>
                <w:sz w:val="17"/>
                <w:szCs w:val="17"/>
              </w:rPr>
              <w:t>PP-CBF</w:t>
            </w:r>
          </w:p>
        </w:tc>
        <w:tc>
          <w:tcPr>
            <w:tcW w:w="528" w:type="dxa"/>
            <w:tcBorders>
              <w:top w:val="nil"/>
              <w:bottom w:val="nil"/>
            </w:tcBorders>
            <w:shd w:val="clear" w:color="auto" w:fill="FFFFFF"/>
            <w:tcMar>
              <w:top w:w="55" w:type="dxa"/>
              <w:left w:w="70" w:type="dxa"/>
              <w:bottom w:w="55" w:type="dxa"/>
              <w:right w:w="70" w:type="dxa"/>
            </w:tcMar>
            <w:vAlign w:val="center"/>
          </w:tcPr>
          <w:p w14:paraId="1D2EA8DD">
            <w:pPr>
              <w:spacing w:after="0" w:line="252" w:lineRule="auto"/>
              <w:ind w:firstLine="0"/>
              <w:jc w:val="center"/>
              <w:rPr>
                <w:b w:val="0"/>
              </w:rPr>
            </w:pPr>
            <w:r>
              <w:rPr>
                <w:rFonts w:ascii="Times New Roman" w:hAnsi="Times New Roman" w:eastAsia="宋体" w:cs="Times New Roman"/>
                <w:b w:val="0"/>
                <w:color w:val="000000"/>
                <w:sz w:val="17"/>
                <w:szCs w:val="17"/>
              </w:rPr>
              <w:t>输入</w:t>
            </w:r>
          </w:p>
        </w:tc>
        <w:tc>
          <w:tcPr>
            <w:tcW w:w="1437" w:type="dxa"/>
            <w:tcBorders>
              <w:top w:val="nil"/>
              <w:bottom w:val="nil"/>
            </w:tcBorders>
            <w:shd w:val="clear" w:color="auto" w:fill="FFFFFF"/>
            <w:tcMar>
              <w:top w:w="55" w:type="dxa"/>
              <w:left w:w="70" w:type="dxa"/>
              <w:bottom w:w="55" w:type="dxa"/>
              <w:right w:w="70" w:type="dxa"/>
            </w:tcMar>
            <w:vAlign w:val="center"/>
          </w:tcPr>
          <w:p w14:paraId="253C0DA8">
            <w:pPr>
              <w:spacing w:after="0" w:line="252" w:lineRule="auto"/>
              <w:ind w:firstLine="0"/>
              <w:jc w:val="center"/>
              <w:rPr>
                <w:b w:val="0"/>
              </w:rPr>
            </w:pPr>
            <w:r>
              <w:rPr>
                <w:rFonts w:ascii="Times New Roman" w:hAnsi="Times New Roman" w:eastAsia="宋体" w:cs="Times New Roman"/>
                <w:b w:val="0"/>
                <w:color w:val="000000"/>
                <w:sz w:val="17"/>
                <w:szCs w:val="17"/>
              </w:rPr>
              <w:t>leader_reference /</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vehicle_state /</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formation_offset</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9/18/9维</w:t>
            </w:r>
          </w:p>
        </w:tc>
        <w:tc>
          <w:tcPr>
            <w:tcW w:w="5991" w:type="dxa"/>
            <w:tcBorders>
              <w:top w:val="nil"/>
              <w:bottom w:val="nil"/>
            </w:tcBorders>
            <w:shd w:val="clear" w:color="auto" w:fill="FFFFFF"/>
            <w:tcMar>
              <w:top w:w="55" w:type="dxa"/>
              <w:left w:w="70" w:type="dxa"/>
              <w:bottom w:w="55" w:type="dxa"/>
              <w:right w:w="70" w:type="dxa"/>
            </w:tcMar>
            <w:vAlign w:val="center"/>
          </w:tcPr>
          <w:p w14:paraId="536FE8D0">
            <w:pPr>
              <w:spacing w:after="0" w:line="252" w:lineRule="auto"/>
              <w:ind w:firstLine="0"/>
              <w:jc w:val="center"/>
              <w:rPr>
                <w:b w:val="0"/>
              </w:rPr>
            </w:pPr>
            <w:r>
              <w:rPr>
                <w:rFonts w:ascii="Times New Roman" w:hAnsi="Times New Roman" w:eastAsia="宋体" w:cs="Times New Roman"/>
                <w:b w:val="0"/>
                <w:color w:val="000000"/>
                <w:sz w:val="17"/>
                <w:szCs w:val="17"/>
              </w:rPr>
              <w:t>领导机位置-速度-加速度；三机位置与速度；三机相对领导机的三维编队偏置</w:t>
            </w:r>
          </w:p>
        </w:tc>
      </w:tr>
      <w:tr w14:paraId="56021A5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nil"/>
            </w:tcBorders>
            <w:shd w:val="clear" w:color="auto" w:fill="FFFFFF"/>
            <w:tcMar>
              <w:top w:w="55" w:type="dxa"/>
              <w:left w:w="70" w:type="dxa"/>
              <w:bottom w:w="55" w:type="dxa"/>
              <w:right w:w="70" w:type="dxa"/>
            </w:tcMar>
            <w:vAlign w:val="center"/>
          </w:tcPr>
          <w:p w14:paraId="0BB45545">
            <w:pPr>
              <w:spacing w:after="0" w:line="252" w:lineRule="auto"/>
              <w:ind w:firstLine="0"/>
              <w:jc w:val="center"/>
              <w:rPr>
                <w:b w:val="0"/>
              </w:rPr>
            </w:pPr>
            <w:r>
              <w:rPr>
                <w:rFonts w:ascii="Times New Roman" w:hAnsi="Times New Roman" w:eastAsia="宋体" w:cs="Times New Roman"/>
                <w:b w:val="0"/>
                <w:color w:val="000000"/>
                <w:sz w:val="17"/>
                <w:szCs w:val="17"/>
              </w:rPr>
              <w:t>PP-CBF</w:t>
            </w:r>
          </w:p>
        </w:tc>
        <w:tc>
          <w:tcPr>
            <w:tcW w:w="528" w:type="dxa"/>
            <w:tcBorders>
              <w:top w:val="nil"/>
              <w:bottom w:val="nil"/>
            </w:tcBorders>
            <w:shd w:val="clear" w:color="auto" w:fill="FFFFFF"/>
            <w:tcMar>
              <w:top w:w="55" w:type="dxa"/>
              <w:left w:w="70" w:type="dxa"/>
              <w:bottom w:w="55" w:type="dxa"/>
              <w:right w:w="70" w:type="dxa"/>
            </w:tcMar>
            <w:vAlign w:val="center"/>
          </w:tcPr>
          <w:p w14:paraId="16044BFA">
            <w:pPr>
              <w:spacing w:after="0" w:line="252" w:lineRule="auto"/>
              <w:ind w:firstLine="0"/>
              <w:jc w:val="center"/>
              <w:rPr>
                <w:b w:val="0"/>
              </w:rPr>
            </w:pPr>
            <w:r>
              <w:rPr>
                <w:rFonts w:ascii="Times New Roman" w:hAnsi="Times New Roman" w:eastAsia="宋体" w:cs="Times New Roman"/>
                <w:b w:val="0"/>
                <w:color w:val="000000"/>
                <w:sz w:val="17"/>
                <w:szCs w:val="17"/>
              </w:rPr>
              <w:t>输出</w:t>
            </w:r>
          </w:p>
        </w:tc>
        <w:tc>
          <w:tcPr>
            <w:tcW w:w="1437" w:type="dxa"/>
            <w:tcBorders>
              <w:top w:val="nil"/>
              <w:bottom w:val="nil"/>
            </w:tcBorders>
            <w:shd w:val="clear" w:color="auto" w:fill="FFFFFF"/>
            <w:tcMar>
              <w:top w:w="55" w:type="dxa"/>
              <w:left w:w="70" w:type="dxa"/>
              <w:bottom w:w="55" w:type="dxa"/>
              <w:right w:w="70" w:type="dxa"/>
            </w:tcMar>
            <w:vAlign w:val="center"/>
          </w:tcPr>
          <w:p w14:paraId="6E1941E5">
            <w:pPr>
              <w:spacing w:after="0" w:line="252" w:lineRule="auto"/>
              <w:ind w:firstLine="0"/>
              <w:jc w:val="center"/>
              <w:rPr>
                <w:b w:val="0"/>
              </w:rPr>
            </w:pPr>
            <w:r>
              <w:rPr>
                <w:rFonts w:ascii="Times New Roman" w:hAnsi="Times New Roman" w:eastAsia="宋体" w:cs="Times New Roman"/>
                <w:b w:val="0"/>
                <w:color w:val="000000"/>
                <w:sz w:val="17"/>
                <w:szCs w:val="17"/>
              </w:rPr>
              <w:t>formation_reference</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27维</w:t>
            </w:r>
          </w:p>
        </w:tc>
        <w:tc>
          <w:tcPr>
            <w:tcW w:w="5991" w:type="dxa"/>
            <w:tcBorders>
              <w:top w:val="nil"/>
              <w:bottom w:val="nil"/>
            </w:tcBorders>
            <w:shd w:val="clear" w:color="auto" w:fill="FFFFFF"/>
            <w:tcMar>
              <w:top w:w="55" w:type="dxa"/>
              <w:left w:w="70" w:type="dxa"/>
              <w:bottom w:w="55" w:type="dxa"/>
              <w:right w:w="70" w:type="dxa"/>
            </w:tcMar>
            <w:vAlign w:val="center"/>
          </w:tcPr>
          <w:p w14:paraId="6602DDE1">
            <w:pPr>
              <w:spacing w:after="0" w:line="252" w:lineRule="auto"/>
              <w:ind w:firstLine="0"/>
              <w:jc w:val="center"/>
              <w:rPr>
                <w:b w:val="0"/>
              </w:rPr>
            </w:pPr>
            <w:r>
              <w:rPr>
                <w:rFonts w:ascii="Times New Roman" w:hAnsi="Times New Roman" w:eastAsia="宋体" w:cs="Times New Roman"/>
                <w:b w:val="0"/>
                <w:color w:val="000000"/>
                <w:sz w:val="17"/>
                <w:szCs w:val="17"/>
              </w:rPr>
              <w:t>三架无人机各9维安全参考，每机依次为位置、速度和加速度</w:t>
            </w:r>
          </w:p>
        </w:tc>
      </w:tr>
      <w:tr w14:paraId="37191587">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1221" w:type="dxa"/>
            <w:tcBorders>
              <w:top w:val="nil"/>
              <w:bottom w:val="single" w:color="000000" w:sz="12" w:space="0"/>
            </w:tcBorders>
            <w:shd w:val="clear" w:color="auto" w:fill="FFFFFF"/>
            <w:tcMar>
              <w:top w:w="55" w:type="dxa"/>
              <w:left w:w="70" w:type="dxa"/>
              <w:bottom w:w="55" w:type="dxa"/>
              <w:right w:w="70" w:type="dxa"/>
            </w:tcMar>
            <w:vAlign w:val="center"/>
          </w:tcPr>
          <w:p w14:paraId="32C2B13C">
            <w:pPr>
              <w:spacing w:after="0" w:line="252" w:lineRule="auto"/>
              <w:ind w:firstLine="0"/>
              <w:jc w:val="center"/>
              <w:rPr>
                <w:b w:val="0"/>
              </w:rPr>
            </w:pPr>
            <w:r>
              <w:rPr>
                <w:rFonts w:ascii="Times New Roman" w:hAnsi="Times New Roman" w:eastAsia="宋体" w:cs="Times New Roman"/>
                <w:b w:val="0"/>
                <w:color w:val="000000"/>
                <w:sz w:val="17"/>
                <w:szCs w:val="17"/>
              </w:rPr>
              <w:t>PP-CBF</w:t>
            </w:r>
          </w:p>
        </w:tc>
        <w:tc>
          <w:tcPr>
            <w:tcW w:w="528" w:type="dxa"/>
            <w:tcBorders>
              <w:top w:val="nil"/>
              <w:bottom w:val="single" w:color="000000" w:sz="12" w:space="0"/>
            </w:tcBorders>
            <w:shd w:val="clear" w:color="auto" w:fill="FFFFFF"/>
            <w:tcMar>
              <w:top w:w="55" w:type="dxa"/>
              <w:left w:w="70" w:type="dxa"/>
              <w:bottom w:w="55" w:type="dxa"/>
              <w:right w:w="70" w:type="dxa"/>
            </w:tcMar>
            <w:vAlign w:val="center"/>
          </w:tcPr>
          <w:p w14:paraId="5B9F1172">
            <w:pPr>
              <w:spacing w:after="0" w:line="252" w:lineRule="auto"/>
              <w:ind w:firstLine="0"/>
              <w:jc w:val="center"/>
              <w:rPr>
                <w:b w:val="0"/>
              </w:rPr>
            </w:pPr>
            <w:r>
              <w:rPr>
                <w:rFonts w:ascii="Times New Roman" w:hAnsi="Times New Roman" w:eastAsia="宋体" w:cs="Times New Roman"/>
                <w:b w:val="0"/>
                <w:color w:val="000000"/>
                <w:sz w:val="17"/>
                <w:szCs w:val="17"/>
              </w:rPr>
              <w:t>输出</w:t>
            </w:r>
          </w:p>
        </w:tc>
        <w:tc>
          <w:tcPr>
            <w:tcW w:w="1437" w:type="dxa"/>
            <w:tcBorders>
              <w:top w:val="nil"/>
              <w:bottom w:val="single" w:color="000000" w:sz="12" w:space="0"/>
            </w:tcBorders>
            <w:shd w:val="clear" w:color="auto" w:fill="FFFFFF"/>
            <w:tcMar>
              <w:top w:w="55" w:type="dxa"/>
              <w:left w:w="70" w:type="dxa"/>
              <w:bottom w:w="55" w:type="dxa"/>
              <w:right w:w="70" w:type="dxa"/>
            </w:tcMar>
            <w:vAlign w:val="center"/>
          </w:tcPr>
          <w:p w14:paraId="3EC1A3C5">
            <w:pPr>
              <w:spacing w:after="0" w:line="252" w:lineRule="auto"/>
              <w:ind w:firstLine="0"/>
              <w:jc w:val="center"/>
              <w:rPr>
                <w:b w:val="0"/>
              </w:rPr>
            </w:pPr>
            <w:r>
              <w:rPr>
                <w:rFonts w:ascii="Times New Roman" w:hAnsi="Times New Roman" w:eastAsia="宋体" w:cs="Times New Roman"/>
                <w:b w:val="0"/>
                <w:color w:val="000000"/>
                <w:sz w:val="17"/>
                <w:szCs w:val="17"/>
              </w:rPr>
              <w:t>diagnostics</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8维</w:t>
            </w:r>
          </w:p>
        </w:tc>
        <w:tc>
          <w:tcPr>
            <w:tcW w:w="5991" w:type="dxa"/>
            <w:tcBorders>
              <w:top w:val="nil"/>
              <w:bottom w:val="single" w:color="000000" w:sz="12" w:space="0"/>
            </w:tcBorders>
            <w:shd w:val="clear" w:color="auto" w:fill="FFFFFF"/>
            <w:tcMar>
              <w:top w:w="55" w:type="dxa"/>
              <w:left w:w="70" w:type="dxa"/>
              <w:bottom w:w="55" w:type="dxa"/>
              <w:right w:w="70" w:type="dxa"/>
            </w:tcMar>
            <w:vAlign w:val="center"/>
          </w:tcPr>
          <w:p w14:paraId="7C74670B">
            <w:pPr>
              <w:spacing w:after="0" w:line="252" w:lineRule="auto"/>
              <w:ind w:firstLine="0"/>
              <w:jc w:val="center"/>
              <w:rPr>
                <w:b w:val="0"/>
              </w:rPr>
            </w:pPr>
            <w:r>
              <w:rPr>
                <w:rFonts w:ascii="Times New Roman" w:hAnsi="Times New Roman" w:eastAsia="宋体" w:cs="Times New Roman"/>
                <w:b w:val="0"/>
                <w:color w:val="000000"/>
                <w:sz w:val="17"/>
                <w:szCs w:val="17"/>
              </w:rPr>
              <w:t>最小距离、最小安全残差、最大队形误差、激活投影数、最大修正、不可行标志、预留量和最大参考速度</w:t>
            </w:r>
          </w:p>
        </w:tc>
      </w:tr>
    </w:tbl>
    <w:p w14:paraId="70FA0CAF">
      <w:pPr>
        <w:widowControl/>
        <w:spacing w:after="0" w:line="240" w:lineRule="auto"/>
      </w:pPr>
    </w:p>
    <w:tbl>
      <w:tblPr>
        <w:tblStyle w:val="32"/>
        <w:tblW w:w="0" w:type="auto"/>
        <w:jc w:val="center"/>
        <w:tblLayout w:type="fixed"/>
        <w:tblCellMar>
          <w:top w:w="0" w:type="dxa"/>
          <w:left w:w="108" w:type="dxa"/>
          <w:bottom w:w="0" w:type="dxa"/>
          <w:right w:w="108" w:type="dxa"/>
        </w:tblCellMar>
      </w:tblPr>
      <w:tblGrid>
        <w:gridCol w:w="9128"/>
      </w:tblGrid>
      <w:tr w14:paraId="0A13215C">
        <w:tblPrEx>
          <w:tblCellMar>
            <w:top w:w="0" w:type="dxa"/>
            <w:left w:w="108" w:type="dxa"/>
            <w:bottom w:w="0" w:type="dxa"/>
            <w:right w:w="108" w:type="dxa"/>
          </w:tblCellMar>
        </w:tblPrEx>
        <w:trPr>
          <w:cantSplit/>
          <w:jc w:val="center"/>
        </w:trPr>
        <w:tc>
          <w:tcPr>
            <w:tcW w:w="8957" w:type="dxa"/>
            <w:shd w:val="clear" w:color="auto" w:fill="F8EEE9"/>
            <w:tcMar>
              <w:top w:w="55" w:type="dxa"/>
              <w:left w:w="70" w:type="dxa"/>
              <w:bottom w:w="55" w:type="dxa"/>
              <w:right w:w="70" w:type="dxa"/>
            </w:tcMar>
            <w:vAlign w:val="center"/>
          </w:tcPr>
          <w:p w14:paraId="5DA9AD28">
            <w:pPr>
              <w:spacing w:after="0" w:line="288" w:lineRule="auto"/>
              <w:ind w:firstLine="0"/>
              <w:rPr>
                <w:highlight w:val="none"/>
              </w:rPr>
            </w:pPr>
            <w:r>
              <w:rPr>
                <w:rFonts w:ascii="Times New Roman" w:hAnsi="Times New Roman" w:eastAsia="宋体" w:cs="Times New Roman"/>
                <w:b/>
                <w:color w:val="000000"/>
                <w:sz w:val="21"/>
                <w:szCs w:val="21"/>
                <w:highlight w:val="none"/>
              </w:rPr>
              <w:t>偏航字段：</w:t>
            </w:r>
            <w:r>
              <w:rPr>
                <w:rFonts w:ascii="Times New Roman" w:hAnsi="Times New Roman" w:eastAsia="宋体" w:cs="Times New Roman"/>
                <w:color w:val="000000"/>
                <w:sz w:val="21"/>
                <w:szCs w:val="21"/>
                <w:highlight w:val="none"/>
              </w:rPr>
              <w:t>11维参考保留期望偏航角和偏航角速度两个标准字段，当前正式场景将其置零。RA-GCA-CGHTE按约化姿态口径工作，不提供独立持续偏航跟踪。</w:t>
            </w:r>
          </w:p>
        </w:tc>
      </w:tr>
    </w:tbl>
    <w:p w14:paraId="5D7A0A8A">
      <w:pPr>
        <w:keepNext/>
        <w:widowControl/>
        <w:spacing w:before="40" w:after="20"/>
        <w:ind w:firstLine="0"/>
        <w:jc w:val="center"/>
      </w:pPr>
      <w:r>
        <w:rPr>
          <w:rFonts w:ascii="Times New Roman" w:hAnsi="Times New Roman" w:eastAsia="宋体" w:cs="Times New Roman"/>
          <w:color w:val="000000"/>
          <w:sz w:val="21"/>
          <w:szCs w:val="21"/>
        </w:rPr>
        <w:drawing>
          <wp:inline distT="0" distB="0" distL="114300" distR="114300">
            <wp:extent cx="5723890" cy="1717040"/>
            <wp:effectExtent l="0" t="0" r="10160" b="16510"/>
            <wp:docPr id="17" name="Figure 17" descr="图5-2  PP-CBF与三套RA-GCA-CGHTE的分层接口" title="图5-2  PP-CBF与三套RA-GCA-CGHTE的分层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descr="图5-2  PP-CBF与三套RA-GCA-CGHTE的分层接口" title="图5-2  PP-CBF与三套RA-GCA-CGHTE的分层接口"/>
                    <pic:cNvPicPr>
                      <a:picLocks noChangeAspect="1"/>
                    </pic:cNvPicPr>
                  </pic:nvPicPr>
                  <pic:blipFill>
                    <a:blip r:embed="rId28"/>
                    <a:stretch>
                      <a:fillRect/>
                    </a:stretch>
                  </pic:blipFill>
                  <pic:spPr>
                    <a:xfrm>
                      <a:off x="0" y="0"/>
                      <a:ext cx="5724000" cy="1717200"/>
                    </a:xfrm>
                    <a:prstGeom prst="rect">
                      <a:avLst/>
                    </a:prstGeom>
                  </pic:spPr>
                </pic:pic>
              </a:graphicData>
            </a:graphic>
          </wp:inline>
        </w:drawing>
      </w:r>
    </w:p>
    <w:p w14:paraId="7A97A107">
      <w:pPr>
        <w:pStyle w:val="15"/>
        <w:keepLines/>
        <w:widowControl/>
        <w:ind w:firstLine="0"/>
        <w:jc w:val="center"/>
      </w:pPr>
      <w:r>
        <w:rPr>
          <w:rFonts w:ascii="Times New Roman" w:hAnsi="Times New Roman" w:eastAsia="宋体" w:cs="Times New Roman"/>
          <w:color w:val="000000"/>
          <w:sz w:val="19"/>
          <w:szCs w:val="19"/>
        </w:rPr>
        <w:t>图5-2  PP-CBF与三套RA-GCA-CGHTE的分层接口</w:t>
      </w:r>
    </w:p>
    <w:p w14:paraId="491AAE0B">
      <w:pPr>
        <w:widowControl/>
        <w:spacing w:after="60" w:line="324" w:lineRule="auto"/>
        <w:ind w:firstLine="420"/>
      </w:pPr>
      <w:r>
        <w:rPr>
          <w:rFonts w:ascii="Times New Roman" w:hAnsi="Times New Roman" w:eastAsia="宋体" w:cs="Times New Roman"/>
          <w:color w:val="000000"/>
          <w:sz w:val="21"/>
          <w:szCs w:val="21"/>
        </w:rPr>
        <w:t>图5-2表明，PP-CBF只修正三机位置、速度和加速度参考；三套RA-GCA-CGHTE继续分别完成低层跟踪并输出电机指令。安全监督诊断单独进入结果查看模块。</w:t>
      </w:r>
    </w:p>
    <w:p w14:paraId="6AA331AD">
      <w:pPr>
        <w:keepNext/>
        <w:widowControl/>
        <w:spacing w:before="0" w:after="50" w:line="324" w:lineRule="auto"/>
        <w:ind w:firstLine="420"/>
      </w:pPr>
      <w:r>
        <w:rPr>
          <w:rFonts w:ascii="Times New Roman" w:hAnsi="Times New Roman" w:eastAsia="宋体" w:cs="Times New Roman"/>
          <w:color w:val="000000"/>
          <w:sz w:val="21"/>
          <w:szCs w:val="21"/>
        </w:rPr>
        <w:t>需要核对自定义任务连接时，可在Sysplorer中打开主控制器并查看外部端口，位置见图5-3。</w:t>
      </w:r>
    </w:p>
    <w:p w14:paraId="7D31DB87">
      <w:pPr>
        <w:keepNext/>
        <w:widowControl/>
        <w:spacing w:before="60" w:after="40"/>
        <w:ind w:firstLine="0"/>
        <w:jc w:val="center"/>
      </w:pPr>
      <w:r>
        <w:rPr>
          <w:rFonts w:ascii="Times New Roman" w:hAnsi="Times New Roman" w:eastAsia="宋体" w:cs="Times New Roman"/>
          <w:color w:val="000000"/>
          <w:sz w:val="21"/>
          <w:szCs w:val="21"/>
        </w:rPr>
        <w:drawing>
          <wp:inline distT="0" distB="0" distL="114300" distR="114300">
            <wp:extent cx="5687695" cy="3794760"/>
            <wp:effectExtent l="0" t="0" r="8255" b="15240"/>
            <wp:docPr id="18" name="Figure 18" descr="图5-3  RA-GCA-CGHTE模块及其输入输出端口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8" descr="图5-3  RA-GCA-CGHTE模块及其输入输出端口位置"/>
                    <pic:cNvPicPr>
                      <a:picLocks noChangeAspect="1"/>
                    </pic:cNvPicPr>
                  </pic:nvPicPr>
                  <pic:blipFill>
                    <a:blip r:embed="rId29"/>
                    <a:stretch>
                      <a:fillRect/>
                    </a:stretch>
                  </pic:blipFill>
                  <pic:spPr>
                    <a:xfrm>
                      <a:off x="0" y="0"/>
                      <a:ext cx="5688000" cy="3794962"/>
                    </a:xfrm>
                    <a:prstGeom prst="rect">
                      <a:avLst/>
                    </a:prstGeom>
                  </pic:spPr>
                </pic:pic>
              </a:graphicData>
            </a:graphic>
          </wp:inline>
        </w:drawing>
      </w:r>
    </w:p>
    <w:p w14:paraId="2DB45B99">
      <w:pPr>
        <w:pStyle w:val="15"/>
        <w:keepNext/>
        <w:keepLines/>
        <w:widowControl/>
        <w:spacing w:before="20" w:after="60"/>
        <w:ind w:firstLine="0"/>
        <w:jc w:val="center"/>
      </w:pPr>
      <w:r>
        <w:rPr>
          <w:rFonts w:ascii="Times New Roman" w:hAnsi="Times New Roman" w:eastAsia="宋体" w:cs="Times New Roman"/>
          <w:color w:val="000000"/>
          <w:sz w:val="19"/>
          <w:szCs w:val="19"/>
        </w:rPr>
        <w:t>图5-3  RA-GCA-CGHTE模块及其输入输出端口位置</w:t>
      </w:r>
    </w:p>
    <w:p w14:paraId="28CD1F60">
      <w:pPr>
        <w:widowControl/>
        <w:spacing w:before="0" w:after="50" w:line="324" w:lineRule="auto"/>
        <w:ind w:firstLine="420"/>
      </w:pPr>
      <w:r>
        <w:rPr>
          <w:rFonts w:ascii="Times New Roman" w:hAnsi="Times New Roman" w:eastAsia="宋体" w:cs="Times New Roman"/>
          <w:color w:val="000000"/>
          <w:sz w:val="21"/>
          <w:szCs w:val="21"/>
        </w:rPr>
        <w:t>图中标记1为RA-GCA-CGHTE控制器模型，标记2对应输入端reference、state和allocator_limit，标记3对应输出端motor_cmd和diagnostics。各端口的维数、分量顺序和单位以表5-2为准。按本手册复现常规场景时，无需修改控制器内部参数。</w:t>
      </w:r>
    </w:p>
    <w:p w14:paraId="5A0113AA">
      <w:pPr>
        <w:keepNext/>
        <w:widowControl/>
        <w:spacing w:before="40" w:after="60"/>
      </w:pPr>
      <w:r>
        <w:rPr>
          <w:rFonts w:ascii="Times New Roman" w:hAnsi="Times New Roman" w:eastAsia="宋体" w:cs="Times New Roman"/>
          <w:b/>
          <w:color w:val="000000"/>
          <w:sz w:val="21"/>
          <w:szCs w:val="21"/>
        </w:rPr>
        <w:t>模型加载顺序</w:t>
      </w:r>
    </w:p>
    <w:p w14:paraId="6253357F">
      <w:pPr>
        <w:widowControl/>
        <w:spacing w:after="40"/>
        <w:ind w:left="442" w:hanging="329"/>
        <w:jc w:val="left"/>
      </w:pPr>
      <w:r>
        <w:rPr>
          <w:rFonts w:ascii="Times New Roman" w:hAnsi="Times New Roman" w:eastAsia="宋体" w:cs="Times New Roman"/>
          <w:b/>
          <w:color w:val="000000"/>
          <w:sz w:val="21"/>
          <w:szCs w:val="21"/>
        </w:rPr>
        <w:t xml:space="preserve">1. </w:t>
      </w:r>
      <w:r>
        <w:rPr>
          <w:rFonts w:ascii="Times New Roman" w:hAnsi="Times New Roman" w:eastAsia="宋体" w:cs="Times New Roman"/>
          <w:color w:val="000000"/>
          <w:sz w:val="21"/>
          <w:szCs w:val="21"/>
        </w:rPr>
        <w:t>加载赛题官方四旋翼模型：01_models/official/QuadrotorModel/package.mo。</w:t>
      </w:r>
    </w:p>
    <w:p w14:paraId="4496251A">
      <w:pPr>
        <w:widowControl/>
        <w:spacing w:after="40"/>
        <w:ind w:left="442" w:hanging="329"/>
        <w:jc w:val="left"/>
      </w:pPr>
      <w:r>
        <w:rPr>
          <w:rFonts w:ascii="Times New Roman" w:hAnsi="Times New Roman" w:eastAsia="宋体" w:cs="Times New Roman"/>
          <w:b/>
          <w:color w:val="000000"/>
          <w:sz w:val="21"/>
          <w:szCs w:val="21"/>
        </w:rPr>
        <w:t xml:space="preserve">2. </w:t>
      </w:r>
      <w:r>
        <w:rPr>
          <w:rFonts w:ascii="Times New Roman" w:hAnsi="Times New Roman" w:eastAsia="宋体" w:cs="Times New Roman"/>
          <w:color w:val="000000"/>
          <w:sz w:val="21"/>
          <w:szCs w:val="21"/>
        </w:rPr>
        <w:t>加载控制器和编队所需依赖：01_models/dependencies。</w:t>
      </w:r>
    </w:p>
    <w:p w14:paraId="468EDC7D">
      <w:pPr>
        <w:widowControl/>
        <w:spacing w:after="40"/>
        <w:ind w:left="442" w:hanging="329"/>
        <w:jc w:val="left"/>
      </w:pPr>
      <w:r>
        <w:rPr>
          <w:rFonts w:ascii="Times New Roman" w:hAnsi="Times New Roman" w:eastAsia="宋体" w:cs="Times New Roman"/>
          <w:b/>
          <w:color w:val="000000"/>
          <w:sz w:val="21"/>
          <w:szCs w:val="21"/>
        </w:rPr>
        <w:t xml:space="preserve">3. </w:t>
      </w:r>
      <w:r>
        <w:rPr>
          <w:rFonts w:ascii="Times New Roman" w:hAnsi="Times New Roman" w:eastAsia="宋体" w:cs="Times New Roman"/>
          <w:color w:val="000000"/>
          <w:sz w:val="21"/>
          <w:szCs w:val="21"/>
        </w:rPr>
        <w:t>加载正式主控制器及PP-CBF组件：01_models/sysblock。</w:t>
      </w:r>
    </w:p>
    <w:p w14:paraId="6A09283C">
      <w:pPr>
        <w:widowControl/>
        <w:spacing w:after="40"/>
        <w:ind w:left="442" w:hanging="329"/>
        <w:jc w:val="left"/>
      </w:pPr>
      <w:r>
        <w:rPr>
          <w:rFonts w:ascii="Times New Roman" w:hAnsi="Times New Roman" w:eastAsia="宋体" w:cs="Times New Roman"/>
          <w:b/>
          <w:color w:val="000000"/>
          <w:sz w:val="21"/>
          <w:szCs w:val="21"/>
        </w:rPr>
        <w:t xml:space="preserve">4. </w:t>
      </w:r>
      <w:r>
        <w:rPr>
          <w:rFonts w:ascii="Times New Roman" w:hAnsi="Times New Roman" w:eastAsia="宋体" w:cs="Times New Roman"/>
          <w:color w:val="000000"/>
          <w:sz w:val="21"/>
          <w:szCs w:val="21"/>
        </w:rPr>
        <w:t>加载所选任务的场景包装：01_models/modelica；随后由02_scripts/sysplorer/run_main_controller.py执行选定场景。</w:t>
      </w:r>
    </w:p>
    <w:p w14:paraId="4DBE49A1">
      <w:pPr>
        <w:widowControl/>
        <w:spacing w:after="50" w:line="324" w:lineRule="auto"/>
        <w:ind w:firstLine="420"/>
      </w:pPr>
      <w:r>
        <w:rPr>
          <w:rFonts w:ascii="Times New Roman" w:hAnsi="Times New Roman" w:eastAsia="宋体" w:cs="Times New Roman"/>
          <w:color w:val="000000"/>
          <w:sz w:val="21"/>
          <w:szCs w:val="21"/>
        </w:rPr>
        <w:t>辅助对照模型位于01_models/comparators，不参与默认主算法加载。场景运行统一使用02_scripts/sysplorer/run_main_controller.py；其他绘图脚本只用于复核已有图件。</w:t>
      </w:r>
    </w:p>
    <w:tbl>
      <w:tblPr>
        <w:tblStyle w:val="32"/>
        <w:tblW w:w="0" w:type="auto"/>
        <w:jc w:val="center"/>
        <w:tblLayout w:type="fixed"/>
        <w:tblCellMar>
          <w:top w:w="0" w:type="dxa"/>
          <w:left w:w="108" w:type="dxa"/>
          <w:bottom w:w="0" w:type="dxa"/>
          <w:right w:w="108" w:type="dxa"/>
        </w:tblCellMar>
      </w:tblPr>
      <w:tblGrid>
        <w:gridCol w:w="9128"/>
      </w:tblGrid>
      <w:tr w14:paraId="23D44780">
        <w:tblPrEx>
          <w:tblCellMar>
            <w:top w:w="0" w:type="dxa"/>
            <w:left w:w="108" w:type="dxa"/>
            <w:bottom w:w="0" w:type="dxa"/>
            <w:right w:w="108" w:type="dxa"/>
          </w:tblCellMar>
        </w:tblPrEx>
        <w:trPr>
          <w:cantSplit/>
          <w:jc w:val="center"/>
        </w:trPr>
        <w:tc>
          <w:tcPr>
            <w:tcW w:w="8957" w:type="dxa"/>
            <w:shd w:val="clear" w:color="auto" w:fill="EEF4F8"/>
            <w:tcMar>
              <w:top w:w="55" w:type="dxa"/>
              <w:left w:w="70" w:type="dxa"/>
              <w:bottom w:w="55" w:type="dxa"/>
              <w:right w:w="70" w:type="dxa"/>
            </w:tcMar>
            <w:vAlign w:val="center"/>
          </w:tcPr>
          <w:p w14:paraId="6871E3AA">
            <w:pPr>
              <w:spacing w:after="0" w:line="288" w:lineRule="auto"/>
              <w:ind w:firstLine="0"/>
            </w:pPr>
            <w:r>
              <w:rPr>
                <w:rFonts w:ascii="Times New Roman" w:hAnsi="Times New Roman" w:eastAsia="宋体" w:cs="Times New Roman"/>
                <w:b/>
                <w:color w:val="000000"/>
                <w:sz w:val="21"/>
                <w:szCs w:val="21"/>
              </w:rPr>
              <w:t>接口检查：</w:t>
            </w:r>
            <w:r>
              <w:rPr>
                <w:rFonts w:ascii="Times New Roman" w:hAnsi="Times New Roman" w:eastAsia="宋体" w:cs="Times New Roman"/>
                <w:color w:val="000000"/>
                <w:sz w:val="21"/>
                <w:szCs w:val="21"/>
              </w:rPr>
              <w:t>连接自定义任务时，应同时核对向量维数、分量顺序、单位和0.01 s采样周期。PP-CBF输出应连接三套低层控制器的参考端口，不能直接连接电机执行器。</w:t>
            </w:r>
          </w:p>
        </w:tc>
      </w:tr>
    </w:tbl>
    <w:p w14:paraId="37BCA1EF">
      <w:pPr>
        <w:pStyle w:val="3"/>
        <w:keepNext/>
        <w:pageBreakBefore/>
        <w:widowControl/>
      </w:pPr>
      <w:bookmarkStart w:id="17" w:name="_Toc235146499"/>
      <w:r>
        <w:rPr>
          <w:rFonts w:ascii="Times New Roman" w:hAnsi="Times New Roman" w:eastAsia="黑体" w:cs="Times New Roman"/>
          <w:color w:val="000000"/>
          <w:sz w:val="32"/>
          <w:szCs w:val="32"/>
        </w:rPr>
        <w:t>第6章  故障排查与适用边界</w:t>
      </w:r>
      <w:bookmarkEnd w:id="17"/>
    </w:p>
    <w:p w14:paraId="18732EA2">
      <w:pPr>
        <w:widowControl/>
      </w:pPr>
      <w:r>
        <w:rPr>
          <w:rFonts w:ascii="Times New Roman" w:hAnsi="Times New Roman" w:eastAsia="宋体" w:cs="Times New Roman"/>
          <w:color w:val="000000"/>
          <w:sz w:val="21"/>
          <w:szCs w:val="21"/>
        </w:rPr>
        <w:t>本章用于处理入口自检、场景运行和结果读取中的常见失败，并集中说明当前工程的适用范围。发生失败时先保留错误文本和execution_status.json，停止使用当前结果；修复后写入新的包外输出目录，不修改正式源文件包。</w:t>
      </w:r>
    </w:p>
    <w:p w14:paraId="7E3072F0">
      <w:pPr>
        <w:pStyle w:val="4"/>
        <w:keepNext/>
        <w:widowControl/>
      </w:pPr>
      <w:bookmarkStart w:id="18" w:name="_Toc235146500"/>
      <w:r>
        <w:rPr>
          <w:rFonts w:ascii="Times New Roman" w:hAnsi="Times New Roman" w:eastAsia="黑体" w:cs="Times New Roman"/>
          <w:color w:val="000000"/>
          <w:sz w:val="26"/>
          <w:szCs w:val="26"/>
        </w:rPr>
        <w:t>6.1  高频故障与恢复</w:t>
      </w:r>
      <w:bookmarkEnd w:id="18"/>
    </w:p>
    <w:p w14:paraId="403D6366">
      <w:pPr>
        <w:widowControl/>
      </w:pPr>
      <w:r>
        <w:rPr>
          <w:rFonts w:ascii="Times New Roman" w:hAnsi="Times New Roman" w:eastAsia="宋体" w:cs="Times New Roman"/>
          <w:color w:val="000000"/>
          <w:sz w:val="21"/>
          <w:szCs w:val="21"/>
        </w:rPr>
        <w:t>排查顺序见图6-1。先确认快速验收，再查看运行状态中的首次失败阶段，最后检查raw的时间轴和数值完整性。前一阶段未通过时，不跳到后一阶段继续判读。</w:t>
      </w:r>
    </w:p>
    <w:p w14:paraId="55EC3032">
      <w:pPr>
        <w:keepNext/>
        <w:widowControl/>
        <w:spacing w:before="80" w:after="20"/>
        <w:ind w:firstLine="0"/>
        <w:jc w:val="center"/>
      </w:pPr>
      <w:r>
        <w:rPr>
          <w:rFonts w:ascii="Times New Roman" w:hAnsi="Times New Roman" w:eastAsia="宋体" w:cs="Times New Roman"/>
          <w:color w:val="000000"/>
          <w:sz w:val="21"/>
          <w:szCs w:val="21"/>
        </w:rPr>
        <w:drawing>
          <wp:inline distT="0" distB="0" distL="114300" distR="114300">
            <wp:extent cx="5759450" cy="2355850"/>
            <wp:effectExtent l="0" t="0" r="12700" b="6350"/>
            <wp:docPr id="19" name="Figure 19" descr="图6-1  故障定位与恢复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9" descr="图6-1  故障定位与恢复顺序"/>
                    <pic:cNvPicPr>
                      <a:picLocks noChangeAspect="1"/>
                    </pic:cNvPicPr>
                  </pic:nvPicPr>
                  <pic:blipFill>
                    <a:blip r:embed="rId30"/>
                    <a:stretch>
                      <a:fillRect/>
                    </a:stretch>
                  </pic:blipFill>
                  <pic:spPr>
                    <a:xfrm>
                      <a:off x="0" y="0"/>
                      <a:ext cx="5760000" cy="2356364"/>
                    </a:xfrm>
                    <a:prstGeom prst="rect">
                      <a:avLst/>
                    </a:prstGeom>
                  </pic:spPr>
                </pic:pic>
              </a:graphicData>
            </a:graphic>
          </wp:inline>
        </w:drawing>
      </w:r>
    </w:p>
    <w:p w14:paraId="21A6DBF7">
      <w:pPr>
        <w:pStyle w:val="15"/>
        <w:keepLines/>
        <w:widowControl/>
        <w:ind w:firstLine="0"/>
        <w:jc w:val="center"/>
      </w:pPr>
      <w:r>
        <w:rPr>
          <w:rFonts w:ascii="Times New Roman" w:hAnsi="Times New Roman" w:eastAsia="宋体" w:cs="Times New Roman"/>
          <w:color w:val="000000"/>
          <w:sz w:val="19"/>
          <w:szCs w:val="19"/>
        </w:rPr>
        <w:t>图6-1  故障定位与恢复顺序</w:t>
      </w:r>
    </w:p>
    <w:p w14:paraId="7ACBC0FF">
      <w:pPr>
        <w:pStyle w:val="15"/>
        <w:keepNext/>
        <w:keepLines/>
        <w:widowControl/>
        <w:ind w:firstLine="0"/>
        <w:jc w:val="center"/>
      </w:pPr>
      <w:r>
        <w:rPr>
          <w:rFonts w:ascii="Times New Roman" w:hAnsi="Times New Roman" w:eastAsia="宋体" w:cs="Times New Roman"/>
          <w:color w:val="000000"/>
          <w:sz w:val="19"/>
          <w:szCs w:val="19"/>
        </w:rPr>
        <w:t>表6-1  高频故障的确认与处理</w:t>
      </w:r>
    </w:p>
    <w:tbl>
      <w:tblPr>
        <w:tblStyle w:val="32"/>
        <w:tblW w:w="0" w:type="auto"/>
        <w:jc w:val="center"/>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Layout w:type="autofit"/>
        <w:tblCellMar>
          <w:top w:w="0" w:type="dxa"/>
          <w:left w:w="108" w:type="dxa"/>
          <w:bottom w:w="0" w:type="dxa"/>
          <w:right w:w="108" w:type="dxa"/>
        </w:tblCellMar>
      </w:tblPr>
      <w:tblGrid>
        <w:gridCol w:w="1761"/>
        <w:gridCol w:w="3286"/>
        <w:gridCol w:w="3872"/>
      </w:tblGrid>
      <w:tr w14:paraId="3A6E7101">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55" w:type="dxa"/>
              <w:left w:w="70" w:type="dxa"/>
              <w:bottom w:w="55" w:type="dxa"/>
              <w:right w:w="70" w:type="dxa"/>
            </w:tcMar>
            <w:vAlign w:val="center"/>
          </w:tcPr>
          <w:p w14:paraId="07F40AA7">
            <w:pPr>
              <w:spacing w:after="0" w:line="252" w:lineRule="auto"/>
              <w:ind w:firstLine="0"/>
              <w:jc w:val="center"/>
            </w:pPr>
            <w:r>
              <w:rPr>
                <w:rFonts w:ascii="Times New Roman" w:hAnsi="Times New Roman" w:eastAsia="宋体" w:cs="Times New Roman"/>
                <w:b/>
                <w:color w:val="000000"/>
                <w:sz w:val="17"/>
                <w:szCs w:val="17"/>
              </w:rPr>
              <w:t>故障现象</w:t>
            </w:r>
          </w:p>
        </w:tc>
        <w:tc>
          <w:tcPr>
            <w:tcW w:w="0" w:type="auto"/>
            <w:tcBorders>
              <w:bottom w:val="single" w:color="000000" w:sz="8" w:space="0"/>
            </w:tcBorders>
            <w:tcMar>
              <w:top w:w="55" w:type="dxa"/>
              <w:left w:w="70" w:type="dxa"/>
              <w:bottom w:w="55" w:type="dxa"/>
              <w:right w:w="70" w:type="dxa"/>
            </w:tcMar>
            <w:vAlign w:val="center"/>
          </w:tcPr>
          <w:p w14:paraId="39C87DA6">
            <w:pPr>
              <w:spacing w:after="0" w:line="252" w:lineRule="auto"/>
              <w:ind w:firstLine="0"/>
              <w:jc w:val="center"/>
            </w:pPr>
            <w:r>
              <w:rPr>
                <w:rFonts w:ascii="Times New Roman" w:hAnsi="Times New Roman" w:eastAsia="宋体" w:cs="Times New Roman"/>
                <w:b/>
                <w:color w:val="000000"/>
                <w:sz w:val="17"/>
                <w:szCs w:val="17"/>
              </w:rPr>
              <w:t>先检查</w:t>
            </w:r>
          </w:p>
        </w:tc>
        <w:tc>
          <w:tcPr>
            <w:tcW w:w="0" w:type="auto"/>
            <w:tcBorders>
              <w:bottom w:val="single" w:color="000000" w:sz="8" w:space="0"/>
            </w:tcBorders>
            <w:tcMar>
              <w:top w:w="55" w:type="dxa"/>
              <w:left w:w="70" w:type="dxa"/>
              <w:bottom w:w="55" w:type="dxa"/>
              <w:right w:w="70" w:type="dxa"/>
            </w:tcMar>
            <w:vAlign w:val="center"/>
          </w:tcPr>
          <w:p w14:paraId="02FD9A24">
            <w:pPr>
              <w:spacing w:after="0" w:line="252" w:lineRule="auto"/>
              <w:ind w:firstLine="0"/>
              <w:jc w:val="center"/>
            </w:pPr>
            <w:r>
              <w:rPr>
                <w:rFonts w:ascii="Times New Roman" w:hAnsi="Times New Roman" w:eastAsia="宋体" w:cs="Times New Roman"/>
                <w:b/>
                <w:color w:val="000000"/>
                <w:sz w:val="17"/>
                <w:szCs w:val="17"/>
              </w:rPr>
              <w:t>处理</w:t>
            </w:r>
          </w:p>
        </w:tc>
      </w:tr>
      <w:tr w14:paraId="4996E2B6">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3AA7AAC0">
            <w:pPr>
              <w:spacing w:after="0" w:line="252" w:lineRule="auto"/>
              <w:ind w:firstLine="0"/>
              <w:jc w:val="center"/>
            </w:pPr>
            <w:r>
              <w:rPr>
                <w:rFonts w:ascii="Times New Roman" w:hAnsi="Times New Roman" w:eastAsia="宋体" w:cs="Times New Roman"/>
                <w:b w:val="0"/>
                <w:color w:val="000000"/>
                <w:sz w:val="17"/>
                <w:szCs w:val="17"/>
              </w:rPr>
              <w:t>运行时路径无效；</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无法连接Sysplorer</w:t>
            </w:r>
          </w:p>
        </w:tc>
        <w:tc>
          <w:tcPr>
            <w:tcW w:w="0" w:type="auto"/>
            <w:tcMar>
              <w:top w:w="55" w:type="dxa"/>
              <w:left w:w="70" w:type="dxa"/>
              <w:bottom w:w="55" w:type="dxa"/>
              <w:right w:w="70" w:type="dxa"/>
            </w:tcMar>
            <w:vAlign w:val="center"/>
          </w:tcPr>
          <w:p w14:paraId="2860C660">
            <w:pPr>
              <w:spacing w:after="0" w:line="252" w:lineRule="auto"/>
              <w:ind w:firstLine="0"/>
              <w:jc w:val="center"/>
            </w:pPr>
            <w:r>
              <w:rPr>
                <w:rFonts w:ascii="Times New Roman" w:hAnsi="Times New Roman" w:eastAsia="宋体" w:cs="Times New Roman"/>
                <w:b w:val="0"/>
                <w:color w:val="000000"/>
                <w:sz w:val="17"/>
                <w:szCs w:val="17"/>
              </w:rPr>
              <w:t>MWORKS_PYTHON；</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julia-ty；</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Sysplorer是否只有一个实例。</w:t>
            </w:r>
          </w:p>
        </w:tc>
        <w:tc>
          <w:tcPr>
            <w:tcW w:w="0" w:type="auto"/>
            <w:tcMar>
              <w:top w:w="55" w:type="dxa"/>
              <w:left w:w="70" w:type="dxa"/>
              <w:bottom w:w="55" w:type="dxa"/>
              <w:right w:w="70" w:type="dxa"/>
            </w:tcMar>
            <w:vAlign w:val="center"/>
          </w:tcPr>
          <w:p w14:paraId="025BB533">
            <w:pPr>
              <w:spacing w:after="0" w:line="252" w:lineRule="auto"/>
              <w:ind w:firstLine="0"/>
              <w:jc w:val="center"/>
            </w:pPr>
            <w:r>
              <w:rPr>
                <w:rFonts w:ascii="Times New Roman" w:hAnsi="Times New Roman" w:eastAsia="宋体" w:cs="Times New Roman"/>
                <w:b w:val="0"/>
                <w:color w:val="000000"/>
                <w:sz w:val="17"/>
                <w:szCs w:val="17"/>
              </w:rPr>
              <w:t>按第2章修正路径或实例后重试。</w:t>
            </w:r>
          </w:p>
        </w:tc>
      </w:tr>
      <w:tr w14:paraId="52607266">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45ED0833">
            <w:pPr>
              <w:spacing w:after="0" w:line="252" w:lineRule="auto"/>
              <w:ind w:firstLine="0"/>
              <w:jc w:val="center"/>
            </w:pPr>
            <w:r>
              <w:rPr>
                <w:rFonts w:ascii="Times New Roman" w:hAnsi="Times New Roman" w:eastAsia="宋体" w:cs="Times New Roman"/>
                <w:b w:val="0"/>
                <w:color w:val="000000"/>
                <w:sz w:val="17"/>
                <w:szCs w:val="17"/>
              </w:rPr>
              <w:t>-Output被拒绝；</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场景选择被拒绝</w:t>
            </w:r>
          </w:p>
        </w:tc>
        <w:tc>
          <w:tcPr>
            <w:tcW w:w="0" w:type="auto"/>
            <w:tcMar>
              <w:top w:w="55" w:type="dxa"/>
              <w:left w:w="70" w:type="dxa"/>
              <w:bottom w:w="55" w:type="dxa"/>
              <w:right w:w="70" w:type="dxa"/>
            </w:tcMar>
            <w:vAlign w:val="center"/>
          </w:tcPr>
          <w:p w14:paraId="11DB55EF">
            <w:pPr>
              <w:spacing w:after="0" w:line="252" w:lineRule="auto"/>
              <w:ind w:firstLine="0"/>
              <w:jc w:val="center"/>
            </w:pPr>
            <w:r>
              <w:rPr>
                <w:rFonts w:ascii="Times New Roman" w:hAnsi="Times New Roman" w:eastAsia="宋体" w:cs="Times New Roman"/>
                <w:b w:val="0"/>
                <w:color w:val="000000"/>
                <w:sz w:val="17"/>
                <w:szCs w:val="17"/>
              </w:rPr>
              <w:t>输出为包外绝对路径；场景ID已经登记。</w:t>
            </w:r>
          </w:p>
        </w:tc>
        <w:tc>
          <w:tcPr>
            <w:tcW w:w="0" w:type="auto"/>
            <w:tcMar>
              <w:top w:w="55" w:type="dxa"/>
              <w:left w:w="70" w:type="dxa"/>
              <w:bottom w:w="55" w:type="dxa"/>
              <w:right w:w="70" w:type="dxa"/>
            </w:tcMar>
            <w:vAlign w:val="center"/>
          </w:tcPr>
          <w:p w14:paraId="05933CE9">
            <w:pPr>
              <w:spacing w:after="0" w:line="252" w:lineRule="auto"/>
              <w:ind w:firstLine="0"/>
              <w:jc w:val="center"/>
            </w:pPr>
            <w:r>
              <w:rPr>
                <w:rFonts w:ascii="Times New Roman" w:hAnsi="Times New Roman" w:eastAsia="宋体" w:cs="Times New Roman"/>
                <w:b w:val="0"/>
                <w:color w:val="000000"/>
                <w:sz w:val="17"/>
                <w:szCs w:val="17"/>
              </w:rPr>
              <w:t>改用用户目录和场景索引中的正式ID。</w:t>
            </w:r>
          </w:p>
        </w:tc>
      </w:tr>
      <w:tr w14:paraId="212A2E0C">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2C02CD33">
            <w:pPr>
              <w:spacing w:after="0" w:line="252" w:lineRule="auto"/>
              <w:ind w:firstLine="0"/>
              <w:jc w:val="center"/>
            </w:pPr>
            <w:r>
              <w:rPr>
                <w:rFonts w:ascii="Times New Roman" w:hAnsi="Times New Roman" w:eastAsia="宋体" w:cs="Times New Roman"/>
                <w:b w:val="0"/>
                <w:color w:val="000000"/>
                <w:sz w:val="17"/>
                <w:szCs w:val="17"/>
              </w:rPr>
              <w:t>CheckModel失败；</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TranslateModel失败；</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仿真读取失败</w:t>
            </w:r>
          </w:p>
        </w:tc>
        <w:tc>
          <w:tcPr>
            <w:tcW w:w="0" w:type="auto"/>
            <w:tcMar>
              <w:top w:w="55" w:type="dxa"/>
              <w:left w:w="70" w:type="dxa"/>
              <w:bottom w:w="55" w:type="dxa"/>
              <w:right w:w="70" w:type="dxa"/>
            </w:tcMar>
            <w:vAlign w:val="center"/>
          </w:tcPr>
          <w:p w14:paraId="5B170294">
            <w:pPr>
              <w:spacing w:after="0" w:line="252" w:lineRule="auto"/>
              <w:ind w:firstLine="0"/>
              <w:jc w:val="center"/>
            </w:pPr>
            <w:r>
              <w:rPr>
                <w:rFonts w:ascii="Times New Roman" w:hAnsi="Times New Roman" w:eastAsia="宋体" w:cs="Times New Roman"/>
                <w:b w:val="0"/>
                <w:color w:val="000000"/>
                <w:sz w:val="17"/>
                <w:szCs w:val="17"/>
              </w:rPr>
              <w:t>execution_status.json中首个false阶段。</w:t>
            </w:r>
          </w:p>
        </w:tc>
        <w:tc>
          <w:tcPr>
            <w:tcW w:w="0" w:type="auto"/>
            <w:tcMar>
              <w:top w:w="55" w:type="dxa"/>
              <w:left w:w="70" w:type="dxa"/>
              <w:bottom w:w="55" w:type="dxa"/>
              <w:right w:w="70" w:type="dxa"/>
            </w:tcMar>
            <w:vAlign w:val="center"/>
          </w:tcPr>
          <w:p w14:paraId="2A94E64D">
            <w:pPr>
              <w:spacing w:after="0" w:line="252" w:lineRule="auto"/>
              <w:ind w:firstLine="0"/>
              <w:jc w:val="center"/>
            </w:pPr>
            <w:r>
              <w:rPr>
                <w:rFonts w:ascii="Times New Roman" w:hAnsi="Times New Roman" w:eastAsia="宋体" w:cs="Times New Roman"/>
                <w:b w:val="0"/>
                <w:color w:val="000000"/>
                <w:sz w:val="17"/>
                <w:szCs w:val="17"/>
              </w:rPr>
              <w:t>修复该阶段，使用新输出目录重试。</w:t>
            </w:r>
          </w:p>
        </w:tc>
      </w:tr>
      <w:tr w14:paraId="299DCB5C">
        <w:tblPrEx>
          <w:tblBorders>
            <w:top w:val="single" w:color="000000" w:sz="10" w:space="0"/>
            <w:left w:val="none" w:color="auto" w:sz="0" w:space="0"/>
            <w:bottom w:val="single" w:color="000000" w:sz="10" w:space="0"/>
            <w:right w:val="none" w:color="auto" w:sz="0" w:space="0"/>
            <w:insideH w:val="single" w:color="B7BDC3" w:sz="2" w:space="0"/>
            <w:insideV w:val="none" w:color="auto" w:sz="0" w:space="0"/>
          </w:tblBorders>
          <w:tblCellMar>
            <w:top w:w="0" w:type="dxa"/>
            <w:left w:w="108" w:type="dxa"/>
            <w:bottom w:w="0" w:type="dxa"/>
            <w:right w:w="108" w:type="dxa"/>
          </w:tblCellMar>
        </w:tblPrEx>
        <w:trPr>
          <w:cantSplit/>
          <w:jc w:val="center"/>
        </w:trPr>
        <w:tc>
          <w:tcPr>
            <w:tcW w:w="0" w:type="auto"/>
            <w:tcMar>
              <w:top w:w="55" w:type="dxa"/>
              <w:left w:w="70" w:type="dxa"/>
              <w:bottom w:w="55" w:type="dxa"/>
              <w:right w:w="70" w:type="dxa"/>
            </w:tcMar>
            <w:vAlign w:val="center"/>
          </w:tcPr>
          <w:p w14:paraId="68D21694">
            <w:pPr>
              <w:spacing w:after="0" w:line="252" w:lineRule="auto"/>
              <w:ind w:firstLine="0"/>
              <w:jc w:val="center"/>
            </w:pPr>
            <w:r>
              <w:rPr>
                <w:rFonts w:ascii="Times New Roman" w:hAnsi="Times New Roman" w:eastAsia="宋体" w:cs="Times New Roman"/>
                <w:b w:val="0"/>
                <w:color w:val="000000"/>
                <w:sz w:val="17"/>
                <w:szCs w:val="17"/>
              </w:rPr>
              <w:t>无raw或数值异常；</w:t>
            </w:r>
            <w:r>
              <w:rPr>
                <w:rFonts w:ascii="Times New Roman" w:hAnsi="Times New Roman" w:eastAsia="宋体" w:cs="Times New Roman"/>
                <w:b w:val="0"/>
                <w:color w:val="000000"/>
                <w:sz w:val="17"/>
                <w:szCs w:val="17"/>
              </w:rPr>
              <w:br w:type="textWrapping"/>
            </w:r>
            <w:r>
              <w:rPr>
                <w:rFonts w:ascii="Times New Roman" w:hAnsi="Times New Roman" w:eastAsia="宋体" w:cs="Times New Roman"/>
                <w:b w:val="0"/>
                <w:color w:val="000000"/>
                <w:sz w:val="17"/>
                <w:szCs w:val="17"/>
              </w:rPr>
              <w:t>快速验收停止</w:t>
            </w:r>
          </w:p>
        </w:tc>
        <w:tc>
          <w:tcPr>
            <w:tcW w:w="0" w:type="auto"/>
            <w:tcMar>
              <w:top w:w="55" w:type="dxa"/>
              <w:left w:w="70" w:type="dxa"/>
              <w:bottom w:w="55" w:type="dxa"/>
              <w:right w:w="70" w:type="dxa"/>
            </w:tcMar>
            <w:vAlign w:val="center"/>
          </w:tcPr>
          <w:p w14:paraId="19437D76">
            <w:pPr>
              <w:spacing w:after="0" w:line="252" w:lineRule="auto"/>
              <w:ind w:firstLine="0"/>
              <w:jc w:val="center"/>
            </w:pPr>
            <w:r>
              <w:rPr>
                <w:rFonts w:ascii="Times New Roman" w:hAnsi="Times New Roman" w:eastAsia="宋体" w:cs="Times New Roman"/>
                <w:b w:val="0"/>
                <w:color w:val="000000"/>
                <w:sz w:val="17"/>
                <w:szCs w:val="17"/>
              </w:rPr>
              <w:t>CSV时间、行数、有限值和首个失败项。</w:t>
            </w:r>
          </w:p>
        </w:tc>
        <w:tc>
          <w:tcPr>
            <w:tcW w:w="0" w:type="auto"/>
            <w:tcMar>
              <w:top w:w="55" w:type="dxa"/>
              <w:left w:w="70" w:type="dxa"/>
              <w:bottom w:w="55" w:type="dxa"/>
              <w:right w:w="70" w:type="dxa"/>
            </w:tcMar>
            <w:vAlign w:val="center"/>
          </w:tcPr>
          <w:p w14:paraId="41ED1551">
            <w:pPr>
              <w:spacing w:after="0" w:line="252" w:lineRule="auto"/>
              <w:ind w:firstLine="0"/>
              <w:jc w:val="center"/>
            </w:pPr>
            <w:r>
              <w:rPr>
                <w:rFonts w:ascii="Times New Roman" w:hAnsi="Times New Roman" w:eastAsia="宋体" w:cs="Times New Roman"/>
                <w:b w:val="0"/>
                <w:color w:val="000000"/>
                <w:sz w:val="17"/>
                <w:szCs w:val="17"/>
              </w:rPr>
              <w:t>停止判读；按第4章核对，必要时恢复原包文件。</w:t>
            </w:r>
          </w:p>
        </w:tc>
      </w:tr>
    </w:tbl>
    <w:p w14:paraId="47B5CAB6">
      <w:pPr>
        <w:widowControl/>
        <w:pBdr>
          <w:left w:val="single" w:color="C43D22" w:sz="20" w:space="8"/>
        </w:pBdr>
        <w:spacing w:before="60" w:after="100"/>
        <w:ind w:left="227" w:right="113"/>
      </w:pPr>
      <w:r>
        <w:rPr>
          <w:rFonts w:ascii="Times New Roman" w:hAnsi="Times New Roman" w:eastAsia="宋体" w:cs="Times New Roman"/>
          <w:b/>
          <w:color w:val="000000"/>
          <w:sz w:val="21"/>
          <w:szCs w:val="21"/>
        </w:rPr>
        <w:t>恢复规则：</w:t>
      </w:r>
      <w:r>
        <w:rPr>
          <w:rFonts w:ascii="Times New Roman" w:hAnsi="Times New Roman" w:eastAsia="宋体" w:cs="Times New Roman"/>
          <w:color w:val="000000"/>
          <w:sz w:val="21"/>
          <w:szCs w:val="21"/>
        </w:rPr>
        <w:t>不要提供或执行删除整个项目目录的命令，不批量结束Sysplorer进程。失败后保留当前输出作为诊断记录，修复后使用新的包外目录再次运行。</w:t>
      </w:r>
    </w:p>
    <w:p w14:paraId="6FCED425">
      <w:pPr>
        <w:pStyle w:val="4"/>
        <w:keepNext/>
        <w:widowControl/>
      </w:pPr>
      <w:bookmarkStart w:id="19" w:name="_Toc235146501"/>
      <w:r>
        <w:rPr>
          <w:rFonts w:ascii="Times New Roman" w:hAnsi="Times New Roman" w:eastAsia="黑体" w:cs="Times New Roman"/>
          <w:color w:val="000000"/>
          <w:sz w:val="26"/>
          <w:szCs w:val="26"/>
        </w:rPr>
        <w:t>6.2  使用边界与命令速查</w:t>
      </w:r>
      <w:bookmarkEnd w:id="19"/>
    </w:p>
    <w:p w14:paraId="199933B4">
      <w:pPr>
        <w:keepNext/>
        <w:widowControl/>
      </w:pPr>
      <w:r>
        <w:rPr>
          <w:rFonts w:ascii="Times New Roman" w:hAnsi="Times New Roman" w:eastAsia="宋体" w:cs="Times New Roman"/>
          <w:color w:val="000000"/>
          <w:sz w:val="21"/>
          <w:szCs w:val="21"/>
        </w:rPr>
        <w:t>以下命令均在&lt;源文件包&gt;根目录执行。场景运行前启动且只保留一个Sysplorer实例；运行器不会自动启动或关闭软件。</w:t>
      </w:r>
    </w:p>
    <w:p w14:paraId="7E2EEB9E">
      <w:pPr>
        <w:keepLines/>
        <w:widowControl/>
        <w:pBdr>
          <w:left w:val="single" w:color="315B6B" w:sz="16" w:space="8"/>
        </w:pBdr>
        <w:shd w:val="clear" w:fill="F3F5F7"/>
        <w:spacing w:before="60" w:after="100" w:line="276" w:lineRule="auto"/>
        <w:ind w:left="312" w:right="142" w:firstLine="0"/>
        <w:jc w:val="left"/>
        <w:rPr>
          <w:rFonts w:ascii="Times New Roman" w:hAnsi="Times New Roman" w:eastAsia="宋体" w:cs="Times New Roman"/>
          <w:color w:val="000000"/>
          <w:sz w:val="21"/>
          <w:szCs w:val="21"/>
        </w:rPr>
      </w:pPr>
      <w:r>
        <w:rPr>
          <w:rFonts w:ascii="Consolas" w:hAnsi="Consolas" w:eastAsia="等线" w:cs="Consolas"/>
          <w:color w:val="000000"/>
          <w:sz w:val="16"/>
          <w:szCs w:val="16"/>
        </w:rPr>
        <w:t>.\RUN_QUICK_VERIFY.ps1</w:t>
      </w:r>
      <w:r>
        <w:rPr>
          <w:rFonts w:ascii="Consolas" w:hAnsi="Consolas" w:eastAsia="等线" w:cs="Consolas"/>
          <w:color w:val="000000"/>
          <w:sz w:val="16"/>
          <w:szCs w:val="16"/>
        </w:rPr>
        <w:br w:type="textWrapping"/>
      </w:r>
      <w:r>
        <w:rPr>
          <w:rFonts w:ascii="Consolas" w:hAnsi="Consolas" w:eastAsia="等线" w:cs="Consolas"/>
          <w:color w:val="000000"/>
          <w:sz w:val="16"/>
          <w:szCs w:val="16"/>
        </w:rPr>
        <w:t>$Output = Join-Path $env:USERPROFILE 'A8_runs\Scene04_retry'</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-Scene Scene04 -Output $Output</w:t>
      </w:r>
      <w:r>
        <w:rPr>
          <w:rFonts w:ascii="Consolas" w:hAnsi="Consolas" w:eastAsia="等线" w:cs="Consolas"/>
          <w:color w:val="000000"/>
          <w:sz w:val="16"/>
          <w:szCs w:val="16"/>
        </w:rPr>
        <w:br w:type="textWrapping"/>
      </w:r>
      <w:r>
        <w:rPr>
          <w:rFonts w:ascii="Consolas" w:hAnsi="Consolas" w:eastAsia="等线" w:cs="Consolas"/>
          <w:color w:val="000000"/>
          <w:sz w:val="16"/>
          <w:szCs w:val="16"/>
        </w:rPr>
        <w:t>$Nominal = Join-Path $env:USERPROFILE 'A8_runs\Scene05B_Nominal_check'</w:t>
      </w:r>
      <w:r>
        <w:rPr>
          <w:rFonts w:ascii="Consolas" w:hAnsi="Consolas" w:eastAsia="等线" w:cs="Consolas"/>
          <w:color w:val="000000"/>
          <w:sz w:val="16"/>
          <w:szCs w:val="16"/>
        </w:rPr>
        <w:br w:type="textWrapping"/>
      </w:r>
      <w:r>
        <w:rPr>
          <w:rFonts w:ascii="Consolas" w:hAnsi="Consolas" w:eastAsia="等线" w:cs="Consolas"/>
          <w:color w:val="000000"/>
          <w:sz w:val="16"/>
          <w:szCs w:val="16"/>
        </w:rPr>
        <w:t>.\RUN_ALL.ps1 -Mode Simulate -Scene Scene05B_Nominal -Output $Nominal</w:t>
      </w:r>
      <w:r>
        <w:rPr>
          <w:rFonts w:ascii="Consolas" w:hAnsi="Consolas" w:eastAsia="等线" w:cs="Consolas"/>
          <w:color w:val="000000"/>
          <w:sz w:val="16"/>
          <w:szCs w:val="16"/>
        </w:rPr>
        <w:br w:type="textWrapping"/>
      </w:r>
      <w:r>
        <w:rPr>
          <w:rFonts w:ascii="Consolas" w:hAnsi="Consolas" w:eastAsia="等线" w:cs="Consolas"/>
          <w:color w:val="000000"/>
          <w:sz w:val="16"/>
          <w:szCs w:val="16"/>
        </w:rPr>
        <w:t>.\RECOMPUTE_REPORT_EVIDENCE.ps1 -Check</w:t>
      </w:r>
    </w:p>
    <w:p w14:paraId="4F6B20CE">
      <w:pPr>
        <w:widowControl/>
        <w:ind w:left="0" w:leftChars="0" w:firstLine="420" w:firstLineChars="200"/>
      </w:pPr>
      <w:r>
        <w:rPr>
          <w:rFonts w:ascii="Times New Roman" w:hAnsi="Times New Roman" w:eastAsia="宋体" w:cs="Times New Roman"/>
          <w:color w:val="000000"/>
          <w:sz w:val="21"/>
          <w:szCs w:val="21"/>
        </w:rPr>
        <w:t>本项目已在Windows环境下使用MWORKS Sysplorer与Syslab 2026a完成验证，其他操作系统尚未进行同条件验证。源文件包不包含MWORKS商业运行时，用户需自行准备符合许可要求的软件环境。</w:t>
      </w:r>
    </w:p>
    <w:p w14:paraId="6BF66658">
      <w:pPr>
        <w:widowControl/>
        <w:ind w:left="255" w:hanging="255"/>
      </w:pPr>
      <w:r>
        <w:rPr>
          <w:rFonts w:ascii="Times New Roman" w:hAnsi="Times New Roman" w:eastAsia="宋体" w:cs="Times New Roman"/>
          <w:color w:val="000000"/>
          <w:sz w:val="21"/>
          <w:szCs w:val="21"/>
        </w:rPr>
        <w:t>RA-GCA-CGHTE当前验证内容覆盖位置、滚转和俯仰控制，持续偏航不在验证范围内。受测场景未触发主动去饱和，因此现有结果不能用于评价该机制的性能。</w:t>
      </w:r>
    </w:p>
    <w:p w14:paraId="687B55F0">
      <w:pPr>
        <w:widowControl/>
        <w:ind w:left="255" w:hanging="255"/>
      </w:pPr>
      <w:r>
        <w:rPr>
          <w:rFonts w:ascii="Times New Roman" w:hAnsi="Times New Roman" w:eastAsia="宋体" w:cs="Times New Roman"/>
          <w:color w:val="000000"/>
          <w:sz w:val="21"/>
          <w:szCs w:val="21"/>
        </w:rPr>
        <w:t>PP-CBF作为独立上层安全监督器，仅在固定三机、给定轨迹和同步状态输入条件下完成验证。0.60 m是本项目采用的评价距离，不代表比赛统一安全阈值；判读结果时应同时报告安全收益和跟踪代价。</w:t>
      </w:r>
    </w:p>
    <w:p w14:paraId="11F5F34B">
      <w:pPr>
        <w:widowControl/>
        <w:ind w:left="255" w:hanging="255"/>
      </w:pPr>
      <w:r>
        <w:rPr>
          <w:rFonts w:ascii="Times New Roman" w:hAnsi="Times New Roman" w:eastAsia="宋体" w:cs="Times New Roman"/>
          <w:color w:val="000000"/>
          <w:sz w:val="21"/>
          <w:szCs w:val="21"/>
        </w:rPr>
        <w:t>项目回归集包含32项任务，该数量不代表比赛官方规定的测试数量。五个比较对象覆盖的拓展场景并不完全一致，因此本手册不进行跨场景总体排名。</w:t>
      </w:r>
    </w:p>
    <w:p w14:paraId="0958EAEA">
      <w:pPr>
        <w:widowControl/>
      </w:pPr>
      <w:r>
        <w:rPr>
          <w:rFonts w:ascii="Times New Roman" w:hAnsi="Times New Roman" w:eastAsia="宋体" w:cs="Times New Roman"/>
          <w:color w:val="000000"/>
          <w:sz w:val="21"/>
          <w:szCs w:val="21"/>
        </w:rPr>
        <w:t>完成快速验收、单场景恢复和结果完整性检查后，可在&lt;源文件包&gt;\00_START_HERE\SCENE_INDEX.csv中查询其他已注册场景。任何结论仍以对应场景的raw、统一指标和正式仿真报告为准。</w:t>
      </w:r>
    </w:p>
    <w:p w14:paraId="33D01D1E">
      <w:pPr>
        <w:pStyle w:val="3"/>
        <w:keepNext/>
        <w:pageBreakBefore w:val="0"/>
        <w:widowControl/>
      </w:pPr>
      <w:bookmarkStart w:id="20" w:name="_Toc235146502"/>
      <w:r>
        <w:rPr>
          <w:rFonts w:ascii="Times New Roman" w:hAnsi="Times New Roman" w:eastAsia="黑体" w:cs="Times New Roman"/>
          <w:color w:val="000000"/>
          <w:sz w:val="32"/>
          <w:szCs w:val="32"/>
        </w:rPr>
        <w:t>手册总结</w:t>
      </w:r>
      <w:bookmarkEnd w:id="20"/>
    </w:p>
    <w:p w14:paraId="56FA5D67">
      <w:pPr>
        <w:widowControl/>
      </w:pPr>
      <w:r>
        <w:rPr>
          <w:rFonts w:ascii="Times New Roman" w:hAnsi="Times New Roman" w:eastAsia="宋体" w:cs="Times New Roman"/>
          <w:color w:val="000000"/>
          <w:sz w:val="21"/>
          <w:szCs w:val="21"/>
        </w:rPr>
        <w:t>本手册按照系统概述、环境准备、场景复现、结果判读、接口说明和故障排查的顺序，给出了A8四旋翼无人机位姿控制系统的完整使用流程。用户可从只读快速验收开始，选择正式场景并在包外目录运行仿真，再依据状态文件、raw数据、统一指标和正式证据完成结果核对。</w:t>
      </w:r>
    </w:p>
    <w:p w14:paraId="21881741">
      <w:pPr>
        <w:widowControl/>
      </w:pPr>
      <w:r>
        <w:rPr>
          <w:rFonts w:ascii="Times New Roman" w:hAnsi="Times New Roman" w:eastAsia="宋体" w:cs="Times New Roman"/>
          <w:color w:val="000000"/>
          <w:sz w:val="21"/>
          <w:szCs w:val="21"/>
        </w:rPr>
        <w:t>实际使用时应保持正式源文件包不变，将每次运行写入独立的包外输出目录，并在结论中说明对应场景、计算口径和验证范围。需要扩展场景或自定义接口时，应先核对场景索引、信号维数、单位和加载顺序，再通过新的输出结果验证修改是否符合预期。</w:t>
      </w:r>
    </w:p>
    <w:sectPr>
      <w:headerReference r:id="rId8" w:type="default"/>
      <w:footerReference r:id="rId9" w:type="default"/>
      <w:pgSz w:w="11906" w:h="16838"/>
      <w:pgMar w:top="1191" w:right="1361" w:bottom="1134" w:left="1417" w:header="567" w:footer="567" w:gutter="0"/>
      <w:pgNumType w:fmt="decimal" w:start="1"/>
      <w:cols w:space="720" w:num="1"/>
      <w:vAlign w:val="top"/>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815C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044E4">
    <w:pPr>
      <w:ind w:firstLine="0"/>
      <w:jc w:val="center"/>
    </w:pPr>
    <w:r>
      <w:rPr>
        <w:rFonts w:ascii="Times New Roman" w:hAnsi="Times New Roman" w:eastAsia="宋体" w:cs="Times New Roman"/>
        <w:color w:val="000000"/>
        <w:sz w:val="18"/>
        <w:szCs w:val="18"/>
      </w:rPr>
      <w:t xml:space="preserve">第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rFonts w:ascii="Times New Roman" w:hAnsi="Times New Roman" w:eastAsia="宋体" w:cs="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884F9">
    <w:pPr>
      <w:pStyle w:val="25"/>
      <w:keepNext w:val="0"/>
      <w:keepLines w:val="0"/>
      <w:pageBreakBefore w:val="0"/>
      <w:widowControl/>
      <w:tabs>
        <w:tab w:val="center" w:pos="4153"/>
        <w:tab w:val="right" w:pos="8306"/>
        <w:tab w:val="clear" w:pos="4680"/>
        <w:tab w:val="clear" w:pos="9360"/>
      </w:tabs>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ascii="Times New Roman" w:hAnsi="Times New Roman" w:cs="Times New Roman"/>
        <w:b/>
        <w:bCs/>
        <w:sz w:val="21"/>
        <w:szCs w:val="21"/>
        <w:lang w:val="en-US" w:eastAsia="zh-CN"/>
      </w:rPr>
      <w:t>用户手册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E1968">
    <w:pPr>
      <w:pStyle w:val="25"/>
      <w:keepNext w:val="0"/>
      <w:keepLines w:val="0"/>
      <w:pageBreakBefore w:val="0"/>
      <w:widowControl/>
      <w:tabs>
        <w:tab w:val="center" w:pos="4153"/>
        <w:tab w:val="right" w:pos="8306"/>
        <w:tab w:val="clear" w:pos="4680"/>
        <w:tab w:val="clear" w:pos="9360"/>
      </w:tabs>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ascii="Times New Roman" w:hAnsi="Times New Roman" w:cs="Times New Roman"/>
        <w:b/>
        <w:bCs/>
        <w:sz w:val="21"/>
        <w:szCs w:val="21"/>
        <w:lang w:val="en-US" w:eastAsia="zh-CN"/>
      </w:rPr>
      <w:t>用户手册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10EDF">
    <w:pPr>
      <w:pStyle w:val="25"/>
      <w:keepNext w:val="0"/>
      <w:keepLines w:val="0"/>
      <w:pageBreakBefore w:val="0"/>
      <w:widowControl/>
      <w:tabs>
        <w:tab w:val="center" w:pos="4153"/>
        <w:tab w:val="right" w:pos="8306"/>
        <w:tab w:val="clear" w:pos="4680"/>
        <w:tab w:val="clear" w:pos="9360"/>
      </w:tabs>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ascii="Times New Roman" w:hAnsi="Times New Roman" w:cs="Times New Roman"/>
        <w:b/>
        <w:bCs/>
        <w:sz w:val="21"/>
        <w:szCs w:val="21"/>
        <w:lang w:val="en-US" w:eastAsia="zh-CN"/>
      </w:rPr>
      <w:t>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C345BB"/>
    <w:rsid w:val="43D9518F"/>
    <w:rsid w:val="44C24001"/>
    <w:rsid w:val="5A796B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50" w:line="324" w:lineRule="auto"/>
      <w:ind w:firstLine="420"/>
    </w:pPr>
    <w:rPr>
      <w:rFonts w:ascii="Times New Roman" w:hAnsi="Times New Roman" w:eastAsia="宋体" w:cs="Times New Roman"/>
      <w:color w:val="000000"/>
      <w:sz w:val="21"/>
      <w:szCs w:val="22"/>
      <w:lang w:val="en-US" w:eastAsia="en-US" w:bidi="ar-SA"/>
    </w:rPr>
  </w:style>
  <w:style w:type="paragraph" w:styleId="3">
    <w:name w:val="heading 1"/>
    <w:basedOn w:val="1"/>
    <w:next w:val="1"/>
    <w:link w:val="138"/>
    <w:qFormat/>
    <w:uiPriority w:val="9"/>
    <w:pPr>
      <w:keepNext/>
      <w:keepLines/>
      <w:spacing w:before="0" w:after="200" w:line="288"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60" w:after="80" w:line="288"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Lines/>
      <w:spacing w:before="60" w:after="100" w:line="240" w:lineRule="auto"/>
    </w:pPr>
    <w:rPr>
      <w:rFonts w:ascii="Times New Roman" w:hAnsi="Times New Roman" w:eastAsia="宋体" w:cs="Times New Roman"/>
      <w:b/>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8 Cover Title"/>
    <w:basedOn w:val="1"/>
    <w:qFormat/>
    <w:uiPriority w:val="0"/>
    <w:pPr>
      <w:spacing w:after="360"/>
      <w:ind w:firstLine="0"/>
    </w:pPr>
    <w:rPr>
      <w:rFonts w:ascii="Times New Roman" w:hAnsi="Times New Roman" w:eastAsia="黑体" w:cs="Times New Roman"/>
      <w:b/>
      <w:color w:val="000000"/>
      <w:sz w:val="44"/>
    </w:rPr>
  </w:style>
  <w:style w:type="paragraph" w:customStyle="1" w:styleId="165">
    <w:name w:val="A8 Cover Subtitle"/>
    <w:basedOn w:val="1"/>
    <w:qFormat/>
    <w:uiPriority w:val="0"/>
    <w:pPr>
      <w:spacing w:after="720"/>
      <w:ind w:firstLine="0"/>
    </w:pPr>
    <w:rPr>
      <w:rFonts w:ascii="Times New Roman" w:hAnsi="Times New Roman" w:eastAsia="黑体" w:cs="Times New Roman"/>
      <w:b/>
      <w:color w:val="000000"/>
      <w:sz w:val="60"/>
    </w:rPr>
  </w:style>
  <w:style w:type="paragraph" w:customStyle="1" w:styleId="166">
    <w:name w:val="A8 Cover Meta"/>
    <w:basedOn w:val="1"/>
    <w:qFormat/>
    <w:uiPriority w:val="0"/>
    <w:pPr>
      <w:spacing w:after="160"/>
      <w:ind w:firstLine="0"/>
    </w:pPr>
    <w:rPr>
      <w:rFonts w:ascii="Times New Roman" w:hAnsi="Times New Roman" w:eastAsia="宋体" w:cs="Times New Roman"/>
      <w:color w:val="000000"/>
      <w:sz w:val="22"/>
    </w:rPr>
  </w:style>
  <w:style w:type="paragraph" w:customStyle="1" w:styleId="167">
    <w:name w:val="A8 TOC Heading"/>
    <w:basedOn w:val="1"/>
    <w:qFormat/>
    <w:uiPriority w:val="0"/>
    <w:pPr>
      <w:spacing w:after="280"/>
      <w:ind w:firstLine="0"/>
    </w:pPr>
    <w:rPr>
      <w:rFonts w:ascii="Times New Roman" w:hAnsi="Times New Roman" w:eastAsia="黑体" w:cs="Times New Roman"/>
      <w:b/>
      <w:color w:val="000000"/>
      <w:sz w:val="36"/>
    </w:rPr>
  </w:style>
  <w:style w:type="paragraph" w:customStyle="1" w:styleId="168">
    <w:name w:val="TOC 1"/>
    <w:basedOn w:val="1"/>
    <w:qFormat/>
    <w:uiPriority w:val="0"/>
    <w:pPr>
      <w:spacing w:after="80"/>
      <w:ind w:left="0" w:firstLine="0"/>
    </w:pPr>
    <w:rPr>
      <w:rFonts w:ascii="Times New Roman" w:hAnsi="Times New Roman" w:eastAsia="宋体" w:cs="Times New Roman"/>
      <w:b/>
      <w:color w:val="000000"/>
      <w:sz w:val="22"/>
    </w:rPr>
  </w:style>
  <w:style w:type="paragraph" w:customStyle="1" w:styleId="169">
    <w:name w:val="TOC 2"/>
    <w:basedOn w:val="1"/>
    <w:qFormat/>
    <w:uiPriority w:val="0"/>
    <w:pPr>
      <w:spacing w:after="40"/>
      <w:ind w:left="425" w:firstLine="0"/>
    </w:pPr>
    <w:rPr>
      <w:rFonts w:ascii="Times New Roman" w:hAnsi="Times New Roman" w:eastAsia="宋体" w:cs="Times New Roman"/>
      <w:color w:val="000000"/>
      <w:sz w:val="21"/>
    </w:rPr>
  </w:style>
  <w:style w:type="paragraph" w:customStyle="1" w:styleId="170">
    <w:name w:val="Cover Title"/>
    <w:qFormat/>
    <w:uiPriority w:val="0"/>
    <w:pPr>
      <w:spacing w:after="360" w:line="276" w:lineRule="auto"/>
      <w:ind w:firstLine="0"/>
      <w:jc w:val="center"/>
    </w:pPr>
    <w:rPr>
      <w:rFonts w:ascii="Times New Roman" w:hAnsi="Times New Roman" w:eastAsia="黑体" w:cs="Times New Roman"/>
      <w:b/>
      <w:color w:val="000000"/>
      <w:sz w:val="44"/>
      <w:szCs w:val="22"/>
      <w:lang w:val="en-US" w:eastAsia="en-US" w:bidi="ar-SA"/>
    </w:rPr>
  </w:style>
  <w:style w:type="paragraph" w:customStyle="1" w:styleId="171">
    <w:name w:val="Cover Subtitle"/>
    <w:qFormat/>
    <w:uiPriority w:val="0"/>
    <w:pPr>
      <w:spacing w:after="960" w:line="276" w:lineRule="auto"/>
      <w:ind w:firstLine="0"/>
      <w:jc w:val="center"/>
    </w:pPr>
    <w:rPr>
      <w:rFonts w:ascii="Times New Roman" w:hAnsi="Times New Roman" w:eastAsia="黑体" w:cs="Times New Roman"/>
      <w:b/>
      <w:color w:val="000000"/>
      <w:sz w:val="52"/>
      <w:szCs w:val="22"/>
      <w:lang w:val="en-US" w:eastAsia="en-US" w:bidi="ar-SA"/>
    </w:rPr>
  </w:style>
  <w:style w:type="paragraph" w:customStyle="1" w:styleId="172">
    <w:name w:val="Cover Metadata"/>
    <w:qFormat/>
    <w:uiPriority w:val="0"/>
    <w:pPr>
      <w:spacing w:after="200" w:line="432" w:lineRule="auto"/>
      <w:ind w:firstLine="0"/>
      <w:jc w:val="center"/>
    </w:pPr>
    <w:rPr>
      <w:rFonts w:ascii="Times New Roman" w:hAnsi="Times New Roman" w:eastAsia="宋体" w:cs="Times New Roman"/>
      <w:color w:val="000000"/>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ebp"/></Relationships>
</file>

<file path=word/_rels/header2.xml.rels><?xml version="1.0" encoding="UTF-8" standalone="yes"?>
<Relationships xmlns="http://schemas.openxmlformats.org/package/2006/relationships"><Relationship Id="rId1" Type="http://schemas.openxmlformats.org/officeDocument/2006/relationships/image" Target="media/image1.webp"/></Relationships>
</file>

<file path=word/_rels/header3.xml.rels><?xml version="1.0" encoding="UTF-8" standalone="yes"?>
<Relationships xmlns="http://schemas.openxmlformats.org/package/2006/relationships"><Relationship Id="rId1"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8723</Words>
  <Characters>13423</Characters>
  <Lines>0</Lines>
  <Paragraphs>0</Paragraphs>
  <TotalTime>0</TotalTime>
  <ScaleCrop>false</ScaleCrop>
  <LinksUpToDate>false</LinksUpToDate>
  <CharactersWithSpaces>13856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A8项目组</dc:creator>
  <dc:description>由六个已验证章节合并生成</dc:description>
  <cp:lastModifiedBy>Vincent</cp:lastModifiedBy>
  <dcterms:modified xsi:type="dcterms:W3CDTF">2026-07-17T18:04:15Z</dcterms:modified>
  <dc:subject>环境配置、场景复现、结果判读、接口说明与故障排查</dc:subject>
  <dc:title>A8四旋翼无人机位姿控制系统设计优化用户手册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eyJoZGlkIjoiZmE2ZTg4MGM4OGU3ZjQ0M2VlNDZjOWE0YWQ0YTMxNDQiLCJ1c2VySWQiOiIzODA0ODIzMjAifQ==</vt:lpwstr>
  </property>
  <property fmtid="{D5CDD505-2E9C-101B-9397-08002B2CF9AE}" pid="3" name="KSOProductBuildVer">
    <vt:lpwstr>2052-12.1.0.26895</vt:lpwstr>
  </property>
  <property fmtid="{D5CDD505-2E9C-101B-9397-08002B2CF9AE}" pid="4" name="ICV">
    <vt:lpwstr>F28BD7F3FB794BA792D5E7732DD71F55_12</vt:lpwstr>
  </property>
</Properties>
</file>