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E0085">
      <w:pPr>
        <w:pStyle w:val="172"/>
      </w:pPr>
      <w:r>
        <w:rPr>
          <w:rFonts w:hint="eastAsia"/>
        </w:rPr>
        <w:t>第十五届“中国软件杯”大学生软件设计大赛</w:t>
      </w:r>
    </w:p>
    <w:p w14:paraId="7276BE69">
      <w:pPr>
        <w:pStyle w:val="172"/>
        <w:rPr>
          <w:lang w:eastAsia="zh-CN"/>
        </w:rPr>
      </w:pPr>
      <w:r>
        <w:t>A8 四旋翼无人机位姿控制系统设计优化</w:t>
      </w:r>
    </w:p>
    <w:p w14:paraId="5073C904">
      <w:pPr>
        <w:pStyle w:val="172"/>
        <w:rPr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489710" cy="1489710"/>
            <wp:effectExtent l="0" t="0" r="15240" b="15240"/>
            <wp:docPr id="30" name="图片 30" descr="395265667d5f073599668e43faec55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395265667d5f073599668e43faec550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767F">
      <w:pPr>
        <w:pStyle w:val="172"/>
        <w:rPr>
          <w:rFonts w:hint="eastAsia" w:ascii="黑体" w:hAnsi="黑体" w:cs="黑体"/>
          <w:sz w:val="52"/>
          <w:szCs w:val="52"/>
          <w:lang w:eastAsia="zh-CN"/>
        </w:rPr>
      </w:pPr>
      <w:r>
        <w:rPr>
          <w:rFonts w:hint="eastAsia" w:ascii="黑体" w:hAnsi="黑体" w:cs="黑体"/>
          <w:sz w:val="52"/>
          <w:szCs w:val="52"/>
        </w:rPr>
        <w:t>驭穹稳控</w:t>
      </w:r>
      <w:r>
        <w:rPr>
          <w:rFonts w:hint="eastAsia" w:ascii="黑体" w:hAnsi="黑体" w:cs="黑体"/>
          <w:sz w:val="52"/>
          <w:szCs w:val="52"/>
          <w:lang w:eastAsia="zh-CN"/>
        </w:rPr>
        <w:t>——</w:t>
      </w:r>
    </w:p>
    <w:p w14:paraId="0B15AA06">
      <w:pPr>
        <w:pStyle w:val="172"/>
        <w:rPr>
          <w:rFonts w:hint="eastAsia" w:ascii="黑体" w:hAnsi="黑体" w:cs="黑体"/>
          <w:sz w:val="52"/>
          <w:szCs w:val="52"/>
        </w:rPr>
      </w:pPr>
      <w:r>
        <w:rPr>
          <w:rFonts w:hint="eastAsia" w:ascii="黑体" w:hAnsi="黑体" w:cs="黑体"/>
          <w:sz w:val="52"/>
          <w:szCs w:val="52"/>
        </w:rPr>
        <w:t>基于MWORKS的四旋翼鲁棒位姿控制与编队安全仿真系统</w:t>
      </w:r>
    </w:p>
    <w:p w14:paraId="59287162">
      <w:pPr>
        <w:pStyle w:val="173"/>
      </w:pPr>
      <w:r>
        <w:rPr>
          <w:rFonts w:hint="eastAsia"/>
        </w:rPr>
        <w:t>代码开发文档</w:t>
      </w:r>
    </w:p>
    <w:p w14:paraId="7F92A832">
      <w:pPr>
        <w:pStyle w:val="174"/>
        <w:rPr>
          <w:lang w:eastAsia="zh-CN"/>
        </w:rPr>
      </w:pPr>
      <w:r>
        <w:t>赛题组别：A组</w:t>
      </w:r>
      <w:r>
        <w:rPr>
          <w:rFonts w:hint="eastAsia"/>
          <w:lang w:eastAsia="zh-CN"/>
        </w:rPr>
        <w:t xml:space="preserve"> </w:t>
      </w:r>
    </w:p>
    <w:p w14:paraId="384B8013">
      <w:pPr>
        <w:pStyle w:val="174"/>
        <w:rPr>
          <w:lang w:eastAsia="zh-CN"/>
        </w:rPr>
      </w:pPr>
      <w:r>
        <w:t>参赛单位：</w:t>
      </w:r>
      <w:r>
        <w:rPr>
          <w:rFonts w:hint="eastAsia"/>
          <w:u w:val="single"/>
          <w:lang w:eastAsia="zh-CN"/>
        </w:rPr>
        <w:t xml:space="preserve">    西</w:t>
      </w:r>
      <w:r>
        <w:rPr>
          <w:rFonts w:hint="eastAsia"/>
          <w:u w:val="single"/>
        </w:rPr>
        <w:t>安交通大学</w:t>
      </w:r>
      <w:r>
        <w:rPr>
          <w:rFonts w:hint="eastAsia"/>
          <w:u w:val="single"/>
          <w:lang w:eastAsia="zh-CN"/>
        </w:rPr>
        <w:t xml:space="preserve">    </w:t>
      </w:r>
    </w:p>
    <w:p w14:paraId="437D20C2">
      <w:pPr>
        <w:pStyle w:val="174"/>
        <w:rPr>
          <w:lang w:eastAsia="zh-CN"/>
        </w:rPr>
      </w:pPr>
      <w:r>
        <w:t>团队名称：</w:t>
      </w:r>
      <w:r>
        <w:rPr>
          <w:rFonts w:hint="eastAsia"/>
          <w:u w:val="single"/>
          <w:lang w:eastAsia="zh-CN"/>
        </w:rPr>
        <w:t xml:space="preserve">    </w:t>
      </w:r>
      <w:r>
        <w:rPr>
          <w:rFonts w:hint="eastAsia"/>
          <w:u w:val="single"/>
        </w:rPr>
        <w:t>驭穹稳控团队</w:t>
      </w:r>
      <w:r>
        <w:rPr>
          <w:rFonts w:hint="eastAsia"/>
          <w:u w:val="single"/>
          <w:lang w:eastAsia="zh-CN"/>
        </w:rPr>
        <w:t xml:space="preserve">    </w:t>
      </w:r>
    </w:p>
    <w:p w14:paraId="325E93BC">
      <w:pPr>
        <w:pStyle w:val="174"/>
        <w:rPr>
          <w:lang w:eastAsia="zh-CN"/>
        </w:rPr>
      </w:pPr>
      <w:r>
        <w:rPr>
          <w:rFonts w:hint="eastAsia"/>
          <w:lang w:eastAsia="zh-CN"/>
        </w:rPr>
        <w:t>适用平台</w:t>
      </w:r>
      <w:r>
        <w:t>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u w:val="single"/>
          <w:lang w:eastAsia="zh-CN"/>
        </w:rPr>
        <w:t xml:space="preserve">   M</w:t>
      </w:r>
      <w:r>
        <w:rPr>
          <w:rFonts w:hint="eastAsia"/>
          <w:u w:val="single"/>
        </w:rPr>
        <w:t>WORKS 2026a</w:t>
      </w:r>
      <w:r>
        <w:rPr>
          <w:rFonts w:hint="eastAsia"/>
          <w:u w:val="single"/>
          <w:lang w:eastAsia="zh-CN"/>
        </w:rPr>
        <w:t xml:space="preserve">   </w:t>
      </w:r>
    </w:p>
    <w:p w14:paraId="7156644B">
      <w:pPr>
        <w:pStyle w:val="174"/>
      </w:pPr>
      <w:r>
        <w:t>日期：2026年8月</w:t>
      </w:r>
    </w:p>
    <w:p w14:paraId="1A5278A6">
      <w:pPr>
        <w:keepNext/>
        <w:pBdr>
          <w:bottom w:val="single" w:color="000000" w:sz="8" w:space="7"/>
        </w:pBdr>
        <w:spacing w:after="200"/>
        <w:ind w:left="340"/>
        <w:jc w:val="center"/>
      </w:pPr>
      <w:r>
        <w:rPr>
          <w:rFonts w:eastAsia="黑体"/>
          <w:b/>
          <w:sz w:val="32"/>
        </w:rPr>
        <w:t>目录</w:t>
      </w:r>
    </w:p>
    <w:p w14:paraId="68EB4541">
      <w:pPr>
        <w:pStyle w:val="170"/>
        <w:tabs>
          <w:tab w:val="right" w:pos="8856"/>
        </w:tabs>
      </w:pPr>
      <w:r>
        <w:rPr>
          <w:rFonts w:hint="eastAsia"/>
        </w:rPr>
        <w:t>第1章　文档说明与开发入口</w:t>
      </w:r>
      <w:r>
        <w:rPr>
          <w:rFonts w:hint="eastAsia"/>
        </w:rPr>
        <w:tab/>
      </w:r>
      <w:r>
        <w:rPr>
          <w:rFonts w:hint="eastAsia"/>
        </w:rPr>
        <w:t>3</w:t>
      </w:r>
    </w:p>
    <w:p w14:paraId="24CCBD5C">
      <w:pPr>
        <w:pStyle w:val="171"/>
        <w:tabs>
          <w:tab w:val="right" w:pos="8856"/>
        </w:tabs>
      </w:pPr>
      <w:r>
        <w:rPr>
          <w:rFonts w:hint="eastAsia"/>
        </w:rPr>
        <w:t>1.1　文档用途与要求对应</w:t>
      </w:r>
      <w:r>
        <w:rPr>
          <w:rFonts w:hint="eastAsia"/>
        </w:rPr>
        <w:tab/>
      </w:r>
      <w:r>
        <w:rPr>
          <w:rFonts w:hint="eastAsia"/>
        </w:rPr>
        <w:t>3</w:t>
      </w:r>
    </w:p>
    <w:p w14:paraId="5D8937BB">
      <w:pPr>
        <w:pStyle w:val="171"/>
        <w:tabs>
          <w:tab w:val="right" w:pos="8856"/>
        </w:tabs>
      </w:pPr>
      <w:r>
        <w:rPr>
          <w:rFonts w:hint="eastAsia"/>
        </w:rPr>
        <w:t>1.2　开发环境与阅读入口</w:t>
      </w:r>
      <w:r>
        <w:rPr>
          <w:rFonts w:hint="eastAsia"/>
        </w:rPr>
        <w:tab/>
      </w:r>
      <w:r>
        <w:rPr>
          <w:rFonts w:hint="eastAsia"/>
        </w:rPr>
        <w:t>3</w:t>
      </w:r>
    </w:p>
    <w:p w14:paraId="742BDB72">
      <w:pPr>
        <w:pStyle w:val="170"/>
        <w:tabs>
          <w:tab w:val="right" w:pos="8856"/>
        </w:tabs>
      </w:pPr>
      <w:r>
        <w:rPr>
          <w:rFonts w:hint="eastAsia"/>
        </w:rPr>
        <w:t>第2章　工程架构与运行流程</w:t>
      </w:r>
      <w:r>
        <w:rPr>
          <w:rFonts w:hint="eastAsia"/>
        </w:rPr>
        <w:tab/>
      </w:r>
      <w:r>
        <w:rPr>
          <w:rFonts w:hint="eastAsia"/>
        </w:rPr>
        <w:t>4</w:t>
      </w:r>
    </w:p>
    <w:p w14:paraId="518E8E70">
      <w:pPr>
        <w:pStyle w:val="171"/>
        <w:tabs>
          <w:tab w:val="right" w:pos="8856"/>
        </w:tabs>
      </w:pPr>
      <w:r>
        <w:rPr>
          <w:rFonts w:hint="eastAsia"/>
        </w:rPr>
        <w:t>2.1　模块结构与职责</w:t>
      </w:r>
      <w:r>
        <w:rPr>
          <w:rFonts w:hint="eastAsia"/>
        </w:rPr>
        <w:tab/>
      </w:r>
      <w:r>
        <w:rPr>
          <w:rFonts w:hint="eastAsia"/>
        </w:rPr>
        <w:t>4</w:t>
      </w:r>
    </w:p>
    <w:p w14:paraId="64FB396C">
      <w:pPr>
        <w:pStyle w:val="171"/>
        <w:tabs>
          <w:tab w:val="right" w:pos="8856"/>
        </w:tabs>
      </w:pPr>
      <w:r>
        <w:rPr>
          <w:rFonts w:hint="eastAsia"/>
        </w:rPr>
        <w:t>2.2　仿真与证据处理流程</w:t>
      </w:r>
      <w:r>
        <w:rPr>
          <w:rFonts w:hint="eastAsia"/>
        </w:rPr>
        <w:tab/>
      </w:r>
      <w:r>
        <w:rPr>
          <w:rFonts w:hint="eastAsia"/>
        </w:rPr>
        <w:t>5</w:t>
      </w:r>
    </w:p>
    <w:p w14:paraId="14D6E32A">
      <w:pPr>
        <w:pStyle w:val="170"/>
        <w:tabs>
          <w:tab w:val="right" w:pos="8856"/>
        </w:tabs>
      </w:pPr>
      <w:r>
        <w:rPr>
          <w:rFonts w:hint="eastAsia"/>
        </w:rPr>
        <w:t>第3章　核心控制模块与接口</w:t>
      </w:r>
      <w:r>
        <w:rPr>
          <w:rFonts w:hint="eastAsia"/>
        </w:rPr>
        <w:tab/>
      </w:r>
      <w:r>
        <w:rPr>
          <w:rFonts w:hint="eastAsia"/>
        </w:rPr>
        <w:t>5</w:t>
      </w:r>
    </w:p>
    <w:p w14:paraId="12D59090">
      <w:pPr>
        <w:pStyle w:val="171"/>
        <w:tabs>
          <w:tab w:val="right" w:pos="8856"/>
        </w:tabs>
      </w:pPr>
      <w:r>
        <w:rPr>
          <w:rFonts w:hint="eastAsia"/>
        </w:rPr>
        <w:t>3.1　控制器角色与模块关系</w:t>
      </w:r>
      <w:r>
        <w:rPr>
          <w:rFonts w:hint="eastAsia"/>
        </w:rPr>
        <w:tab/>
      </w:r>
      <w:r>
        <w:rPr>
          <w:rFonts w:hint="eastAsia"/>
        </w:rPr>
        <w:t>5</w:t>
      </w:r>
    </w:p>
    <w:p w14:paraId="261790AC">
      <w:pPr>
        <w:pStyle w:val="171"/>
        <w:tabs>
          <w:tab w:val="right" w:pos="8856"/>
        </w:tabs>
      </w:pPr>
      <w:r>
        <w:rPr>
          <w:rFonts w:hint="eastAsia"/>
        </w:rPr>
        <w:t>3.2　守卫补偿执行流程与安全旁路</w:t>
      </w:r>
      <w:r>
        <w:rPr>
          <w:rFonts w:hint="eastAsia"/>
        </w:rPr>
        <w:tab/>
      </w:r>
      <w:r>
        <w:rPr>
          <w:rFonts w:hint="eastAsia"/>
        </w:rPr>
        <w:t>6</w:t>
      </w:r>
    </w:p>
    <w:p w14:paraId="7115DE57">
      <w:pPr>
        <w:pStyle w:val="171"/>
        <w:tabs>
          <w:tab w:val="right" w:pos="8856"/>
        </w:tabs>
      </w:pPr>
      <w:r>
        <w:rPr>
          <w:rFonts w:hint="eastAsia"/>
        </w:rPr>
        <w:t>3.3　接口定义与算法替换说明</w:t>
      </w:r>
      <w:r>
        <w:rPr>
          <w:rFonts w:hint="eastAsia"/>
        </w:rPr>
        <w:tab/>
      </w:r>
      <w:r>
        <w:rPr>
          <w:rFonts w:hint="eastAsia"/>
        </w:rPr>
        <w:t>7</w:t>
      </w:r>
    </w:p>
    <w:p w14:paraId="6EFF90DC">
      <w:pPr>
        <w:pStyle w:val="170"/>
        <w:tabs>
          <w:tab w:val="right" w:pos="8856"/>
        </w:tabs>
      </w:pPr>
      <w:r>
        <w:rPr>
          <w:rFonts w:hint="eastAsia"/>
        </w:rPr>
        <w:t>第4章　扩展、验证与数据追溯</w:t>
      </w:r>
      <w:r>
        <w:rPr>
          <w:rFonts w:hint="eastAsia"/>
        </w:rPr>
        <w:tab/>
      </w:r>
      <w:r>
        <w:rPr>
          <w:rFonts w:hint="eastAsia"/>
        </w:rPr>
        <w:t>9</w:t>
      </w:r>
    </w:p>
    <w:p w14:paraId="5D653F6E">
      <w:pPr>
        <w:pStyle w:val="171"/>
        <w:tabs>
          <w:tab w:val="right" w:pos="8856"/>
        </w:tabs>
      </w:pPr>
      <w:r>
        <w:rPr>
          <w:rFonts w:hint="eastAsia"/>
        </w:rPr>
        <w:t>4.1　配置、场景与数据组织</w:t>
      </w:r>
      <w:r>
        <w:rPr>
          <w:rFonts w:hint="eastAsia"/>
        </w:rPr>
        <w:tab/>
      </w:r>
      <w:r>
        <w:rPr>
          <w:rFonts w:hint="eastAsia"/>
        </w:rPr>
        <w:t>9</w:t>
      </w:r>
    </w:p>
    <w:p w14:paraId="103F5460">
      <w:pPr>
        <w:pStyle w:val="171"/>
        <w:tabs>
          <w:tab w:val="right" w:pos="8856"/>
        </w:tabs>
      </w:pPr>
      <w:r>
        <w:rPr>
          <w:rFonts w:hint="eastAsia"/>
        </w:rPr>
        <w:t>4.2　算法替换与最小验证</w:t>
      </w:r>
      <w:r>
        <w:rPr>
          <w:rFonts w:hint="eastAsia"/>
        </w:rPr>
        <w:tab/>
      </w:r>
      <w:r>
        <w:rPr>
          <w:rFonts w:hint="eastAsia"/>
        </w:rPr>
        <w:t>10</w:t>
      </w:r>
    </w:p>
    <w:p w14:paraId="6894B28D">
      <w:pPr>
        <w:pStyle w:val="171"/>
        <w:tabs>
          <w:tab w:val="right" w:pos="8856"/>
        </w:tabs>
      </w:pPr>
      <w:r>
        <w:rPr>
          <w:rFonts w:hint="eastAsia"/>
        </w:rPr>
        <w:t>4.3　物理约束参数优化与最终定型</w:t>
      </w:r>
      <w:r>
        <w:rPr>
          <w:rFonts w:hint="eastAsia"/>
        </w:rPr>
        <w:tab/>
      </w:r>
      <w:r>
        <w:rPr>
          <w:rFonts w:hint="eastAsia"/>
        </w:rPr>
        <w:t>10</w:t>
      </w:r>
    </w:p>
    <w:p w14:paraId="2B92B699">
      <w:pPr>
        <w:pStyle w:val="171"/>
        <w:tabs>
          <w:tab w:val="right" w:pos="8856"/>
        </w:tabs>
      </w:pPr>
      <w:r>
        <w:rPr>
          <w:rFonts w:hint="eastAsia"/>
        </w:rPr>
        <w:t>4.4　分层验证与常见故障</w:t>
      </w:r>
      <w:r>
        <w:rPr>
          <w:rFonts w:hint="eastAsia"/>
        </w:rPr>
        <w:tab/>
      </w:r>
      <w:r>
        <w:rPr>
          <w:rFonts w:hint="eastAsia"/>
        </w:rPr>
        <w:t>11</w:t>
      </w:r>
    </w:p>
    <w:p w14:paraId="3673CA39">
      <w:pPr>
        <w:pStyle w:val="170"/>
        <w:tabs>
          <w:tab w:val="right" w:pos="8856"/>
        </w:tabs>
      </w:pPr>
      <w:r>
        <w:rPr>
          <w:rFonts w:hint="eastAsia"/>
        </w:rPr>
        <w:t>第5章　代码规范、来源与维护</w:t>
      </w:r>
      <w:r>
        <w:rPr>
          <w:rFonts w:hint="eastAsia"/>
        </w:rPr>
        <w:tab/>
      </w:r>
      <w:r>
        <w:rPr>
          <w:rFonts w:hint="eastAsia"/>
        </w:rPr>
        <w:t>14</w:t>
      </w:r>
    </w:p>
    <w:p w14:paraId="1321C0DB">
      <w:pPr>
        <w:pStyle w:val="171"/>
        <w:tabs>
          <w:tab w:val="right" w:pos="8856"/>
        </w:tabs>
      </w:pPr>
      <w:r>
        <w:rPr>
          <w:rFonts w:hint="eastAsia"/>
        </w:rPr>
        <w:t>5.1　可读性与来源说明</w:t>
      </w:r>
      <w:r>
        <w:rPr>
          <w:rFonts w:hint="eastAsia"/>
        </w:rPr>
        <w:tab/>
      </w:r>
      <w:r>
        <w:rPr>
          <w:rFonts w:hint="eastAsia"/>
        </w:rPr>
        <w:t>14</w:t>
      </w:r>
    </w:p>
    <w:p w14:paraId="10F0445D">
      <w:pPr>
        <w:pStyle w:val="171"/>
        <w:tabs>
          <w:tab w:val="right" w:pos="8856"/>
        </w:tabs>
      </w:pPr>
      <w:r>
        <w:rPr>
          <w:rFonts w:hint="eastAsia"/>
        </w:rPr>
        <w:t>5.2　变更控制</w:t>
      </w:r>
      <w:r>
        <w:rPr>
          <w:rFonts w:hint="eastAsia"/>
        </w:rPr>
        <w:tab/>
      </w:r>
      <w:r>
        <w:rPr>
          <w:rFonts w:hint="eastAsia"/>
        </w:rPr>
        <w:t>14</w:t>
      </w:r>
    </w:p>
    <w:p w14:paraId="6C7B5D1A">
      <w:pPr>
        <w:pStyle w:val="170"/>
        <w:tabs>
          <w:tab w:val="right" w:pos="8856"/>
        </w:tabs>
      </w:pPr>
      <w:r>
        <w:rPr>
          <w:rFonts w:hint="eastAsia"/>
        </w:rPr>
        <w:t>总结</w:t>
      </w:r>
      <w:r>
        <w:rPr>
          <w:rFonts w:hint="eastAsia"/>
        </w:rPr>
        <w:tab/>
      </w:r>
      <w:r>
        <w:rPr>
          <w:rFonts w:hint="eastAsia"/>
        </w:rPr>
        <w:t>15</w:t>
      </w:r>
    </w:p>
    <w:p w14:paraId="53AFACEC">
      <w:r>
        <w:br w:type="page"/>
      </w:r>
    </w:p>
    <w:p w14:paraId="1589CAF4">
      <w:pPr>
        <w:pStyle w:val="3"/>
      </w:pPr>
      <w:r>
        <w:rPr>
          <w:rFonts w:ascii="Times New Roman" w:hAnsi="Times New Roman" w:eastAsia="黑体"/>
        </w:rPr>
        <w:t>第1章  文档说明与开发入口</w:t>
      </w:r>
    </w:p>
    <w:p w14:paraId="623BB7B9">
      <w:pPr>
        <w:pStyle w:val="4"/>
      </w:pPr>
      <w:r>
        <w:rPr>
          <w:rFonts w:ascii="Times New Roman" w:hAnsi="Times New Roman" w:eastAsia="黑体"/>
        </w:rPr>
        <w:t>1.1  文档用途与要求对应</w:t>
      </w:r>
    </w:p>
    <w:p w14:paraId="2804202E">
      <w:pPr>
        <w:keepLines/>
        <w:ind w:firstLine="480"/>
      </w:pPr>
      <w:r>
        <w:t>本文面向开发者和维护者，说明工程入口、模块职责、接口、验证和来源。算法原理与完整性能见仿真分析报告，安装与操作见用户手册，README提供快速入口。</w:t>
      </w:r>
    </w:p>
    <w:p w14:paraId="415354BC">
      <w:pPr>
        <w:keepLines/>
        <w:ind w:firstLine="480"/>
      </w:pPr>
      <w:r>
        <w:t>当前主算法为角残差驱动守卫型鲁棒几何位姿控制（Angular-Residual-Driven Guarded Robust Geometric Pose Control，ARDG-RGPC）。它增加角残差判别、渐变介入、受限补偿和安全旁路，最终参数由物理约束多目标优化确定。</w:t>
      </w:r>
    </w:p>
    <w:p w14:paraId="34E689D6">
      <w:pPr>
        <w:keepLines/>
        <w:ind w:firstLine="480"/>
      </w:pPr>
      <w:r>
        <w:t>ARDG-RGPC控制位置以及滚转、俯仰约化姿态，不持续跟踪独立偏航参考。预测式成对投影控制障碍函数安全监督器（Predictive Pairwise-Projection Control Barrier Function Safety Supervisor，PP-CBF）是三机编队的独立上层安全监督器，不属于低层主算法；编队结果来自最终ARDG-RGPC运行。</w:t>
      </w:r>
    </w:p>
    <w:p w14:paraId="0B42B2E8">
      <w:pPr>
        <w:keepLines/>
        <w:ind w:firstLine="480"/>
      </w:pPr>
      <w:r>
        <w:rPr>
          <w:rFonts w:hint="eastAsia"/>
        </w:rPr>
        <w:t>项目团队开发的源码、脚本和开发资料已在GitHub开源：https://github.com/Jerrysonny/yuqiong-robust-pose-control-quadrotor-formation；仓库根目录README提供工程入口与目录说明。</w:t>
      </w:r>
    </w:p>
    <w:p w14:paraId="18D631CB">
      <w:pPr>
        <w:pStyle w:val="4"/>
      </w:pPr>
      <w:r>
        <w:rPr>
          <w:rFonts w:ascii="Times New Roman" w:hAnsi="Times New Roman" w:eastAsia="黑体"/>
        </w:rPr>
        <w:t>1.2  开发环境与阅读入口</w:t>
      </w:r>
    </w:p>
    <w:p w14:paraId="6C410578">
      <w:pPr>
        <w:keepLines/>
        <w:ind w:firstLine="480"/>
      </w:pPr>
      <w:r>
        <w:t>工程使用MWORKS Sysplorer 2026a、Sysblock、Syslab 2026a、julia-ty、Windows PowerShell和MWORKS Python。MWORKS运行时需单独安装；仿真连接已有Sysplorer实例，结果写入用户指定目录。主要入口见表1-1。</w:t>
      </w:r>
    </w:p>
    <w:p w14:paraId="157BCCCD">
      <w:pPr>
        <w:pStyle w:val="15"/>
        <w:keepNext/>
        <w:keepLines/>
      </w:pPr>
      <w:r>
        <w:t>表1-1  开发环境、入口与职责</w:t>
      </w:r>
    </w:p>
    <w:tbl>
      <w:tblPr>
        <w:tblStyle w:val="35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536"/>
        <w:gridCol w:w="2952"/>
      </w:tblGrid>
      <w:tr w14:paraId="1C98E573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color="202020" w:sz="10" w:space="0"/>
              <w:left w:val="nil"/>
              <w:bottom w:val="single" w:color="20202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6C7FDB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黑体"/>
                <w:b/>
                <w:sz w:val="18"/>
                <w:szCs w:val="18"/>
              </w:rPr>
              <w:t>对象或入口</w:t>
            </w:r>
          </w:p>
        </w:tc>
        <w:tc>
          <w:tcPr>
            <w:tcW w:w="4536" w:type="dxa"/>
            <w:tcBorders>
              <w:top w:val="single" w:color="202020" w:sz="10" w:space="0"/>
              <w:left w:val="nil"/>
              <w:bottom w:val="single" w:color="20202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71D4E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黑体"/>
                <w:b/>
                <w:sz w:val="18"/>
                <w:szCs w:val="18"/>
              </w:rPr>
              <w:t>主要职责</w:t>
            </w:r>
          </w:p>
        </w:tc>
        <w:tc>
          <w:tcPr>
            <w:tcW w:w="2952" w:type="dxa"/>
            <w:tcBorders>
              <w:top w:val="single" w:color="202020" w:sz="10" w:space="0"/>
              <w:left w:val="nil"/>
              <w:bottom w:val="single" w:color="202020" w:sz="6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2057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rFonts w:eastAsia="黑体"/>
                <w:b/>
                <w:sz w:val="18"/>
                <w:szCs w:val="18"/>
              </w:rPr>
              <w:t>开发提示</w:t>
            </w:r>
          </w:p>
        </w:tc>
      </w:tr>
      <w:tr w14:paraId="17AE5DA6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7353C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MWORKS平台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20B14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Sysplorer运行模型，Sysblock实现控制器，Syslab计算指标。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5FAE4B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使用2026a；运行时单独安装。</w:t>
            </w:r>
          </w:p>
        </w:tc>
      </w:tr>
      <w:tr w14:paraId="0D3F0436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4B5A1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README与项目总览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CBBAFC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说明目录、加载顺序和入口。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129D7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先读README.md和00_START_HERE。</w:t>
            </w:r>
          </w:p>
        </w:tc>
      </w:tr>
      <w:tr w14:paraId="628C30A7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13CB2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算法与场景登记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25187">
            <w:pPr>
              <w:spacing w:before="30" w:after="3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/>
                <w:color w:val="202020"/>
                <w:sz w:val="18"/>
                <w:szCs w:val="18"/>
              </w:rPr>
              <w:t>ALGORITHM_IDENTITY.json登记ARDG-RGPC，SCENE_INDEX.csv登记场景。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8E9237">
            <w:pPr>
              <w:spacing w:before="30" w:after="3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/>
                <w:color w:val="202020"/>
                <w:sz w:val="18"/>
                <w:szCs w:val="18"/>
              </w:rPr>
              <w:t>运行前核对算法、模型和场景。</w:t>
            </w:r>
          </w:p>
        </w:tc>
      </w:tr>
      <w:tr w14:paraId="6D4A4C68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336D6E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只读验证入口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F9EAF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RUN_QUICK_VERIFY.ps1检查目录、登记和结果文件。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B866BD">
            <w:pPr>
              <w:spacing w:before="30" w:after="3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不启动仿真，不调用Syslab或julia-ty。</w:t>
            </w:r>
          </w:p>
        </w:tc>
      </w:tr>
      <w:tr w14:paraId="6C7FACAE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nil"/>
              <w:left w:val="nil"/>
              <w:bottom w:val="single" w:color="202020" w:sz="10" w:space="0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62136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RUN_ALL.ps1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20202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8F9710">
            <w:pPr>
              <w:spacing w:before="30" w:after="3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/>
                <w:color w:val="202020"/>
                <w:sz w:val="18"/>
                <w:szCs w:val="18"/>
              </w:rPr>
              <w:t>选择场景，调用仿真并输出结果。</w:t>
            </w:r>
          </w:p>
        </w:tc>
        <w:tc>
          <w:tcPr>
            <w:tcW w:w="2952" w:type="dxa"/>
            <w:tcBorders>
              <w:top w:val="nil"/>
              <w:left w:val="nil"/>
              <w:bottom w:val="single" w:color="202020" w:sz="10" w:space="0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A2F437">
            <w:pPr>
              <w:spacing w:before="30" w:after="3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宋体" w:hAnsi="宋体"/>
                <w:color w:val="202020"/>
                <w:sz w:val="18"/>
                <w:szCs w:val="18"/>
              </w:rPr>
              <w:t>入口变化后复核模型、参数和字段。</w:t>
            </w:r>
          </w:p>
        </w:tc>
      </w:tr>
    </w:tbl>
    <w:p w14:paraId="79109315"/>
    <w:p w14:paraId="0BE780D9">
      <w:pPr>
        <w:keepLines/>
        <w:ind w:firstLine="480"/>
      </w:pPr>
      <w:r>
        <w:t>建议依次阅读README、主算法登记、算法注册表、场景索引和运行入口，再查看模型、脚本、结果及来源资料。</w:t>
      </w:r>
    </w:p>
    <w:p w14:paraId="4B46ADD1">
      <w:pPr>
        <w:pStyle w:val="3"/>
      </w:pPr>
      <w:r>
        <w:rPr>
          <w:rFonts w:ascii="Times New Roman" w:hAnsi="Times New Roman" w:eastAsia="黑体"/>
        </w:rPr>
        <w:t>第2章  工程架构与运行流程</w:t>
      </w:r>
    </w:p>
    <w:p w14:paraId="71871279">
      <w:pPr>
        <w:keepLines/>
        <w:ind w:firstLine="480"/>
      </w:pPr>
      <w:r>
        <w:t>工程材料包包含平台入口、控制模型、场景、比较算法、PP-CBF、ARDG-RGPC参数和验证结果。先在README、MAIN_ALGORITHM.json和00_START_HERE/ALGORITHM_IDENTITY.json确认主控制器，再查看对应模型、场景和结果。</w:t>
      </w:r>
    </w:p>
    <w:p w14:paraId="65DCAD35">
      <w:pPr>
        <w:pStyle w:val="4"/>
      </w:pPr>
      <w:r>
        <w:rPr>
          <w:rFonts w:ascii="Times New Roman" w:hAnsi="Times New Roman" w:eastAsia="黑体"/>
        </w:rPr>
        <w:t>2.1  模块结构与职责</w:t>
      </w:r>
    </w:p>
    <w:p w14:paraId="5DEDB0D4">
      <w:pPr>
        <w:pStyle w:val="15"/>
        <w:keepNext/>
        <w:keepLines/>
      </w:pPr>
      <w:r>
        <w:t>表2-1  核心模块、入口与修改原则</w:t>
      </w:r>
    </w:p>
    <w:tbl>
      <w:tblPr>
        <w:tblStyle w:val="35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3168"/>
        <w:gridCol w:w="3384"/>
        <w:gridCol w:w="1512"/>
      </w:tblGrid>
      <w:tr w14:paraId="0E89659E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2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5A869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rFonts w:eastAsia="黑体"/>
                <w:b w:val="0"/>
                <w:sz w:val="18"/>
                <w:szCs w:val="18"/>
              </w:rPr>
              <w:t>模块</w:t>
            </w:r>
          </w:p>
        </w:tc>
        <w:tc>
          <w:tcPr>
            <w:tcW w:w="316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A6D22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rFonts w:eastAsia="黑体"/>
                <w:b w:val="0"/>
                <w:sz w:val="18"/>
                <w:szCs w:val="18"/>
              </w:rPr>
              <w:t>主要位置</w:t>
            </w:r>
          </w:p>
        </w:tc>
        <w:tc>
          <w:tcPr>
            <w:tcW w:w="33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79728A">
            <w:pPr>
              <w:spacing w:line="240" w:lineRule="auto"/>
              <w:jc w:val="center"/>
              <w:rPr>
                <w:rFonts w:eastAsia="黑体"/>
                <w:b w:val="0"/>
                <w:sz w:val="18"/>
                <w:szCs w:val="18"/>
                <w:lang w:eastAsia="zh-CN"/>
              </w:rPr>
            </w:pPr>
            <w:r>
              <w:rPr>
                <w:rFonts w:eastAsia="黑体"/>
                <w:b w:val="0"/>
                <w:sz w:val="18"/>
                <w:szCs w:val="18"/>
              </w:rPr>
              <w:t>核心</w:t>
            </w:r>
            <w:r>
              <w:rPr>
                <w:rFonts w:hint="eastAsia" w:eastAsia="黑体"/>
                <w:b w:val="0"/>
                <w:sz w:val="18"/>
                <w:szCs w:val="18"/>
                <w:lang w:eastAsia="zh-CN"/>
              </w:rPr>
              <w:t>功能</w:t>
            </w:r>
          </w:p>
        </w:tc>
        <w:tc>
          <w:tcPr>
            <w:tcW w:w="151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C0A07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rFonts w:eastAsia="黑体"/>
                <w:b w:val="0"/>
                <w:sz w:val="18"/>
                <w:szCs w:val="18"/>
              </w:rPr>
              <w:t>修改原则</w:t>
            </w:r>
          </w:p>
        </w:tc>
      </w:tr>
      <w:tr w14:paraId="2E19EB25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C2548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项目入口与登记</w:t>
            </w:r>
          </w:p>
        </w:tc>
        <w:tc>
          <w:tcPr>
            <w:tcW w:w="316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FF0E8E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README.md、00_START_HERE、MAIN_ALGORITHM.json</w:t>
            </w:r>
          </w:p>
        </w:tc>
        <w:tc>
          <w:tcPr>
            <w:tcW w:w="33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E176F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说明目录、主算法和场景。</w:t>
            </w:r>
          </w:p>
        </w:tc>
        <w:tc>
          <w:tcPr>
            <w:tcW w:w="151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35B97E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集中更新</w:t>
            </w:r>
          </w:p>
        </w:tc>
      </w:tr>
      <w:tr w14:paraId="5A9FEE2E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EB226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模型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52F20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01_models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DB7DD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保存物理模型、控制器、场景包装和PP-CBF。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37FEF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在副本中修改</w:t>
            </w:r>
          </w:p>
        </w:tc>
      </w:tr>
      <w:tr w14:paraId="4F3FA0C8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814C4D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脚本与运行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90DE6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02_scripts、RUN_ALL.ps1、RUN_QUICK_VERIFY.ps1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707ED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运行仿真、计算指标并检查材料。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77BAA2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修改后验证</w:t>
            </w:r>
          </w:p>
        </w:tc>
      </w:tr>
      <w:tr w14:paraId="5063E83A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0800E1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结果与图件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6AAFA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04_results、05_visuals、06_supplementary_evidence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AA2099">
            <w:pPr>
              <w:spacing w:before="30" w:after="30"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保存raw、结构化结果和正式图件。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15704">
            <w:pPr>
              <w:spacing w:before="30" w:after="30"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按索引核对</w:t>
            </w:r>
          </w:p>
        </w:tc>
      </w:tr>
      <w:tr w14:paraId="5B897FF7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D0E69E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来源与审计</w:t>
            </w:r>
          </w:p>
        </w:tc>
        <w:tc>
          <w:tcPr>
            <w:tcW w:w="31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2C044E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08_provenance、02_scripts/audit</w:t>
            </w:r>
          </w:p>
        </w:tc>
        <w:tc>
          <w:tcPr>
            <w:tcW w:w="33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ADF40F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登记来源、依赖和材料一致性。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8C77A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统一维护</w:t>
            </w:r>
          </w:p>
        </w:tc>
      </w:tr>
    </w:tbl>
    <w:p w14:paraId="44FF0F1B"/>
    <w:p w14:paraId="07F359A0">
      <w:pPr>
        <w:keepLines/>
        <w:ind w:firstLine="480"/>
      </w:pPr>
      <w:r>
        <w:t>表2-1按开发任务归纳主要模块。模型、脚本、运行入口和登记文件可在副本中修改；结果、图件及来源资料统一维护。</w:t>
      </w:r>
    </w:p>
    <w:p w14:paraId="1DC2084C">
      <w:pPr>
        <w:pStyle w:val="4"/>
        <w:rPr>
          <w:rFonts w:ascii="Times New Roman" w:hAnsi="Times New Roman" w:eastAsia="宋体"/>
        </w:rPr>
      </w:pPr>
      <w:r>
        <w:rPr>
          <w:rFonts w:ascii="Times New Roman" w:hAnsi="Times New Roman" w:eastAsia="黑体"/>
        </w:rPr>
        <w:t>2.2  仿真与证据处理流程</w:t>
      </w:r>
    </w:p>
    <w:p w14:paraId="37C515CA">
      <w:pPr>
        <w:keepNext/>
        <w:spacing w:before="40"/>
        <w:ind w:firstLine="720"/>
      </w:pPr>
      <w:r>
        <w:rPr>
          <w:rFonts w:hint="eastAsia"/>
        </w:rPr>
        <w:t>如图2-1所示，RUN_ALL.ps1读取主算法登记和场景索引，完成预检后调用Python运行器。运行器连接已有Sysplorer实例，加载模型并输出raw；Syslab或Python随后计算指标、汇总结果并生成图件。</w:t>
      </w:r>
    </w:p>
    <w:p w14:paraId="1EE1B97B">
      <w:pPr>
        <w:keepNext/>
        <w:jc w:val="center"/>
      </w:pPr>
      <w:r>
        <w:drawing>
          <wp:inline distT="0" distB="0" distL="0" distR="0">
            <wp:extent cx="5760720" cy="2592070"/>
            <wp:effectExtent l="0" t="0" r="0" b="0"/>
            <wp:docPr id="1190509058" name="Picture 1190509058" descr="工程模块与运行流程：从项目说明和场景登记，经RUN_ALL.ps1、Python运行器和模型仿真生成raw，再计算指标并形成正式图件；RUN_QUICK_VERIFY.ps1只做只读检查。" title="图2-1  工程模块与运行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09058" name="Picture 1190509058" descr="工程模块与运行流程：从项目说明和场景登记，经RUN_ALL.ps1、Python运行器和模型仿真生成raw，再计算指标并形成正式图件；RUN_QUICK_VERIFY.ps1只做只读检查。" title="图2-1  工程模块与运行流程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6804">
      <w:pPr>
        <w:pStyle w:val="15"/>
        <w:keepNext/>
        <w:keepLines/>
      </w:pPr>
      <w:r>
        <w:t>图2-1  工程模块与运行流程</w:t>
      </w:r>
    </w:p>
    <w:p w14:paraId="02C45479">
      <w:pPr>
        <w:pStyle w:val="168"/>
        <w:keepLines/>
      </w:pPr>
      <w:r>
        <w:t>资料来源：根据README、MAIN_ALGORITHM.json、SCENE_INDEX.csv、RUN_ALL.ps1和RUN_QUICK_VERIFY.ps1整理。</w:t>
      </w:r>
    </w:p>
    <w:p w14:paraId="40E95277">
      <w:pPr>
        <w:keepLines/>
        <w:ind w:firstLine="480"/>
      </w:pPr>
      <w:r>
        <w:rPr>
          <w:rFonts w:hint="eastAsia"/>
        </w:rPr>
        <w:t>RUN_QUICK_VERIFY.ps1只检查目录、登记和结果文件，不启动仿真，也不调用Syslab或julia-ty。重新仿真时使用RUN_ALL.ps1，并明确选择场景和结果目录。</w:t>
      </w:r>
    </w:p>
    <w:p w14:paraId="520D7506">
      <w:pPr>
        <w:keepLines/>
        <w:ind w:firstLine="480"/>
      </w:pPr>
    </w:p>
    <w:p w14:paraId="694F5732">
      <w:pPr>
        <w:pStyle w:val="3"/>
        <w:spacing w:before="0" w:after="0" w:line="360" w:lineRule="auto"/>
        <w:ind w:firstLine="480"/>
      </w:pPr>
      <w:r>
        <w:rPr>
          <w:rFonts w:ascii="Times New Roman" w:hAnsi="Times New Roman" w:eastAsia="黑体"/>
        </w:rPr>
        <w:t>第3章  核心控制模块与接口</w:t>
      </w:r>
    </w:p>
    <w:p w14:paraId="23D10836">
      <w:pPr>
        <w:ind w:firstLine="480"/>
      </w:pPr>
      <w:r>
        <w:t>本章说明ARDG-RGPC与PP-CBF的职责、接口和替换要求。算法曲线及完整实验分析见仿真分析报告。</w:t>
      </w:r>
    </w:p>
    <w:p w14:paraId="2534BA70">
      <w:pPr>
        <w:pStyle w:val="4"/>
      </w:pPr>
      <w:r>
        <w:rPr>
          <w:rFonts w:ascii="Times New Roman" w:hAnsi="Times New Roman" w:eastAsia="黑体"/>
        </w:rPr>
        <w:t>3.1  控制器角色与模块关系</w:t>
      </w:r>
    </w:p>
    <w:p w14:paraId="72E124B7">
      <w:pPr>
        <w:ind w:firstLine="480"/>
      </w:pPr>
      <w:r>
        <w:t>ARDG-RGPC以0.01 s周期完成参考解析、位置与约化姿态控制、推力尺度估计、守卫补偿、约束分配和诊断输出。主算法以MAIN_ALGORITHM.json和00_START_HERE/ALGORITHM_IDENTITY.json为准；部分模型文件名因工程连接保持不变。</w:t>
      </w:r>
    </w:p>
    <w:p w14:paraId="424A6C01">
      <w:pPr>
        <w:ind w:firstLine="480"/>
      </w:pPr>
      <w:r>
        <w:t>工程保留四种低层比较控制器：官方级联PID、基础几何控制、CAP-ADRC和CP-INDI。它们用于统一接口比较，不属于ARDG-RGPC。</w:t>
      </w:r>
    </w:p>
    <w:p w14:paraId="3C1E2F04">
      <w:pPr>
        <w:ind w:firstLine="480"/>
      </w:pPr>
      <w:r>
        <w:t>PP-CBF位于三机编队参考层，按需修正上层参考，并通过接口连接低层控制器。二者可独立修改和验证；工程材料包保存最终ARDG-RGPC的三项编队结果。</w:t>
      </w:r>
    </w:p>
    <w:p w14:paraId="6CFE7F52">
      <w:pPr>
        <w:keepNext/>
        <w:spacing w:before="60" w:after="60"/>
        <w:jc w:val="center"/>
      </w:pPr>
      <w:r>
        <w:drawing>
          <wp:inline distT="0" distB="0" distL="0" distR="0">
            <wp:extent cx="5623560" cy="2578735"/>
            <wp:effectExtent l="0" t="0" r="0" b="0"/>
            <wp:docPr id="1190509053" name="Picture 1190509053" descr="ARDG-RGPC基础控制、角残差补偿、约束分配和安全旁路的连接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09053" name="Picture 1190509053" descr="ARDG-RGPC基础控制、角残差补偿、约束分配和安全旁路的连接关系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7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68F1">
      <w:pPr>
        <w:pStyle w:val="15"/>
        <w:keepNext/>
      </w:pPr>
      <w:r>
        <w:t>图3-1  ARDG-RGPC控制主链、角残差补偿支链与安全旁路</w:t>
      </w:r>
    </w:p>
    <w:p w14:paraId="6C31E500">
      <w:pPr>
        <w:pStyle w:val="168"/>
      </w:pPr>
      <w:r>
        <w:t>资料来源：正式仿真报告图3-1及ARDG-RGPC控制器模型。</w:t>
      </w:r>
    </w:p>
    <w:p w14:paraId="512B3027">
      <w:pPr>
        <w:ind w:firstLine="480"/>
      </w:pPr>
      <w:r>
        <w:t>图3-1中，基础几何控制、守卫补偿和约束分配依次执行。安全旁路只退出补偿支路；PP-CBF仅通过上层参考接口连接。</w:t>
      </w:r>
    </w:p>
    <w:p w14:paraId="00E32B74">
      <w:pPr>
        <w:pStyle w:val="4"/>
      </w:pPr>
      <w:r>
        <w:t>3.2  守卫补偿执行流程与安全旁路</w:t>
      </w:r>
    </w:p>
    <w:p w14:paraId="2606A81B">
      <w:r>
        <w:t>守卫模块增加四路转子转速、启用信号和仿真时间输入。它由转速重构实际滚转/俯仰力矩，结合角速度、角加速度和指令计算角残差；平移残差与通道判别用于避免质心外力误触发。图3-2给出判别、补偿和旁路流程。</w:t>
      </w:r>
    </w:p>
    <w:p w14:paraId="686BD8AB">
      <w:pPr>
        <w:keepNext/>
        <w:spacing w:before="60" w:after="60"/>
        <w:jc w:val="center"/>
      </w:pPr>
      <w:r>
        <w:drawing>
          <wp:inline distT="0" distB="0" distL="0" distR="0">
            <wp:extent cx="5623560" cy="2501900"/>
            <wp:effectExtent l="0" t="0" r="0" b="0"/>
            <wp:docPr id="1190509054" name="Picture 1190509054" descr="由转子转速重构力矩，经角残差判别、守卫和限幅形成受限补偿的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09054" name="Picture 1190509054" descr="由转子转速重构力矩，经角残差判别、守卫和限幅形成受限补偿的流程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0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FAB1">
      <w:pPr>
        <w:pStyle w:val="15"/>
        <w:keepNext/>
      </w:pPr>
      <w:r>
        <w:t>图3-2  角残差判别、守卫与受限补偿流程</w:t>
      </w:r>
    </w:p>
    <w:p w14:paraId="72951CEF">
      <w:pPr>
        <w:pStyle w:val="168"/>
      </w:pPr>
      <w:r>
        <w:t>资料来源：正式仿真报告附录图C-1及ARDG-RGPC模型中的力矩重构、残差判别、滞回、限幅和安全旁路连接。</w:t>
      </w:r>
    </w:p>
    <w:p w14:paraId="5D83E559">
      <w:r>
        <w:t>进入与退出分别持续0.05 s和0.10 s，并采用不同阈值。激活后按每采样0.1渐变介入，补偿依次受Cmax幅值和Rmax变化率限制。非有限值、时间异常、分配剪裁或不可行分配会立即旁路补偿，基础控制继续工作。最终参数为Kc=0.89894、Cmax=3.2953×10⁻⁴ N·m、Rmax=4.1958×10⁻⁵ N·m/采样。</w:t>
      </w:r>
    </w:p>
    <w:p w14:paraId="28027029">
      <w:r>
        <w:t>下列伪代码概括最终模型的执行顺序；具体阈值和连接以正式模型为准。</w:t>
      </w:r>
    </w:p>
    <w:p w14:paraId="00958CCC">
      <w:pPr>
        <w:pStyle w:val="175"/>
        <w:pBdr>
          <w:top w:val="single" w:color="D5DCDA" w:sz="4" w:space="4"/>
          <w:left w:val="single" w:color="D5DCDA" w:sz="4" w:space="4"/>
          <w:bottom w:val="single" w:color="D5DCDA" w:sz="4" w:space="4"/>
          <w:right w:val="single" w:color="D5DCDA" w:sz="4" w:space="4"/>
        </w:pBdr>
        <w:shd w:val="clear" w:color="auto" w:fill="F4F6F5"/>
      </w:pPr>
      <w:r>
        <w:t>for each 0.01 s sample:</w:t>
      </w:r>
      <w:r>
        <w:br w:type="textWrapping"/>
      </w:r>
      <w:r>
        <w:t xml:space="preserve">    parse reference, state and allocation limits</w:t>
      </w:r>
      <w:r>
        <w:br w:type="textWrapping"/>
      </w:r>
      <w:r>
        <w:t xml:space="preserve">    compute base force, reduced-attitude torque and thrust-scale estimate</w:t>
      </w:r>
      <w:r>
        <w:br w:type="textWrapping"/>
      </w:r>
      <w:r>
        <w:t xml:space="preserve">    reconstruct roll/pitch torque from four rotor speeds</w:t>
      </w:r>
      <w:r>
        <w:br w:type="textWrapping"/>
      </w:r>
      <w:r>
        <w:t xml:space="preserve">    estimate angular residual and translation score</w:t>
      </w:r>
      <w:r>
        <w:br w:type="textWrapping"/>
      </w:r>
      <w:r>
        <w:t xml:space="preserve">    safety_ok = finite and time_valid and not clipped and allocation_feasible</w:t>
      </w:r>
      <w:r>
        <w:br w:type="textWrapping"/>
      </w:r>
      <w:r>
        <w:t xml:space="preserve">    update channel evidence, hysteresis timers and active flag</w:t>
      </w:r>
      <w:r>
        <w:br w:type="textWrapping"/>
      </w:r>
      <w:r>
        <w:t xml:space="preserve">    if guard_enable and safety_ok and active:</w:t>
      </w:r>
      <w:r>
        <w:br w:type="textWrapping"/>
      </w:r>
      <w:r>
        <w:t xml:space="preserve">        target = saturate(-Kc * channel * residual, Cmax)</w:t>
      </w:r>
      <w:r>
        <w:br w:type="textWrapping"/>
      </w:r>
      <w:r>
        <w:t xml:space="preserve">        correction = rate_limit(target, Rmax) * blend</w:t>
      </w:r>
      <w:r>
        <w:br w:type="textWrapping"/>
      </w:r>
      <w:r>
        <w:t xml:space="preserve">    else:</w:t>
      </w:r>
      <w:r>
        <w:br w:type="textWrapping"/>
      </w:r>
      <w:r>
        <w:t xml:space="preserve">        correction = 0</w:t>
      </w:r>
      <w:r>
        <w:br w:type="textWrapping"/>
      </w:r>
      <w:r>
        <w:t xml:space="preserve">    add bounded roll/pitch correction and solve constrained allocation</w:t>
      </w:r>
    </w:p>
    <w:p w14:paraId="04470E8F">
      <w:pPr>
        <w:pStyle w:val="4"/>
      </w:pPr>
      <w:r>
        <w:t>3.3  接口定义与算法替换说明</w:t>
      </w:r>
    </w:p>
    <w:p w14:paraId="35062A04">
      <w:pPr>
        <w:ind w:firstLine="480"/>
      </w:pPr>
      <w:r>
        <w:t>ARDG-RGPC与PP-CBF均以0.01 s运行。向量维度、分量顺序、坐标系和电机旋向必须一致；修改控制律时，还需检查模型连接、诊断字段、参数保护和验证脚本。主要接口见表3-1。</w:t>
      </w:r>
    </w:p>
    <w:p w14:paraId="4886A4EA">
      <w:pPr>
        <w:pStyle w:val="15"/>
        <w:keepNext/>
        <w:pageBreakBefore/>
      </w:pPr>
      <w:r>
        <w:t>表3-1  核心模块接口及使用要求</w:t>
      </w:r>
    </w:p>
    <w:tbl>
      <w:tblPr>
        <w:tblStyle w:val="34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080"/>
        <w:gridCol w:w="4104"/>
        <w:gridCol w:w="2376"/>
      </w:tblGrid>
      <w:tr w14:paraId="407C0FB7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718E2B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模块</w:t>
            </w:r>
          </w:p>
        </w:tc>
        <w:tc>
          <w:tcPr>
            <w:tcW w:w="108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7F205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维度</w:t>
            </w:r>
          </w:p>
        </w:tc>
        <w:tc>
          <w:tcPr>
            <w:tcW w:w="41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C80F5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分量顺序</w:t>
            </w:r>
          </w:p>
        </w:tc>
        <w:tc>
          <w:tcPr>
            <w:tcW w:w="237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AC1A5D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单位与说明</w:t>
            </w:r>
          </w:p>
        </w:tc>
      </w:tr>
      <w:tr w14:paraId="2719EAD9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73C694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ARDG-RGPC / 基础输入</w:t>
            </w:r>
          </w:p>
        </w:tc>
        <w:tc>
          <w:tcPr>
            <w:tcW w:w="10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961992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11 + 18 + 2</w:t>
            </w:r>
          </w:p>
        </w:tc>
        <w:tc>
          <w:tcPr>
            <w:tcW w:w="41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5FCEFB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reference：位置(3)、速度(3)、加速度(3)、预留偏航量(2)；state：位置(3)、速度(3)、旋转矩阵(9)、机体系角速度(3)；allocator_limit：qmin、qmax</w:t>
            </w:r>
          </w:p>
        </w:tc>
        <w:tc>
          <w:tcPr>
            <w:tcW w:w="237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943DF6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位置m；速度m/s；加速度m/s²；角度rad；q为电机幅值平方限制</w:t>
            </w:r>
          </w:p>
        </w:tc>
      </w:tr>
      <w:tr w14:paraId="12B68EDD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535090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守卫补偿 / 附加输入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4673F7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4 + 1 + 1</w:t>
            </w:r>
          </w:p>
        </w:tc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DB816D">
            <w:pPr>
              <w:spacing w:before="30" w:after="30"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rotor_speed：四路转速；guard_enable：启用信号；simulation_time：仿真时间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01235E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转速与执行器方向一致；启用信号为0时旁路；时间用于连续性检查</w:t>
            </w:r>
          </w:p>
        </w:tc>
      </w:tr>
      <w:tr w14:paraId="01256D8B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93733B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ARDG-RGPC / 输出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B841BA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4 + 16</w:t>
            </w:r>
          </w:p>
        </w:tc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BE4541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motor_cmd：四路带旋向符号的电机幅值；diagnostics保留基础控制与分配诊断；守卫补偿状态由场景结果另行导出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7394EF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四路带旋向符号的电机幅值；诊断仅用于分析；控制范围为约化姿态</w:t>
            </w:r>
          </w:p>
        </w:tc>
      </w:tr>
      <w:tr w14:paraId="2D1042F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E8235F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PP-CBF / 输入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1BDFE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9 + 18 + 9</w:t>
            </w:r>
          </w:p>
        </w:tc>
        <w:tc>
          <w:tcPr>
            <w:tcW w:w="4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028D62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leader_reference：领导机位置、速度、加速度；vehicle_state：三机位置与速度；formation_offset：三机三维偏置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F6AB23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位置m；速度m/s；加速度m/s²；固定三机数据布局</w:t>
            </w:r>
          </w:p>
        </w:tc>
      </w:tr>
      <w:tr w14:paraId="4B67653F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E50099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PP-CBF / 输出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4E0BF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27 + 8</w:t>
            </w:r>
          </w:p>
        </w:tc>
        <w:tc>
          <w:tcPr>
            <w:tcW w:w="41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3EE032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formation_reference：三机各9维安全参考；diagnostics：最小距离、残差、队形误差、激活投影数、修正量和可行性状态</w:t>
            </w:r>
          </w:p>
        </w:tc>
        <w:tc>
          <w:tcPr>
            <w:tcW w:w="237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2BABB6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27维参考接入三套低层控制器；诊断不进入动力学</w:t>
            </w:r>
          </w:p>
        </w:tc>
      </w:tr>
    </w:tbl>
    <w:p w14:paraId="58A3EC97">
      <w:pPr>
        <w:pStyle w:val="168"/>
      </w:pPr>
      <w:r>
        <w:t>注：接口顺序以正式Sysblock模型为准；reference[10:11]预留偏航量，当前置零。ardg_diagnostics.csv记录激活状态、融合系数、补偿、角残差、平移残差、通道模式和安全状态。</w:t>
      </w:r>
    </w:p>
    <w:p w14:paraId="23B83A5E">
      <w:pPr>
        <w:ind w:firstLine="480"/>
      </w:pPr>
      <w:r>
        <w:t>推力尺度估计参数以及Kc、Cmax、Rmax在正式模型中固定，运行时不可覆盖。修改后需重新执行角扰动、旁路、参数变化、18项回归及工程验证。</w:t>
      </w:r>
    </w:p>
    <w:p w14:paraId="6DA3F5FF">
      <w:pPr>
        <w:keepLines/>
        <w:pBdr>
          <w:left w:val="single" w:color="000000" w:sz="16" w:space="5"/>
        </w:pBdr>
        <w:shd w:val="clear" w:color="auto" w:fill="F2F2F2"/>
        <w:spacing w:before="60" w:after="60" w:line="300" w:lineRule="auto"/>
        <w:ind w:left="160" w:right="120"/>
      </w:pPr>
      <w:r>
        <w:rPr>
          <w:b/>
          <w:sz w:val="21"/>
        </w:rPr>
        <w:t>算法替换。普通使用者无需操作。新增算法应保持表3-1的接口、0.01 s周期、三机顺序和电机方向；接口或参数变化时，同步更新连接模型、登记信息和测试。</w:t>
      </w:r>
    </w:p>
    <w:p w14:paraId="46212D46">
      <w:pPr>
        <w:keepLines/>
        <w:pBdr>
          <w:left w:val="single" w:color="000000" w:sz="16" w:space="5"/>
        </w:pBdr>
        <w:shd w:val="clear" w:color="auto" w:fill="F2F2F2"/>
        <w:spacing w:before="60" w:after="60" w:line="300" w:lineRule="auto"/>
        <w:ind w:left="160" w:right="120"/>
        <w:rPr>
          <w:sz w:val="21"/>
        </w:rPr>
      </w:pPr>
      <w:r>
        <w:rPr>
          <w:b/>
          <w:sz w:val="21"/>
        </w:rPr>
        <w:t>场景扩展。复制相近场景，修改轨迹、初态、参数、扰动或编队条件，并登记名称、入口和指标。随后用统一脚本检查模型、运行和结果。</w:t>
      </w:r>
    </w:p>
    <w:p w14:paraId="01D2B72B">
      <w:pPr>
        <w:pStyle w:val="3"/>
        <w:pageBreakBefore/>
      </w:pPr>
      <w:r>
        <w:rPr>
          <w:rFonts w:ascii="Times New Roman" w:hAnsi="Times New Roman" w:eastAsia="黑体"/>
        </w:rPr>
        <w:t>第4章  扩展、验证与数据追溯</w:t>
      </w:r>
    </w:p>
    <w:p w14:paraId="0BC98CD8">
      <w:pPr>
        <w:ind w:firstLine="480"/>
      </w:pPr>
      <w:r>
        <w:t>本章说明控制器、场景和指标的修改位置、参数定型与验证方法，并说明登记、模型、raw、结构化结果和图件的对应关系。开发修改在独立副本中完成。</w:t>
      </w:r>
    </w:p>
    <w:p w14:paraId="4E2CF1FE">
      <w:pPr>
        <w:ind w:firstLine="480"/>
      </w:pPr>
      <w:r>
        <w:t>工程扩展按登记、场景包装和分项验证执行。工程材料包通过MAIN_ALGORITHM.json和00_START_HERE/ALGORITHM_IDENTITY.json指定ARDG-RGPC；新增控制器先接入独立控制器块、包装模型和公共场景，再单独验证。</w:t>
      </w:r>
    </w:p>
    <w:p w14:paraId="2D4C7E99">
      <w:pPr>
        <w:pStyle w:val="4"/>
      </w:pPr>
      <w:r>
        <w:rPr>
          <w:rFonts w:ascii="Times New Roman" w:hAnsi="Times New Roman" w:eastAsia="黑体"/>
        </w:rPr>
        <w:t>4.1  配置、场景与数据组织</w:t>
      </w:r>
    </w:p>
    <w:p w14:paraId="6AA17C43">
      <w:pPr>
        <w:ind w:firstLine="480"/>
      </w:pPr>
      <w:r>
        <w:t>MAIN_ALGORITHM.json和ALGORITHM_IDENTITY.json登记主控制器，SCENE_INDEX.csv登记34项场景。默认finals_core含18项代表性回归和2项新增角扰动；supplementary含11项预设参数和3项编队场景。本轮只新增正滚转、负俯仰两个机体系角扰动场景；三事件外力扰动恢复是已有场景的新结果。</w:t>
      </w:r>
    </w:p>
    <w:p w14:paraId="5028F785">
      <w:pPr>
        <w:ind w:firstLine="480"/>
      </w:pPr>
      <w:r>
        <w:t>每个ARDG-RGPC场景保存执行状态、raw.csv、ardg_diagnostics.csv和结构化分析结果。跨算法比较只使用同场景、同指标、同评价区间的数据。风扰与传感器退化场景仅支持登记条件下的保持性结论。</w:t>
      </w:r>
    </w:p>
    <w:p w14:paraId="4EAC99B5">
      <w:pPr>
        <w:keepLines/>
        <w:pBdr>
          <w:left w:val="single" w:color="4F5B60" w:sz="12" w:space="8"/>
        </w:pBdr>
        <w:spacing w:before="60" w:after="120" w:line="300" w:lineRule="auto"/>
        <w:ind w:left="312" w:right="113"/>
      </w:pPr>
      <w:r>
        <w:rPr>
          <w:b/>
          <w:sz w:val="21"/>
        </w:rPr>
        <w:t>结论应依次对应场景登记、raw、指标脚本、结构化结果和图件索引。正式原图位于05_visuals/assets/report_final_20260816，索引见FINAL_REPORT_ASSET_INDEX.csv。图4-1概括这一对应关系。</w:t>
      </w:r>
    </w:p>
    <w:p w14:paraId="4E91A047">
      <w:pPr>
        <w:keepNext/>
        <w:jc w:val="center"/>
      </w:pPr>
      <w:r>
        <w:drawing>
          <wp:inline distT="0" distB="0" distL="0" distR="0">
            <wp:extent cx="5760720" cy="2160270"/>
            <wp:effectExtent l="0" t="0" r="0" b="0"/>
            <wp:docPr id="1190509059" name="Picture 1190509059" descr="配置、运行、证据与图件的对应关系：主算法登记和场景索引进入模型与运行入口，生成raw和诊断数据，再形成结构化指标和正式图件；评价需保持场景、指标和评价区间一致。" title="图4-1  配置、运行、证据与图件的对应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09059" name="Picture 1190509059" descr="配置、运行、证据与图件的对应关系：主算法登记和场景索引进入模型与运行入口，生成raw和诊断数据，再形成结构化指标和正式图件；评价需保持场景、指标和评价区间一致。" title="图4-1  配置、运行、证据与图件的对应关系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905F">
      <w:pPr>
        <w:pStyle w:val="15"/>
        <w:keepNext/>
        <w:keepLines/>
      </w:pPr>
      <w:r>
        <w:t>图4-1  配置、运行、证据与图件的对应关系</w:t>
      </w:r>
    </w:p>
    <w:p w14:paraId="00B5586B">
      <w:pPr>
        <w:pStyle w:val="168"/>
        <w:keepLines/>
      </w:pPr>
      <w:r>
        <w:t>资料来源：根据主算法登记、场景索引、运行入口、raw、ardg_diagnostics.csv、结构化结果和报告图件整理。</w:t>
      </w:r>
    </w:p>
    <w:p w14:paraId="480DB46C">
      <w:pPr>
        <w:pStyle w:val="4"/>
      </w:pPr>
      <w:r>
        <w:rPr>
          <w:rFonts w:ascii="Times New Roman" w:hAnsi="Times New Roman" w:eastAsia="黑体"/>
        </w:rPr>
        <w:t>4.2  算法替换与最小验证</w:t>
      </w:r>
    </w:p>
    <w:p w14:paraId="50CF6BE0">
      <w:pPr>
        <w:ind w:firstLine="480"/>
      </w:pPr>
      <w:r>
        <w:t>各单机控制器共享11维参考、18维状态、4路电机输出和0.01 s周期；ARDG-RGPC另接收4路转速、启用信号和时间。新增控制器先适配统一接口，再登记诊断量、分配约束和验证范围。</w:t>
      </w:r>
    </w:p>
    <w:p w14:paraId="406A511C">
      <w:pPr>
        <w:ind w:firstLine="480"/>
      </w:pPr>
      <w:r>
        <w:t>基础几何控制通过独立控制器块和场景包装接入，ALGORITHM_REGISTRY.csv记录用途与验证范围。现有检查覆盖5种控制器和4个公共场景，已用于统一工程评价。</w:t>
      </w:r>
    </w:p>
    <w:p w14:paraId="49B665C1">
      <w:pPr>
        <w:ind w:firstLine="480"/>
      </w:pPr>
      <w:r>
        <w:t>新控制器成为主算法时，需同步更新源码、包装模型、运行入口、固定参数检查、验证内容和算法登记，不能只改名称。最小要求见表4-1。</w:t>
      </w:r>
    </w:p>
    <w:p w14:paraId="756A7AFF">
      <w:pPr>
        <w:pStyle w:val="15"/>
        <w:keepNext/>
      </w:pPr>
      <w:r>
        <w:t>表4-1  扩展内容及最小验证要求</w:t>
      </w:r>
    </w:p>
    <w:tbl>
      <w:tblPr>
        <w:tblStyle w:val="34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3168"/>
        <w:gridCol w:w="2376"/>
        <w:gridCol w:w="2592"/>
      </w:tblGrid>
      <w:tr w14:paraId="53B161EB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2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D7955">
            <w:pPr>
              <w:keepNext/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rFonts w:eastAsia="黑体"/>
                <w:b w:val="0"/>
                <w:sz w:val="18"/>
                <w:szCs w:val="18"/>
              </w:rPr>
              <w:t>扩展对象</w:t>
            </w:r>
          </w:p>
        </w:tc>
        <w:tc>
          <w:tcPr>
            <w:tcW w:w="316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46C8C">
            <w:pPr>
              <w:keepNext/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rFonts w:eastAsia="黑体"/>
                <w:b w:val="0"/>
                <w:sz w:val="18"/>
                <w:szCs w:val="18"/>
              </w:rPr>
              <w:t>固定接口要求</w:t>
            </w:r>
          </w:p>
        </w:tc>
        <w:tc>
          <w:tcPr>
            <w:tcW w:w="237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651950">
            <w:pPr>
              <w:keepNext/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rFonts w:eastAsia="黑体"/>
                <w:b w:val="0"/>
                <w:sz w:val="18"/>
                <w:szCs w:val="18"/>
              </w:rPr>
              <w:t>主要修改位置</w:t>
            </w:r>
          </w:p>
        </w:tc>
        <w:tc>
          <w:tcPr>
            <w:tcW w:w="259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905D3">
            <w:pPr>
              <w:keepNext/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rFonts w:eastAsia="黑体"/>
                <w:b w:val="0"/>
                <w:sz w:val="18"/>
                <w:szCs w:val="18"/>
              </w:rPr>
              <w:t>最小验证与恢复</w:t>
            </w:r>
          </w:p>
        </w:tc>
      </w:tr>
      <w:tr w14:paraId="34F39186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64E5C">
            <w:pPr>
              <w:keepNext/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控制器</w:t>
            </w:r>
          </w:p>
        </w:tc>
        <w:tc>
          <w:tcPr>
            <w:tcW w:w="316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8FF08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11维参考、18维状态、4路电机输出、0.01 s；ARDG-RGPC另含转速、启用和时间输入</w:t>
            </w:r>
          </w:p>
        </w:tc>
        <w:tc>
          <w:tcPr>
            <w:tcW w:w="237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CA70E">
            <w:pPr>
              <w:keepNext/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01_models/sysblock、comparators、场景包装、ALGORITHM_REGISTRY.csv</w:t>
            </w:r>
          </w:p>
        </w:tc>
        <w:tc>
          <w:tcPr>
            <w:tcW w:w="259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81930F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检查接口与登记，翻译模型并运行公共场景；主算法再执行扰动、旁路、18项回归和工程验证</w:t>
            </w:r>
          </w:p>
        </w:tc>
      </w:tr>
      <w:tr w14:paraId="43CFE53C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228AE2">
            <w:pPr>
              <w:keepNext/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场景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36EBB2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唯一标识、中文名称、类别、主指标和独立raw</w:t>
            </w:r>
          </w:p>
        </w:tc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D0593">
            <w:pPr>
              <w:keepNext/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Modelica包装、SCENE_INDEX.csv、必要的运行器映射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BA042">
            <w:pPr>
              <w:keepNext/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检查登记、翻译并单场景运行；核对raw和状态</w:t>
            </w:r>
          </w:p>
        </w:tc>
      </w:tr>
      <w:tr w14:paraId="204BAB6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99FFCC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评价指标</w:t>
            </w:r>
          </w:p>
        </w:tc>
        <w:tc>
          <w:tcPr>
            <w:tcW w:w="31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6F626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字段、单位、评价区间、缺失值和CSV/JSON格式</w:t>
            </w:r>
          </w:p>
        </w:tc>
        <w:tc>
          <w:tcPr>
            <w:tcW w:w="237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DDCC1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02_scripts/syslab或evaluation、04_results/report_evidence</w:t>
            </w:r>
          </w:p>
        </w:tc>
        <w:tc>
          <w:tcPr>
            <w:tcW w:w="259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1AC6DB">
            <w:pPr>
              <w:spacing w:before="30" w:after="30"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运行指标脚本，核对结构化结果和关键字段</w:t>
            </w:r>
          </w:p>
        </w:tc>
      </w:tr>
    </w:tbl>
    <w:p w14:paraId="11FA90B1">
      <w:pPr>
        <w:pStyle w:val="168"/>
        <w:spacing w:before="40" w:after="100"/>
      </w:pPr>
      <w:r>
        <w:t>资料来源：根据控制器模型端口、场景注册表、运行器及只读审计脚本整理。</w:t>
      </w:r>
    </w:p>
    <w:p w14:paraId="548D91B8">
      <w:pPr>
        <w:keepLines/>
        <w:pBdr>
          <w:left w:val="single" w:color="4F5B60" w:sz="12" w:space="8"/>
        </w:pBdr>
        <w:spacing w:before="60" w:after="120" w:line="300" w:lineRule="auto"/>
        <w:ind w:left="312" w:right="113"/>
      </w:pPr>
      <w:r>
        <w:t>主运行入口。RUN_ALL.ps1先执行只读预检；Simulate和All默认运行20项finals_core，也可显式选择regression18、supplementary或full_registered。入口应与主算法、固定参数、场景索引和输出字段一致。</w:t>
      </w:r>
    </w:p>
    <w:p w14:paraId="561C1B41">
      <w:pPr>
        <w:pStyle w:val="4"/>
      </w:pPr>
      <w:r>
        <w:t>4.3  物理约束参数优化与最终定型</w:t>
      </w:r>
    </w:p>
    <w:p w14:paraId="0F4E7D89">
      <w:r>
        <w:t>参数定型只调整Kc、Cmax和Rmax，范围分别为[0.78,0.92]、[0.00029,0.00033] N·m和[3.8×10⁻⁵,4.6×10⁻⁵] N·m/采样。姿态事件IAE、电机TV和最差场景退化分别评价，不合成为加权总分。图4-2给出优化结果。</w:t>
      </w:r>
    </w:p>
    <w:p w14:paraId="513299FB">
      <w:pPr>
        <w:keepNext/>
        <w:spacing w:before="60" w:after="60"/>
        <w:jc w:val="center"/>
      </w:pPr>
      <w:r>
        <w:drawing>
          <wp:inline distT="0" distB="0" distL="0" distR="0">
            <wp:extent cx="5623560" cy="2052955"/>
            <wp:effectExtent l="0" t="0" r="0" b="0"/>
            <wp:docPr id="1190509055" name="Picture 1190509055" descr="ARDG-RGPC局部候选参数、姿态误差目标和执行器平滑性目标的优化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09055" name="Picture 1190509055" descr="ARDG-RGPC局部候选参数、姿态误差目标和执行器平滑性目标的优化结果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05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0847">
      <w:pPr>
        <w:pStyle w:val="15"/>
        <w:keepNext/>
      </w:pPr>
      <w:r>
        <w:t>图4-2  ARDG-RGPC参数优化过程与最终定型</w:t>
      </w:r>
    </w:p>
    <w:p w14:paraId="3C2C5A52">
      <w:pPr>
        <w:pStyle w:val="168"/>
      </w:pPr>
      <w:r>
        <w:t>资料来源：正式仿真报告图6-6、参数优化汇总和最终参数确认记录。</w:t>
      </w:r>
    </w:p>
    <w:p w14:paraId="0C91BD0E">
      <w:r>
        <w:t>联合搜索14组参数，局部微调8组参数，共完成44次双角扰动筛选，并综合姿态IAE、电机TV和最差场景退化定型，不声明全局最优。定型后，11项预设参数相对基础几何控制为6改善、5等效、0退化；20组随机参数相对官方PID为20胜、0负、0平，位置RMSE中位降低87.6345%，bootstrap 95%置信区间为83.7408%～90.1865%。</w:t>
      </w:r>
    </w:p>
    <w:p w14:paraId="4E0E7D94">
      <w:pPr>
        <w:pStyle w:val="4"/>
      </w:pPr>
      <w:r>
        <w:t>4.4  分层验证与常见故障</w:t>
      </w:r>
    </w:p>
    <w:p w14:paraId="1CF47926">
      <w:pPr>
        <w:ind w:firstLine="480"/>
      </w:pPr>
      <w:r>
        <w:t>验证分为扰动、参数变化、18项回归、代码生成、Step函数计时和安全检查。各结果只说明本项检查范围，不合并为总通过率。图4-3汇总参数变化，表4-2列出主要结果，图4-4展示性能取舍。</w:t>
      </w:r>
    </w:p>
    <w:p w14:paraId="69D86D3C">
      <w:pPr>
        <w:keepNext/>
        <w:spacing w:before="60" w:after="60"/>
        <w:jc w:val="center"/>
      </w:pPr>
      <w:r>
        <w:drawing>
          <wp:inline distT="0" distB="0" distL="0" distR="0">
            <wp:extent cx="5623560" cy="4211320"/>
            <wp:effectExtent l="0" t="0" r="0" b="0"/>
            <wp:docPr id="1190509056" name="Picture 1190509056" descr="11项预设参数和20组随机参数条件下的位置RMSE与相对改善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09056" name="Picture 1190509056" descr="11项预设参数和20组随机参数条件下的位置RMSE与相对改善结果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1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8D1C">
      <w:pPr>
        <w:pStyle w:val="15"/>
        <w:keepNext/>
      </w:pPr>
      <w:r>
        <w:t>图4-3  参数变化下的预设工况与随机配对结果</w:t>
      </w:r>
    </w:p>
    <w:p w14:paraId="6AA93DBE">
      <w:pPr>
        <w:pStyle w:val="168"/>
      </w:pPr>
      <w:r>
        <w:t>资料来源：正式仿真报告图6-5及11项预设参数、20组随机参数结构化结果。</w:t>
      </w:r>
    </w:p>
    <w:p w14:paraId="79B2824E">
      <w:pPr>
        <w:pStyle w:val="15"/>
        <w:keepNext/>
      </w:pPr>
      <w:r>
        <w:t>表4-2  决赛阶段验证项目与正式结果</w:t>
      </w:r>
    </w:p>
    <w:tbl>
      <w:tblPr>
        <w:tblStyle w:val="34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528"/>
        <w:gridCol w:w="3888"/>
      </w:tblGrid>
      <w:tr w14:paraId="2709B30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3DD3D6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验证项目</w:t>
            </w:r>
          </w:p>
        </w:tc>
        <w:tc>
          <w:tcPr>
            <w:tcW w:w="352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F488FD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结果摘要</w:t>
            </w:r>
          </w:p>
        </w:tc>
        <w:tc>
          <w:tcPr>
            <w:tcW w:w="388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38405B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说明</w:t>
            </w:r>
          </w:p>
        </w:tc>
      </w:tr>
      <w:tr w14:paraId="1F1903C4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5264C">
            <w:pPr>
              <w:spacing w:before="30" w:after="30"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代表性扰动</w:t>
            </w:r>
          </w:p>
        </w:tc>
        <w:tc>
          <w:tcPr>
            <w:tcW w:w="352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3B11E5">
            <w:pPr>
              <w:spacing w:before="30" w:after="30"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角扰动中，ARDG-RGPC四电机TV比官方PID低2.57%～2.58%，但姿态IAE和位置误差更高；三事件外扰中位置RMSE由0.306769 m降至0.269476 m（12.16%），峰值由0.86732 m升至1.10609 m</w:t>
            </w:r>
          </w:p>
        </w:tc>
        <w:tc>
          <w:tcPr>
            <w:tcW w:w="388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2A4153">
            <w:pPr>
              <w:spacing w:before="30" w:after="30" w:line="240" w:lineRule="auto"/>
              <w:jc w:val="left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角扰动窗口8.00～12.25 s；三事件外扰为已有场景的新结果</w:t>
            </w:r>
          </w:p>
        </w:tc>
      </w:tr>
      <w:tr w14:paraId="2BE873F7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B23E5D">
            <w:pPr>
              <w:spacing w:before="30" w:after="30"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参数变化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0F2630">
            <w:pPr>
              <w:spacing w:before="30" w:after="30"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11项预设参数：6改善、5等效、0退化；20组随机参数：20胜、0负、0平，RMSE中位降低87.6345%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38E651">
            <w:pPr>
              <w:spacing w:before="30" w:after="30" w:line="240" w:lineRule="auto"/>
              <w:jc w:val="left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比较对象分别为基础几何控制和官方PID；随机结果95%置信区间83.7408%～90.1865%</w:t>
            </w:r>
          </w:p>
        </w:tc>
      </w:tr>
      <w:tr w14:paraId="6650B974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B58999">
            <w:pPr>
              <w:spacing w:before="30" w:after="30"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18项代表性回归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6C7545">
            <w:pPr>
              <w:spacing w:before="30" w:after="30"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17等效、1改善、0退化，硬约束检查通过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DBA4DE">
            <w:pPr>
              <w:spacing w:before="30" w:after="30" w:line="240" w:lineRule="auto"/>
              <w:jc w:val="left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用于任务保持性与工程约束复核</w:t>
            </w:r>
          </w:p>
        </w:tc>
      </w:tr>
      <w:tr w14:paraId="4E948F24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E78B0E">
            <w:pPr>
              <w:spacing w:before="30" w:after="30"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代码生成与Step计时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CE71D9">
            <w:pPr>
              <w:spacing w:before="30" w:after="30"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双精度代码生成和静态集成通过；Step预热10,000次、测量1,000,000次，P50 0.0001 ms、P95/P99 0.0002 ms、最大0.1476 ms，动态分配0次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F282E7">
            <w:pPr>
              <w:spacing w:before="30" w:after="30" w:line="240" w:lineRule="auto"/>
              <w:jc w:val="left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仅为生成控制器Step(void)实测，不代表完整仿真、端到端延迟或理论最坏时间</w:t>
            </w:r>
          </w:p>
        </w:tc>
      </w:tr>
      <w:tr w14:paraId="6E39CF9A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442CE6">
            <w:pPr>
              <w:spacing w:before="30" w:after="30"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安全旁路</w:t>
            </w:r>
          </w:p>
        </w:tc>
        <w:tc>
          <w:tcPr>
            <w:tcW w:w="352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7B3EB5">
            <w:pPr>
              <w:spacing w:before="30" w:after="30"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有限值、时间连续性、分配剪裁、不可行分配和禁用检查通过</w:t>
            </w:r>
          </w:p>
        </w:tc>
        <w:tc>
          <w:tcPr>
            <w:tcW w:w="388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2186B6">
            <w:pPr>
              <w:spacing w:before="30" w:after="30" w:line="240" w:lineRule="auto"/>
              <w:jc w:val="left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异常时只退出补偿，基础控制和约束分配继续工作</w:t>
            </w:r>
          </w:p>
        </w:tc>
      </w:tr>
    </w:tbl>
    <w:p w14:paraId="3ADE3ED5">
      <w:pPr>
        <w:pStyle w:val="168"/>
        <w:spacing w:before="40" w:after="100"/>
      </w:pPr>
      <w:r>
        <w:t>资料来源：角扰动分析、基础功能与旁路检查、代表性回归、代码生成、运行周期和静态安全集成结果。</w:t>
      </w:r>
    </w:p>
    <w:p w14:paraId="7B1D3CD4">
      <w:pPr>
        <w:ind w:firstLine="480"/>
      </w:pPr>
      <w:r>
        <w:t>表4-2仅概括已确认文件中的结果，不外推到未测试条件。</w:t>
      </w:r>
    </w:p>
    <w:p w14:paraId="2BB38DD9">
      <w:pPr>
        <w:keepNext/>
        <w:spacing w:before="60" w:after="60"/>
        <w:jc w:val="center"/>
      </w:pPr>
      <w:r>
        <w:drawing>
          <wp:inline distT="0" distB="0" distL="0" distR="0">
            <wp:extent cx="5623560" cy="3356610"/>
            <wp:effectExtent l="0" t="0" r="0" b="0"/>
            <wp:docPr id="1190509057" name="Picture 1190509057" descr="复杂外扰、参数变化、角扰动和代表性收益中的主要结果与性能取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09057" name="Picture 1190509057" descr="复杂外扰、参数变化、角扰动和代表性收益中的主要结果与性能取舍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5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88FD">
      <w:pPr>
        <w:pStyle w:val="15"/>
        <w:keepNext/>
      </w:pPr>
      <w:r>
        <w:t>图4-4  不同任务中的主要结果与性能取舍</w:t>
      </w:r>
    </w:p>
    <w:p w14:paraId="46750C81">
      <w:pPr>
        <w:pStyle w:val="168"/>
      </w:pPr>
      <w:r>
        <w:t>资料来源：正式仿真报告图8-1，以及代码生成、Step函数计时和安全集成验证记录。</w:t>
      </w:r>
    </w:p>
    <w:p w14:paraId="136D8C5B">
      <w:r>
        <w:t>已完成控制器代码生成、Step函数计时和静态安全检查。工程材料包保留控制器模型、结果清单和验证结论，不分发生成的C/H文件。</w:t>
      </w:r>
    </w:p>
    <w:p w14:paraId="6CAE2A37">
      <w:pPr>
        <w:pStyle w:val="15"/>
        <w:keepNext/>
      </w:pPr>
      <w:r>
        <w:t>表4-3  常见故障定位与恢复</w:t>
      </w:r>
    </w:p>
    <w:tbl>
      <w:tblPr>
        <w:tblStyle w:val="34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3240"/>
        <w:gridCol w:w="3960"/>
      </w:tblGrid>
      <w:tr w14:paraId="6D0C9759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671CB">
            <w:pPr>
              <w:keepNext/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rFonts w:eastAsia="黑体"/>
                <w:b w:val="0"/>
                <w:sz w:val="18"/>
                <w:szCs w:val="18"/>
              </w:rPr>
              <w:t>可见症状</w:t>
            </w:r>
          </w:p>
        </w:tc>
        <w:tc>
          <w:tcPr>
            <w:tcW w:w="32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875A7">
            <w:pPr>
              <w:keepNext/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rFonts w:eastAsia="黑体"/>
                <w:b w:val="0"/>
                <w:sz w:val="18"/>
                <w:szCs w:val="18"/>
              </w:rPr>
              <w:t>优先核对</w:t>
            </w:r>
          </w:p>
        </w:tc>
        <w:tc>
          <w:tcPr>
            <w:tcW w:w="39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659B7">
            <w:pPr>
              <w:keepNext/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rFonts w:eastAsia="黑体"/>
                <w:b w:val="0"/>
                <w:sz w:val="18"/>
                <w:szCs w:val="18"/>
              </w:rPr>
              <w:t>恢复动作</w:t>
            </w:r>
          </w:p>
        </w:tc>
      </w:tr>
      <w:tr w14:paraId="0C56EDFB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71151">
            <w:pPr>
              <w:keepNext/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提示找不到MWORKS Python</w:t>
            </w:r>
          </w:p>
        </w:tc>
        <w:tc>
          <w:tcPr>
            <w:tcW w:w="32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01E20">
            <w:pPr>
              <w:keepNext/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MWORKS_PYTHON及标准安装路径</w:t>
            </w:r>
          </w:p>
        </w:tc>
        <w:tc>
          <w:tcPr>
            <w:tcW w:w="39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09952">
            <w:pPr>
              <w:keepNext/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设置用户环境变量并重新执行预检，不在脚本中写入个人路径</w:t>
            </w:r>
          </w:p>
        </w:tc>
      </w:tr>
      <w:tr w14:paraId="06B2DFD0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46E27">
            <w:pPr>
              <w:keepNext/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提示找不到julia-ty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2C24F">
            <w:pPr>
              <w:keepNext/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JULIA_TY或PATH中的绑定运行时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51928">
            <w:pPr>
              <w:keepNext/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指向Syslab 2026a配套运行时，仅在执行指标分析脚本时使用；快速验收不调用该运行时</w:t>
            </w:r>
          </w:p>
        </w:tc>
      </w:tr>
      <w:tr w14:paraId="29910C78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0DE98">
            <w:pPr>
              <w:keepNext/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Sysplorer端口或实例数量不符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83141">
            <w:pPr>
              <w:keepNext/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49152端口及当前Sysplorer进程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661C2">
            <w:pPr>
              <w:keepNext/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保留一个目标实例后重试；运行器不会自动清空或关闭会话</w:t>
            </w:r>
          </w:p>
        </w:tc>
      </w:tr>
      <w:tr w14:paraId="6A32BBC3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82BE3">
            <w:pPr>
              <w:keepNext/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输出目录被拒绝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D88A91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Output参数及目录读写权限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48B41D">
            <w:pPr>
              <w:spacing w:before="30" w:after="30" w:line="240" w:lineRule="auto"/>
              <w:jc w:val="center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b w:val="0"/>
                <w:color w:val="000000"/>
                <w:sz w:val="18"/>
                <w:szCs w:val="18"/>
              </w:rPr>
              <w:t>改用可写的独立结果目录，保持正式工程资料不变</w:t>
            </w:r>
          </w:p>
        </w:tc>
      </w:tr>
      <w:tr w14:paraId="1C3E209C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A122A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文件与清单不一致</w:t>
            </w:r>
          </w:p>
        </w:tc>
        <w:tc>
          <w:tcPr>
            <w:tcW w:w="32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7A56F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缺失文件、README版本、清单登记值和物理文件数</w:t>
            </w:r>
          </w:p>
        </w:tc>
        <w:tc>
          <w:tcPr>
            <w:tcW w:w="39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125470">
            <w:pPr>
              <w:spacing w:line="240" w:lineRule="auto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先确定权威文件，再重建清单并复验；不要只修改审计结果</w:t>
            </w:r>
          </w:p>
        </w:tc>
      </w:tr>
    </w:tbl>
    <w:p w14:paraId="1675C4EF">
      <w:pPr>
        <w:pStyle w:val="168"/>
        <w:spacing w:before="40" w:after="100"/>
      </w:pPr>
      <w:r>
        <w:t>资料来源：根据RUN_QUICK_VERIFY.ps1、RUN_ALL.ps1、运行器错误处理和依赖清单整理。</w:t>
      </w:r>
    </w:p>
    <w:p w14:paraId="3F10CA82"/>
    <w:p w14:paraId="0235B439">
      <w:pPr>
        <w:pStyle w:val="3"/>
      </w:pPr>
      <w:r>
        <w:rPr>
          <w:rFonts w:ascii="Times New Roman" w:hAnsi="Times New Roman" w:eastAsia="黑体"/>
        </w:rPr>
        <w:t>第5章  代码规范、来源与维护</w:t>
      </w:r>
    </w:p>
    <w:p w14:paraId="614F9DC3">
      <w:pPr>
        <w:pStyle w:val="4"/>
      </w:pPr>
      <w:r>
        <w:rPr>
          <w:rFonts w:ascii="Times New Roman" w:hAnsi="Times New Roman" w:eastAsia="黑体"/>
        </w:rPr>
        <w:t>5.1  可读性与来源说明</w:t>
      </w:r>
    </w:p>
    <w:p w14:paraId="46641E61">
      <w:pPr>
        <w:ind w:firstLine="480"/>
      </w:pPr>
      <w:r>
        <w:t>模型、脚本、登记和结果采用稳定名称。部分模型文件名为兼容工程连接保持不变，当前算法应以MAIN_ALGORITHM.json和00_START_HERE/ALGORITHM_IDENTITY.json确认。注释应说明接口、单位、参数和异常旁路。来源要求见表5-1。</w:t>
      </w:r>
    </w:p>
    <w:p w14:paraId="09EE463C">
      <w:pPr>
        <w:pStyle w:val="15"/>
        <w:keepNext/>
      </w:pPr>
      <w:r>
        <w:t>表5-1  主要来源类别与说明要求</w:t>
      </w:r>
    </w:p>
    <w:tbl>
      <w:tblPr>
        <w:tblStyle w:val="34"/>
        <w:tblW w:w="0" w:type="auto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960"/>
        <w:gridCol w:w="3456"/>
      </w:tblGrid>
      <w:tr w14:paraId="2BE50C01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color="202020" w:sz="10" w:space="0"/>
              <w:left w:val="nil"/>
              <w:bottom w:val="single" w:color="202020" w:sz="6" w:space="0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91ADB">
            <w:pPr>
              <w:keepNext/>
              <w:spacing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对象类别</w:t>
            </w:r>
          </w:p>
        </w:tc>
        <w:tc>
          <w:tcPr>
            <w:tcW w:w="3960" w:type="dxa"/>
            <w:tcBorders>
              <w:top w:val="single" w:color="202020" w:sz="10" w:space="0"/>
              <w:left w:val="nil"/>
              <w:bottom w:val="single" w:color="202020" w:sz="6" w:space="0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57F9BC">
            <w:pPr>
              <w:keepNext/>
              <w:spacing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当前登记</w:t>
            </w:r>
          </w:p>
        </w:tc>
        <w:tc>
          <w:tcPr>
            <w:tcW w:w="3456" w:type="dxa"/>
            <w:tcBorders>
              <w:top w:val="single" w:color="202020" w:sz="10" w:space="0"/>
              <w:left w:val="nil"/>
              <w:bottom w:val="single" w:color="202020" w:sz="6" w:space="0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46149">
            <w:pPr>
              <w:keepNext/>
              <w:spacing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文档与维护规则</w:t>
            </w:r>
          </w:p>
        </w:tc>
      </w:tr>
      <w:tr w14:paraId="70B97DAF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A5E14">
            <w:pPr>
              <w:keepNext/>
              <w:spacing w:line="240" w:lineRule="auto"/>
              <w:jc w:val="center"/>
            </w:pPr>
            <w:r>
              <w:rPr>
                <w:sz w:val="17"/>
              </w:rPr>
              <w:t>团队工程实现与派生资产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C7E554">
            <w:pPr>
              <w:spacing w:before="30" w:after="30" w:line="240" w:lineRule="auto"/>
              <w:jc w:val="left"/>
            </w:pPr>
            <w:r>
              <w:rPr>
                <w:rFonts w:ascii="宋体" w:hAnsi="宋体"/>
                <w:color w:val="202020"/>
                <w:sz w:val="16"/>
              </w:rPr>
              <w:t>ARDG-RGPC、PP-CBF、场景包装、评价脚本、raw与图件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B5ACF8">
            <w:pPr>
              <w:spacing w:before="30" w:after="30" w:line="240" w:lineRule="auto"/>
              <w:jc w:val="left"/>
            </w:pPr>
            <w:r>
              <w:rPr>
                <w:rFonts w:ascii="宋体" w:hAnsi="宋体"/>
                <w:color w:val="202020"/>
                <w:sz w:val="16"/>
              </w:rPr>
              <w:t>说明团队实现和直接验证范围；历史兼容文件名不作为当前算法名称</w:t>
            </w:r>
          </w:p>
        </w:tc>
      </w:tr>
      <w:tr w14:paraId="60C5ACE6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78961">
            <w:pPr>
              <w:keepNext/>
              <w:spacing w:line="240" w:lineRule="auto"/>
              <w:jc w:val="center"/>
            </w:pPr>
            <w:r>
              <w:rPr>
                <w:sz w:val="17"/>
              </w:rPr>
              <w:t>赛题官方材料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E09CE">
            <w:pPr>
              <w:keepNext/>
              <w:spacing w:line="240" w:lineRule="auto"/>
              <w:jc w:val="center"/>
            </w:pPr>
            <w:r>
              <w:rPr>
                <w:sz w:val="17"/>
              </w:rPr>
              <w:t>QuadrotorModel及官方PID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B0D30">
            <w:pPr>
              <w:keepNext/>
              <w:spacing w:line="240" w:lineRule="auto"/>
              <w:jc w:val="center"/>
            </w:pPr>
            <w:r>
              <w:rPr>
                <w:sz w:val="17"/>
              </w:rPr>
              <w:t>保留官方身份与文件来源，团队包装不改变原控制器归属</w:t>
            </w:r>
          </w:p>
        </w:tc>
      </w:tr>
      <w:tr w14:paraId="741BA288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86D1D1">
            <w:pPr>
              <w:keepNext/>
              <w:spacing w:line="240" w:lineRule="auto"/>
              <w:jc w:val="center"/>
            </w:pPr>
            <w:r>
              <w:rPr>
                <w:sz w:val="17"/>
              </w:rPr>
              <w:t>通行控制方法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C05BC">
            <w:pPr>
              <w:keepNext/>
              <w:spacing w:line="240" w:lineRule="auto"/>
              <w:jc w:val="center"/>
            </w:pPr>
            <w:r>
              <w:rPr>
                <w:sz w:val="17"/>
              </w:rPr>
              <w:t>RA-GCA、ADRC、INDI、CBF等方法名称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4C9B9">
            <w:pPr>
              <w:keepNext/>
              <w:spacing w:line="240" w:lineRule="auto"/>
              <w:jc w:val="center"/>
            </w:pPr>
            <w:r>
              <w:rPr>
                <w:sz w:val="17"/>
              </w:rPr>
              <w:t>区分方法来源与包内具体实现，不用方法名称代替代码来源说明</w:t>
            </w:r>
          </w:p>
        </w:tc>
      </w:tr>
      <w:tr w14:paraId="290ADFF0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nil"/>
              <w:left w:val="nil"/>
              <w:bottom w:val="single" w:color="202020" w:sz="10" w:space="0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3743EC">
            <w:pPr>
              <w:spacing w:line="240" w:lineRule="auto"/>
              <w:jc w:val="center"/>
            </w:pPr>
            <w:r>
              <w:rPr>
                <w:sz w:val="17"/>
              </w:rPr>
              <w:t>商业与标准运行环境</w:t>
            </w:r>
          </w:p>
        </w:tc>
        <w:tc>
          <w:tcPr>
            <w:tcW w:w="3960" w:type="dxa"/>
            <w:tcBorders>
              <w:top w:val="nil"/>
              <w:left w:val="nil"/>
              <w:bottom w:val="single" w:color="202020" w:sz="10" w:space="0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5B323">
            <w:pPr>
              <w:spacing w:line="240" w:lineRule="auto"/>
              <w:jc w:val="center"/>
            </w:pPr>
            <w:r>
              <w:rPr>
                <w:sz w:val="17"/>
              </w:rPr>
              <w:t>MWORKS Sysplorer、Syslab、Sysblock、Modelica标准库</w:t>
            </w:r>
          </w:p>
        </w:tc>
        <w:tc>
          <w:tcPr>
            <w:tcW w:w="3456" w:type="dxa"/>
            <w:tcBorders>
              <w:top w:val="nil"/>
              <w:left w:val="nil"/>
              <w:bottom w:val="single" w:color="202020" w:sz="10" w:space="0"/>
              <w:right w:val="nil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62FF6">
            <w:pPr>
              <w:spacing w:line="240" w:lineRule="auto"/>
              <w:jc w:val="center"/>
            </w:pPr>
            <w:r>
              <w:rPr>
                <w:sz w:val="17"/>
              </w:rPr>
              <w:t>运行时不随源文件包分发，遵循供应商许可和环境兼容要求</w:t>
            </w:r>
          </w:p>
        </w:tc>
      </w:tr>
    </w:tbl>
    <w:p w14:paraId="213DBF6C">
      <w:pPr>
        <w:pStyle w:val="168"/>
        <w:spacing w:before="40" w:after="100"/>
      </w:pPr>
      <w:r>
        <w:t>资料来源：08_provenance/SOURCE_PROVENANCE.csv、DEPENDENCY_MANIFEST.csv、版权与许可证状态及第三方依赖与来源说明。</w:t>
      </w:r>
    </w:p>
    <w:p w14:paraId="58E565C7">
      <w:pPr>
        <w:ind w:firstLine="480"/>
      </w:pPr>
      <w:r>
        <w:rPr>
          <w:rFonts w:ascii="Consolas" w:hAnsi="Consolas" w:eastAsia="等线"/>
          <w:sz w:val="21"/>
        </w:rPr>
        <w:t>SOURCE_PROVENANCE.csv说明官方材料、团队实现、比较算法、结果和图件的来源；DEPENDENCY_MANIFEST.csv说明MWORKS、Modelica标准库及辅助运行环境是否随材料包提供。</w:t>
      </w:r>
    </w:p>
    <w:p w14:paraId="737E716F">
      <w:pPr>
        <w:ind w:firstLine="720"/>
      </w:pPr>
      <w:r>
        <w:rPr>
          <w:rFonts w:hint="eastAsia"/>
        </w:rPr>
        <w:t>本项目工程文件、运行脚本与配套说明已在GitHub开源，仓库地址为：https://github.com/Jerrysonny/yuqiong-robust-pose-control-quadrotor-formation。</w:t>
      </w:r>
    </w:p>
    <w:p w14:paraId="54D2AFFA">
      <w:pPr>
        <w:pStyle w:val="4"/>
      </w:pPr>
      <w:r>
        <w:rPr>
          <w:rFonts w:ascii="Times New Roman" w:hAnsi="Times New Roman" w:eastAsia="黑体"/>
        </w:rPr>
        <w:t>5.2  变更控制</w:t>
      </w:r>
    </w:p>
    <w:p w14:paraId="31B5DF04">
      <w:pPr>
        <w:keepLines/>
        <w:ind w:firstLine="480"/>
      </w:pPr>
      <w:r>
        <w:t>修改按“预检、备份、修改、验证、记录”执行。控制器、端口或固定参数变化后，复核包装模型、主算法登记、代表场景和代码生成；场景或指标变化后，复核场景定义、raw字段、评价区间和结果清单。验证失败时恢复最近备份并记录原因。</w:t>
      </w:r>
    </w:p>
    <w:p w14:paraId="29396416">
      <w:pPr>
        <w:ind w:firstLine="480" w:firstLineChars="200"/>
      </w:pPr>
      <w:bookmarkStart w:id="0" w:name="_GoBack"/>
      <w:bookmarkEnd w:id="0"/>
      <w:r>
        <w:t>结果适用范围  ARDG-RGPC结论限于已登记的角扰动、外扰、参数变化、代表性回归、编队和工程验证。风扰与传感器退化只支持保持性结论；无同条件数据不推断排名。PP-CBF结论仅适用于独立上层安全监督测试。</w:t>
      </w:r>
    </w:p>
    <w:p w14:paraId="19C16C59">
      <w:pPr>
        <w:pStyle w:val="3"/>
        <w:pageBreakBefore/>
      </w:pPr>
      <w:r>
        <w:rPr>
          <w:rFonts w:ascii="Times New Roman" w:hAnsi="Times New Roman" w:eastAsia="黑体"/>
        </w:rPr>
        <w:t>总结</w:t>
      </w:r>
    </w:p>
    <w:p w14:paraId="2C664955">
      <w:pPr>
        <w:ind w:firstLine="480"/>
      </w:pPr>
      <w:r>
        <w:t>本文说明了A8项目的工程入口、控制接口、算法扩展、参数定型、验证和来源维护。ARDG-RGPC通过角残差判别、渐变介入、受限补偿和安全旁路改善控制平滑性；PP-CBF仍是独立上层安全监督器。</w:t>
      </w:r>
    </w:p>
    <w:p w14:paraId="6B1801CA">
      <w:pPr>
        <w:ind w:firstLine="480"/>
      </w:pPr>
      <w:r>
        <w:t>修改应在独立副本中完成，并用场景登记、raw、结构化指标和正式结果核对结论。现有测试显示：ARDG-RGPC在角扰动中以一定恢复精度代价降低电机指令总变差；在三事件外扰中降低位置RMSE但增加峰值误差。</w:t>
      </w:r>
    </w:p>
    <w:p w14:paraId="1309A044">
      <w:pPr>
        <w:ind w:firstLine="480"/>
      </w:pPr>
    </w:p>
    <w:sectPr>
      <w:headerReference r:id="rId5" w:type="default"/>
      <w:footerReference r:id="rId6" w:type="default"/>
      <w:pgSz w:w="11906" w:h="16838"/>
      <w:pgMar w:top="1417" w:right="1361" w:bottom="1304" w:left="1474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EAF92">
    <w:pPr>
      <w:pStyle w:val="24"/>
      <w:jc w:val="center"/>
    </w:pPr>
    <w:r>
      <w:rPr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55CEB">
    <w:pPr>
      <w:pStyle w:val="25"/>
      <w:tabs>
        <w:tab w:val="center" w:pos="4153"/>
        <w:tab w:val="right" w:pos="8306"/>
        <w:tab w:val="clear" w:pos="4680"/>
        <w:tab w:val="clear" w:pos="9360"/>
      </w:tabs>
      <w:snapToGrid w:val="0"/>
    </w:pPr>
    <w:r>
      <w:rPr>
        <w:rFonts w:ascii="宋体" w:hAnsi="宋体" w:cs="宋体"/>
        <w:szCs w:val="24"/>
      </w:rPr>
      <w:drawing>
        <wp:inline distT="0" distB="0" distL="114300" distR="114300">
          <wp:extent cx="1137920" cy="304800"/>
          <wp:effectExtent l="0" t="0" r="5080" b="0"/>
          <wp:docPr id="33" name="图片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图片 1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7920" cy="3048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szCs w:val="18"/>
      </w:rPr>
      <w:t xml:space="preserve">          </w:t>
    </w:r>
    <w:r>
      <w:rPr>
        <w:rFonts w:hint="eastAsia"/>
        <w:szCs w:val="18"/>
        <w:lang w:eastAsia="zh-CN"/>
      </w:rPr>
      <w:t xml:space="preserve">                                                                                         </w:t>
    </w:r>
    <w:r>
      <w:rPr>
        <w:rFonts w:hint="eastAsia" w:cs="Times New Roman"/>
        <w:b/>
        <w:bCs/>
        <w:sz w:val="21"/>
        <w:szCs w:val="21"/>
        <w:lang w:eastAsia="zh-CN"/>
      </w:rPr>
      <w:t>代码开发文档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1"/>
  <w:bordersDoNotSurroundFooter w:val="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77A4"/>
    <w:rsid w:val="00034616"/>
    <w:rsid w:val="0006063C"/>
    <w:rsid w:val="001010DA"/>
    <w:rsid w:val="00103569"/>
    <w:rsid w:val="0015074B"/>
    <w:rsid w:val="001A7810"/>
    <w:rsid w:val="001E4F35"/>
    <w:rsid w:val="0029639D"/>
    <w:rsid w:val="002D7BD2"/>
    <w:rsid w:val="00326F90"/>
    <w:rsid w:val="004D2E31"/>
    <w:rsid w:val="005C3577"/>
    <w:rsid w:val="005E6228"/>
    <w:rsid w:val="005F7095"/>
    <w:rsid w:val="00650CEB"/>
    <w:rsid w:val="007857CD"/>
    <w:rsid w:val="00836013"/>
    <w:rsid w:val="00845543"/>
    <w:rsid w:val="008A765A"/>
    <w:rsid w:val="00956753"/>
    <w:rsid w:val="009F47B1"/>
    <w:rsid w:val="00A20E51"/>
    <w:rsid w:val="00AA1D8D"/>
    <w:rsid w:val="00B47730"/>
    <w:rsid w:val="00CB0664"/>
    <w:rsid w:val="00FC693F"/>
    <w:rsid w:val="109E0A4B"/>
    <w:rsid w:val="2E7B09AD"/>
    <w:rsid w:val="5A987886"/>
    <w:rsid w:val="5C8C1B9C"/>
    <w:rsid w:val="61A95C5A"/>
    <w:rsid w:val="6FC56474"/>
    <w:rsid w:val="78E0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240" w:after="240" w:line="300" w:lineRule="auto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100" w:line="300" w:lineRule="auto"/>
      <w:jc w:val="left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60" w:after="60" w:line="240" w:lineRule="auto"/>
      <w:jc w:val="center"/>
    </w:pPr>
    <w:rPr>
      <w:b/>
      <w:bCs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cs="Times New Roman"/>
      <w:szCs w:val="24"/>
      <w:lang w:eastAsia="zh-CN"/>
    </w:rPr>
  </w:style>
  <w:style w:type="paragraph" w:styleId="31">
    <w:name w:val="Normal (Web)"/>
    <w:basedOn w:val="1"/>
    <w:semiHidden/>
    <w:unhideWhenUsed/>
    <w:uiPriority w:val="99"/>
    <w:pPr>
      <w:spacing w:beforeAutospacing="1" w:afterAutospacing="1"/>
      <w:jc w:val="left"/>
    </w:pPr>
    <w:rPr>
      <w:rFonts w:cs="Times New Roman"/>
      <w:lang w:eastAsia="zh-CN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semiHidden/>
    <w:unhideWhenUsed/>
    <w:uiPriority w:val="99"/>
    <w:rPr>
      <w:color w:val="0000FF"/>
      <w:u w:val="single"/>
    </w:rPr>
  </w:style>
  <w:style w:type="character" w:styleId="138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9">
    <w:name w:val="页眉 字符"/>
    <w:basedOn w:val="134"/>
    <w:link w:val="25"/>
    <w:qFormat/>
    <w:uiPriority w:val="99"/>
  </w:style>
  <w:style w:type="character" w:customStyle="1" w:styleId="140">
    <w:name w:val="页脚 字符"/>
    <w:basedOn w:val="134"/>
    <w:link w:val="24"/>
    <w:qFormat/>
    <w:uiPriority w:val="99"/>
  </w:style>
  <w:style w:type="paragraph" w:styleId="141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标题 1 字符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标题 字符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副标题 字符"/>
    <w:basedOn w:val="134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正文文本 字符"/>
    <w:basedOn w:val="134"/>
    <w:link w:val="19"/>
    <w:qFormat/>
    <w:uiPriority w:val="99"/>
  </w:style>
  <w:style w:type="character" w:customStyle="1" w:styleId="149">
    <w:name w:val="正文文本 2 字符"/>
    <w:basedOn w:val="134"/>
    <w:link w:val="28"/>
    <w:qFormat/>
    <w:uiPriority w:val="99"/>
  </w:style>
  <w:style w:type="character" w:customStyle="1" w:styleId="150">
    <w:name w:val="正文文本 3 字符"/>
    <w:basedOn w:val="134"/>
    <w:link w:val="17"/>
    <w:qFormat/>
    <w:uiPriority w:val="99"/>
    <w:rPr>
      <w:sz w:val="16"/>
      <w:szCs w:val="16"/>
    </w:rPr>
  </w:style>
  <w:style w:type="character" w:customStyle="1" w:styleId="151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引用 字符"/>
    <w:basedOn w:val="134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标题 4 字符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标题 8 字符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明显引用 字符"/>
    <w:basedOn w:val="134"/>
    <w:link w:val="1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不明显强调1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明显强调1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不明显参考1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明显参考1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书籍标题1"/>
    <w:basedOn w:val="134"/>
    <w:qFormat/>
    <w:uiPriority w:val="33"/>
    <w:rPr>
      <w:b/>
      <w:bCs/>
      <w:smallCaps/>
      <w:spacing w:val="5"/>
    </w:rPr>
  </w:style>
  <w:style w:type="paragraph" w:customStyle="1" w:styleId="167">
    <w:name w:val="TOC 标题1"/>
    <w:basedOn w:val="3"/>
    <w:next w:val="1"/>
    <w:semiHidden/>
    <w:unhideWhenUsed/>
    <w:qFormat/>
    <w:uiPriority w:val="39"/>
    <w:pPr>
      <w:outlineLvl w:val="9"/>
    </w:pPr>
  </w:style>
  <w:style w:type="paragraph" w:customStyle="1" w:styleId="168">
    <w:name w:val="Source Note"/>
    <w:qFormat/>
    <w:uiPriority w:val="0"/>
    <w:pPr>
      <w:spacing w:after="60"/>
    </w:pPr>
    <w:rPr>
      <w:rFonts w:ascii="Times New Roman" w:hAnsi="Times New Roman" w:eastAsia="宋体" w:cstheme="minorBidi"/>
      <w:color w:val="000000"/>
      <w:sz w:val="18"/>
      <w:szCs w:val="22"/>
      <w:lang w:val="en-US" w:eastAsia="en-US" w:bidi="ar-SA"/>
    </w:rPr>
  </w:style>
  <w:style w:type="paragraph" w:customStyle="1" w:styleId="169">
    <w:name w:val="Table Text"/>
    <w:qFormat/>
    <w:uiPriority w:val="0"/>
    <w:rPr>
      <w:rFonts w:ascii="Times New Roman" w:hAnsi="Times New Roman" w:eastAsia="宋体" w:cstheme="minorBidi"/>
      <w:color w:val="000000"/>
      <w:sz w:val="17"/>
      <w:szCs w:val="22"/>
      <w:lang w:val="en-US" w:eastAsia="en-US" w:bidi="ar-SA"/>
    </w:rPr>
  </w:style>
  <w:style w:type="paragraph" w:customStyle="1" w:styleId="170">
    <w:name w:val="Compact TOC"/>
    <w:qFormat/>
    <w:uiPriority w:val="0"/>
    <w:pPr>
      <w:spacing w:before="60" w:after="60" w:line="300" w:lineRule="auto"/>
    </w:pPr>
    <w:rPr>
      <w:rFonts w:ascii="Times New Roman" w:hAnsi="Times New Roman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71">
    <w:name w:val="Compact TOC 2"/>
    <w:qFormat/>
    <w:uiPriority w:val="0"/>
    <w:pPr>
      <w:spacing w:before="16" w:after="16" w:line="264" w:lineRule="auto"/>
    </w:pPr>
    <w:rPr>
      <w:rFonts w:ascii="Times New Roman" w:hAnsi="Times New Roman" w:eastAsia="宋体" w:cstheme="minorBidi"/>
      <w:color w:val="000000"/>
      <w:sz w:val="19"/>
      <w:szCs w:val="22"/>
      <w:lang w:val="en-US" w:eastAsia="en-US" w:bidi="ar-SA"/>
    </w:rPr>
  </w:style>
  <w:style w:type="paragraph" w:customStyle="1" w:styleId="172">
    <w:name w:val="Cover Title"/>
    <w:qFormat/>
    <w:uiPriority w:val="0"/>
    <w:pPr>
      <w:spacing w:after="360" w:line="276" w:lineRule="auto"/>
      <w:jc w:val="center"/>
    </w:pPr>
    <w:rPr>
      <w:rFonts w:ascii="Times New Roman" w:hAnsi="Times New Roman" w:eastAsia="黑体" w:cs="Times New Roman"/>
      <w:b/>
      <w:color w:val="000000"/>
      <w:sz w:val="44"/>
      <w:szCs w:val="22"/>
      <w:lang w:val="en-US" w:eastAsia="en-US" w:bidi="ar-SA"/>
    </w:rPr>
  </w:style>
  <w:style w:type="paragraph" w:customStyle="1" w:styleId="173">
    <w:name w:val="Cover Subtitle"/>
    <w:qFormat/>
    <w:uiPriority w:val="0"/>
    <w:pPr>
      <w:spacing w:after="960" w:line="276" w:lineRule="auto"/>
      <w:jc w:val="center"/>
    </w:pPr>
    <w:rPr>
      <w:rFonts w:ascii="Times New Roman" w:hAnsi="Times New Roman" w:eastAsia="黑体" w:cs="Times New Roman"/>
      <w:b/>
      <w:color w:val="000000"/>
      <w:sz w:val="52"/>
      <w:szCs w:val="22"/>
      <w:lang w:val="en-US" w:eastAsia="en-US" w:bidi="ar-SA"/>
    </w:rPr>
  </w:style>
  <w:style w:type="paragraph" w:customStyle="1" w:styleId="174">
    <w:name w:val="Cover Metadata"/>
    <w:qFormat/>
    <w:uiPriority w:val="0"/>
    <w:pPr>
      <w:spacing w:after="200" w:line="432" w:lineRule="auto"/>
      <w:jc w:val="center"/>
    </w:pPr>
    <w:rPr>
      <w:rFonts w:ascii="Times New Roman" w:hAnsi="Times New Roman" w:eastAsia="宋体" w:cs="Times New Roman"/>
      <w:color w:val="000000"/>
      <w:sz w:val="28"/>
      <w:szCs w:val="22"/>
      <w:lang w:val="en-US" w:eastAsia="en-US" w:bidi="ar-SA"/>
    </w:rPr>
  </w:style>
  <w:style w:type="paragraph" w:customStyle="1" w:styleId="175">
    <w:name w:val="Code Block"/>
    <w:qFormat/>
    <w:uiPriority w:val="0"/>
    <w:pPr>
      <w:spacing w:before="80" w:after="120"/>
      <w:ind w:left="403" w:right="403"/>
    </w:pPr>
    <w:rPr>
      <w:rFonts w:ascii="Courier New" w:hAnsi="Courier New" w:eastAsia="微软雅黑" w:cs="Times New Roman"/>
      <w:sz w:val="16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5878</Words>
  <Characters>9021</Characters>
  <Lines>433</Lines>
  <Paragraphs>252</Paragraphs>
  <TotalTime>93</TotalTime>
  <ScaleCrop>false</ScaleCrop>
  <LinksUpToDate>false</LinksUpToDate>
  <CharactersWithSpaces>9346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驭穹稳控团队</dc:creator>
  <dc:description>代码开发文档的流程图、语言和表格精简优化</dc:description>
  <cp:keywords>ARDG-RGPC, MWORKS, 四旋翼, 代码开发文档</cp:keywords>
  <cp:lastModifiedBy>Vincent</cp:lastModifiedBy>
  <dcterms:modified xsi:type="dcterms:W3CDTF">2026-08-17T07:34:02Z</dcterms:modified>
  <dc:subject>ARDG-RGPC四旋翼鲁棒位姿控制与编队安全仿真系统</dc:subject>
  <dc:title>驭穹稳控代码开发文档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eyJoZGlkIjoiZmE2ZTg4MGM4OGU3ZjQ0M2VlNDZjOWE0YWQ0YTMxNDQiLCJ1c2VySWQiOiIzODA0ODIzMjAifQ==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E0657C4E508644F8B8CC272A792D4353_12</vt:lpwstr>
  </property>
</Properties>
</file>