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00"/>
      </w:pPr>
      <w:r>
        <w:rPr>
          <w:rFonts w:ascii="Noto Sans CJK SC" w:hAnsi="Noto Sans CJK SC" w:eastAsia="Noto Sans CJK SC"/>
          <w:b/>
          <w:color w:val="0F5A4D"/>
          <w:sz w:val="96"/>
        </w:rPr>
        <w:t>CHAT</w:t>
      </w:r>
      <w:r>
        <w:rPr>
          <w:rFonts w:ascii="Noto Sans CJK SC" w:hAnsi="Noto Sans CJK SC" w:eastAsia="Noto Sans CJK SC"/>
          <w:b/>
          <w:color w:val="F4B942"/>
          <w:sz w:val="96"/>
        </w:rPr>
        <w:t>CIRCLE</w:t>
      </w:r>
    </w:p>
    <w:p>
      <w:pPr>
        <w:spacing w:after="160"/>
      </w:pPr>
      <w:r>
        <w:rPr>
          <w:rFonts w:ascii="Noto Sans CJK SC" w:hAnsi="Noto Sans CJK SC" w:eastAsia="Noto Sans CJK SC"/>
          <w:b/>
          <w:color w:val="1D2926"/>
          <w:sz w:val="50"/>
        </w:rPr>
        <w:t>Web UI 设计系统与界面方案</w:t>
      </w:r>
    </w:p>
    <w:p>
      <w:pPr>
        <w:spacing w:after="600"/>
      </w:pPr>
      <w:r>
        <w:rPr>
          <w:rFonts w:ascii="Noto Sans CJK SC" w:hAnsi="Noto Sans CJK SC" w:eastAsia="Noto Sans CJK SC"/>
          <w:color w:val="64736E"/>
          <w:sz w:val="24"/>
        </w:rPr>
        <w:t>面向参与者、机构管理员与平台超级管理员的统一产品体验规范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219"/>
            <w:shd w:fill="EFF8F5" w:val="clear"/>
            <w:tcMar>
              <w:top w:w="230" w:type="dxa"/>
              <w:start w:w="0" w:type="dxa"/>
              <w:bottom w:w="23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219"/>
            <w:shd w:fill="D7EFE7" w:val="clear"/>
            <w:tcMar>
              <w:top w:w="230" w:type="dxa"/>
              <w:start w:w="0" w:type="dxa"/>
              <w:bottom w:w="23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219"/>
            <w:shd w:fill="FFFFFF" w:val="clear"/>
            <w:tcMar>
              <w:top w:w="230" w:type="dxa"/>
              <w:start w:w="0" w:type="dxa"/>
              <w:bottom w:w="23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219"/>
            <w:shd w:fill="FFF5DC" w:val="clear"/>
            <w:tcMar>
              <w:top w:w="230" w:type="dxa"/>
              <w:start w:w="0" w:type="dxa"/>
              <w:bottom w:w="23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219"/>
            <w:shd w:fill="FFFFFF" w:val="clear"/>
            <w:tcMar>
              <w:top w:w="230" w:type="dxa"/>
              <w:start w:w="0" w:type="dxa"/>
              <w:bottom w:w="23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1219"/>
            <w:shd w:fill="D7EFE7" w:val="clear"/>
            <w:tcMar>
              <w:top w:w="230" w:type="dxa"/>
              <w:start w:w="0" w:type="dxa"/>
              <w:bottom w:w="23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219"/>
            <w:shd w:fill="176B5B" w:val="clear"/>
            <w:tcMar>
              <w:top w:w="230" w:type="dxa"/>
              <w:start w:w="0" w:type="dxa"/>
              <w:bottom w:w="23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219"/>
            <w:shd w:fill="AFDFD1" w:val="clear"/>
            <w:tcMar>
              <w:top w:w="230" w:type="dxa"/>
              <w:start w:w="0" w:type="dxa"/>
              <w:bottom w:w="23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219"/>
            <w:shd w:fill="F4B942" w:val="clear"/>
            <w:tcMar>
              <w:top w:w="230" w:type="dxa"/>
              <w:start w:w="0" w:type="dxa"/>
              <w:bottom w:w="23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219"/>
            <w:shd w:fill="FFF5DC" w:val="clear"/>
            <w:tcMar>
              <w:top w:w="230" w:type="dxa"/>
              <w:start w:w="0" w:type="dxa"/>
              <w:bottom w:w="23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1219"/>
            <w:shd w:fill="FFFFFF" w:val="clear"/>
            <w:tcMar>
              <w:top w:w="230" w:type="dxa"/>
              <w:start w:w="0" w:type="dxa"/>
              <w:bottom w:w="23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219"/>
            <w:shd w:fill="AFDFD1" w:val="clear"/>
            <w:tcMar>
              <w:top w:w="230" w:type="dxa"/>
              <w:start w:w="0" w:type="dxa"/>
              <w:bottom w:w="23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219"/>
            <w:shd w:fill="EFF8F5" w:val="clear"/>
            <w:tcMar>
              <w:top w:w="230" w:type="dxa"/>
              <w:start w:w="0" w:type="dxa"/>
              <w:bottom w:w="23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219"/>
            <w:shd w:fill="D7EFE7" w:val="clear"/>
            <w:tcMar>
              <w:top w:w="230" w:type="dxa"/>
              <w:start w:w="0" w:type="dxa"/>
              <w:bottom w:w="23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219"/>
            <w:shd w:fill="FFFFFF" w:val="clear"/>
            <w:tcMar>
              <w:top w:w="230" w:type="dxa"/>
              <w:start w:w="0" w:type="dxa"/>
              <w:bottom w:w="23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680" w:after="80"/>
      </w:pPr>
      <w:r>
        <w:rPr>
          <w:rFonts w:ascii="Noto Sans CJK SC" w:hAnsi="Noto Sans CJK SC" w:eastAsia="Noto Sans CJK SC"/>
          <w:color w:val="64736E"/>
          <w:sz w:val="18"/>
        </w:rPr>
        <w:t>版本</w:t>
      </w:r>
      <w:r>
        <w:rPr>
          <w:rFonts w:ascii="Noto Sans CJK SC" w:hAnsi="Noto Sans CJK SC" w:eastAsia="Noto Sans CJK SC"/>
          <w:b/>
          <w:color w:val="1D2926"/>
          <w:sz w:val="18"/>
        </w:rPr>
        <w:t xml:space="preserve">  V1.0</w:t>
      </w:r>
    </w:p>
    <w:p>
      <w:pPr>
        <w:spacing w:after="80"/>
      </w:pPr>
      <w:r>
        <w:rPr>
          <w:rFonts w:ascii="Noto Sans CJK SC" w:hAnsi="Noto Sans CJK SC" w:eastAsia="Noto Sans CJK SC"/>
          <w:color w:val="64736E"/>
          <w:sz w:val="18"/>
        </w:rPr>
        <w:t>设计方向</w:t>
      </w:r>
      <w:r>
        <w:rPr>
          <w:rFonts w:ascii="Noto Sans CJK SC" w:hAnsi="Noto Sans CJK SC" w:eastAsia="Noto Sans CJK SC"/>
          <w:b/>
          <w:color w:val="1D2926"/>
          <w:sz w:val="18"/>
        </w:rPr>
        <w:t xml:space="preserve">  参与者端：温暖社会创新风  /  管理后台：极简公益科技风</w:t>
      </w:r>
    </w:p>
    <w:p>
      <w:pPr>
        <w:spacing w:after="80"/>
      </w:pPr>
      <w:r>
        <w:rPr>
          <w:rFonts w:ascii="Noto Sans CJK SC" w:hAnsi="Noto Sans CJK SC" w:eastAsia="Noto Sans CJK SC"/>
          <w:color w:val="64736E"/>
          <w:sz w:val="18"/>
        </w:rPr>
        <w:t>适用范围</w:t>
      </w:r>
      <w:r>
        <w:rPr>
          <w:rFonts w:ascii="Noto Sans CJK SC" w:hAnsi="Noto Sans CJK SC" w:eastAsia="Noto Sans CJK SC"/>
          <w:b/>
          <w:color w:val="1D2926"/>
          <w:sz w:val="18"/>
        </w:rPr>
        <w:t xml:space="preserve">  Web、移动 Web、后续可扩展的设计系统</w:t>
      </w:r>
    </w:p>
    <w:p>
      <w:pPr>
        <w:spacing w:before="600" w:after="0"/>
        <w:shd w:fill="EFF8F5"/>
        <w:ind w:left="113" w:right="1928"/>
      </w:pPr>
      <w:r>
        <w:rPr>
          <w:rFonts w:ascii="Noto Sans CJK SC" w:hAnsi="Noto Sans CJK SC" w:eastAsia="Noto Sans CJK SC"/>
          <w:b/>
          <w:color w:val="176B5B"/>
          <w:sz w:val="18"/>
        </w:rPr>
        <w:t>方案状态：可作为产品原型、Figma 设计与前端开发的基础规范。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0F5A4D"/>
          <w:sz w:val="36"/>
        </w:rPr>
        <w:t>文档说明</w:t>
      </w:r>
    </w:p>
    <w:p>
      <w:pPr>
        <w:spacing w:after="140" w:line="312" w:lineRule="auto"/>
      </w:pPr>
      <w:r>
        <w:rPr>
          <w:rFonts w:ascii="Noto Sans CJK SC" w:hAnsi="Noto Sans CJK SC" w:eastAsia="Noto Sans CJK SC"/>
          <w:color w:val="33423E"/>
          <w:sz w:val="21"/>
        </w:rPr>
        <w:t>本文件将 ChatCircle 的产品定位、角色权限和核心业务流程转化为一套可执行的 UI 设计方案。设计目标不是把系统做成通用的活动管理后台，而是让“安全表达、认真倾听、形成连接、衡量影响”成为可感知的产品体验。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957"/>
      </w:tblGrid>
      <w:tr>
        <w:tc>
          <w:tcPr>
            <w:tcW w:type="dxa" w:w="4819"/>
            <w:shd w:fill="176B5B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19"/>
            <w:shd w:fill="EFF8F5" w:val="clear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76B5B"/>
                <w:sz w:val="21"/>
              </w:rPr>
              <w:t>已确定的方向</w:t>
            </w:r>
          </w:p>
          <w:p>
            <w:pPr>
              <w:spacing w:after="0" w:before="60"/>
            </w:pPr>
            <w:r>
              <w:rPr>
                <w:rFonts w:ascii="Noto Sans CJK SC" w:hAnsi="Noto Sans CJK SC" w:eastAsia="Noto Sans CJK SC"/>
                <w:color w:val="33423E"/>
                <w:sz w:val="19"/>
              </w:rPr>
              <w:t>参与者端采用方向 A“温暖社会创新风”；不采用方向 B 的教育平台化视觉；机构管理员与超级管理员后台采用方向 C“极简公益科技风”。两套界面共享同一设计系统，但在信息密度、导航方式和视觉表达上有明确差异。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核心设计决策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决策项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方案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9"/>
              </w:rPr>
              <w:t>品牌气质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9"/>
              </w:rPr>
              <w:t>温暖、可信、开放、有社会影响力；避免幼稚、政府化、传统公益化和“AI 紫色科技感”。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9"/>
              </w:rPr>
              <w:t>参与者端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9"/>
              </w:rPr>
              <w:t>移动优先，任务导向，大卡片、清晰状态、低认知负担；鼓励表达但不制造社交压力。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9"/>
              </w:rPr>
              <w:t>管理后台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9"/>
              </w:rPr>
              <w:t>桌面优先，数据与操作效率导向；白底、精细分隔、少量品牌色，支持高密度表格和筛选。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9"/>
              </w:rPr>
              <w:t>视觉母题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9"/>
              </w:rPr>
              <w:t>使用圆、圆环、重叠与连接作为品牌语言，对应 Circle、对话和关系网络。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9"/>
              </w:rPr>
              <w:t>权限结构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9"/>
              </w:rPr>
              <w:t>参与者仅访问报名、问卷、活动与个人信息；机构管理员仅管理本机构；超级管理员管理全平台。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9"/>
              </w:rPr>
              <w:t>增长方式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9"/>
              </w:rPr>
              <w:t>通过活动链接和二维码进入；未注册用户可在报名流程中完成轻量注册；不设置候补。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文档目录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F8FAF9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01 产品与体验战略</w:t>
            </w:r>
          </w:p>
        </w:tc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F8FAF9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06 超级管理员后台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F8FAF9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02 品牌与视觉设计系统</w:t>
            </w:r>
          </w:p>
        </w:tc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F8FAF9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07 核心组件与交互规范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F8FAF9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03 信息架构与全局框架</w:t>
            </w:r>
          </w:p>
        </w:tc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F8FAF9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08 数据可视化与影响力表达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F8FAF9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04 参与者端设计方案</w:t>
            </w:r>
          </w:p>
        </w:tc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F8FAF9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09 响应式、无障碍与内容规范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F8FAF9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05 机构管理员后台</w:t>
            </w:r>
          </w:p>
        </w:tc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F8FAF9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10 页面清单、交付与验收</w:t>
            </w:r>
          </w:p>
        </w:tc>
      </w:tr>
    </w:tbl>
    <w:p>
      <w:r>
        <w:br w:type="page"/>
      </w:r>
    </w:p>
    <w:p>
      <w:pPr>
        <w:spacing w:before="1400" w:after="200"/>
      </w:pPr>
      <w:r>
        <w:rPr>
          <w:rFonts w:ascii="Noto Sans CJK SC" w:hAnsi="Noto Sans CJK SC" w:eastAsia="Noto Sans CJK SC"/>
          <w:b/>
          <w:color w:val="D7EFE7"/>
          <w:sz w:val="92"/>
        </w:rPr>
        <w:t>01</w:t>
      </w:r>
    </w:p>
    <w:p>
      <w:pPr>
        <w:spacing w:after="160"/>
      </w:pPr>
      <w:r>
        <w:rPr>
          <w:rFonts w:ascii="Noto Sans CJK SC" w:hAnsi="Noto Sans CJK SC" w:eastAsia="Noto Sans CJK SC"/>
          <w:b/>
          <w:color w:val="0F5A4D"/>
          <w:sz w:val="52"/>
        </w:rPr>
        <w:t>产品与体验战略</w:t>
      </w:r>
    </w:p>
    <w:p>
      <w:pPr>
        <w:spacing w:after="600"/>
      </w:pPr>
      <w:r>
        <w:rPr>
          <w:rFonts w:ascii="Noto Sans CJK SC" w:hAnsi="Noto Sans CJK SC" w:eastAsia="Noto Sans CJK SC"/>
          <w:color w:val="64736E"/>
          <w:sz w:val="24"/>
        </w:rPr>
        <w:t>把 ChatCircle 从“活动工具”定义为“青年对话与社会影响平台”。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176B5B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80"/>
            <w:shd w:fill="F4B942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236"/>
            <w:shd w:fill="D7EFE7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b/>
          <w:color w:val="0F5A4D"/>
          <w:sz w:val="36"/>
        </w:rPr>
        <w:t>1.1 产品定位</w:t>
      </w:r>
    </w:p>
    <w:p>
      <w:pPr>
        <w:spacing w:after="140" w:line="312" w:lineRule="auto"/>
      </w:pPr>
      <w:r>
        <w:rPr>
          <w:rFonts w:ascii="Noto Sans CJK SC" w:hAnsi="Noto Sans CJK SC" w:eastAsia="Noto Sans CJK SC"/>
          <w:color w:val="33423E"/>
          <w:sz w:val="21"/>
        </w:rPr>
        <w:t>ChatCircle Web 是一个服务于青年对话活动的统一平台，覆盖活动发布、报名与审核、现场参与、问卷收集、数据分析和机构项目管理。产品需要同时满足两类目标：对参与者而言，它应让参加活动和表达观点变得安全、简单、清楚；对组织方而言，它应让活动运营、合规记录和影响力评估变得高效、可信、可追踪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957"/>
      </w:tblGrid>
      <w:tr>
        <w:tc>
          <w:tcPr>
            <w:tcW w:type="dxa" w:w="4819"/>
            <w:shd w:fill="D89C24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19"/>
            <w:shd w:fill="FFF5DC" w:val="clear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D89C24"/>
                <w:sz w:val="21"/>
              </w:rPr>
              <w:t>一句话定位</w:t>
            </w:r>
          </w:p>
          <w:p>
            <w:pPr>
              <w:spacing w:after="0" w:before="60"/>
            </w:pPr>
            <w:r>
              <w:rPr>
                <w:rFonts w:ascii="Noto Sans CJK SC" w:hAnsi="Noto Sans CJK SC" w:eastAsia="Noto Sans CJK SC"/>
                <w:color w:val="33423E"/>
                <w:sz w:val="19"/>
              </w:rPr>
              <w:t>ChatCircle 是一个帮助年轻人安全表达、互相倾听，并把对话转化为可衡量社会影响的平台。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1.2 用户角色与核心任务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典型用户</w:t>
            </w:r>
          </w:p>
        </w:tc>
        <w:tc>
          <w:tcPr>
            <w:tcW w:type="dxa" w:w="419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核心任务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体验关键词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参与者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国内初中生及其他青年参与者</w:t>
            </w:r>
          </w:p>
        </w:tc>
        <w:tc>
          <w:tcPr>
            <w:tcW w:type="dxa" w:w="419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找到活动、注册/登录、提交报名、查看审核结果、填写活动前后问卷、进入已开放的 Skill、查看个人参与记录。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简单、安全、明确、少步骤。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机构管理员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合作学校、公益机构、项目组织方</w:t>
            </w:r>
          </w:p>
        </w:tc>
        <w:tc>
          <w:tcPr>
            <w:tcW w:type="dxa" w:w="419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创建活动、设置报名与审核、管理参与者、配置问卷、查看本机构项目数据、导出报告、控制活动二维码与 Skill 开放状态。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高效、可控、可追踪。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超级管理员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Empact 平台运营团队</w:t>
            </w:r>
          </w:p>
        </w:tc>
        <w:tc>
          <w:tcPr>
            <w:tcW w:type="dxa" w:w="419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管理机构与权限、查看全平台数据、处理异常、维护模板、审计操作、支持跨机构分析。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全局、稳定、可治理。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1.3 设计原则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76B5B"/>
          <w:sz w:val="21"/>
        </w:rPr>
        <w:t>清楚优先于炫目：</w:t>
      </w:r>
      <w:r>
        <w:rPr>
          <w:rFonts w:ascii="Noto Sans CJK SC" w:hAnsi="Noto Sans CJK SC" w:eastAsia="Noto Sans CJK SC"/>
          <w:color w:val="33423E"/>
          <w:sz w:val="21"/>
        </w:rPr>
        <w:t>任何页面首先回答：我现在在哪里、要做什么、完成后会发生什么。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76B5B"/>
          <w:sz w:val="21"/>
        </w:rPr>
        <w:t>温暖但不幼稚：</w:t>
      </w:r>
      <w:r>
        <w:rPr>
          <w:rFonts w:ascii="Noto Sans CJK SC" w:hAnsi="Noto Sans CJK SC" w:eastAsia="Noto Sans CJK SC"/>
          <w:color w:val="33423E"/>
          <w:sz w:val="21"/>
        </w:rPr>
        <w:t>使用温暖背景、圆形元素和友好文案，但不使用卡通吉祥物、糖果色或游戏化积分。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76B5B"/>
          <w:sz w:val="21"/>
        </w:rPr>
        <w:t>低压力参与：</w:t>
      </w:r>
      <w:r>
        <w:rPr>
          <w:rFonts w:ascii="Noto Sans CJK SC" w:hAnsi="Noto Sans CJK SC" w:eastAsia="Noto Sans CJK SC"/>
          <w:color w:val="33423E"/>
          <w:sz w:val="21"/>
        </w:rPr>
        <w:t>避免公开排名、过度比较、强社交提示；问卷与表达场景强调可跳过、可保存和隐私边界。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76B5B"/>
          <w:sz w:val="21"/>
        </w:rPr>
        <w:t>状态必须显性：</w:t>
      </w:r>
      <w:r>
        <w:rPr>
          <w:rFonts w:ascii="Noto Sans CJK SC" w:hAnsi="Noto Sans CJK SC" w:eastAsia="Noto Sans CJK SC"/>
          <w:color w:val="33423E"/>
          <w:sz w:val="21"/>
        </w:rPr>
        <w:t>报名、审核、问卷、活动和 Skill 的状态均同时使用文字、颜色和图标，不依赖单一颜色。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76B5B"/>
          <w:sz w:val="21"/>
        </w:rPr>
        <w:t>角色复杂度隔离：</w:t>
      </w:r>
      <w:r>
        <w:rPr>
          <w:rFonts w:ascii="Noto Sans CJK SC" w:hAnsi="Noto Sans CJK SC" w:eastAsia="Noto Sans CJK SC"/>
          <w:color w:val="33423E"/>
          <w:sz w:val="21"/>
        </w:rPr>
        <w:t>参与者端不暴露管理概念；机构后台不暴露平台治理；超级后台不干扰日常活动运营。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76B5B"/>
          <w:sz w:val="21"/>
        </w:rPr>
        <w:t>数据服务于行动：</w:t>
      </w:r>
      <w:r>
        <w:rPr>
          <w:rFonts w:ascii="Noto Sans CJK SC" w:hAnsi="Noto Sans CJK SC" w:eastAsia="Noto Sans CJK SC"/>
          <w:color w:val="33423E"/>
          <w:sz w:val="21"/>
        </w:rPr>
        <w:t>后台数据不仅展示数字，还必须说明变化、异常、待办与下一步动作。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76B5B"/>
          <w:sz w:val="21"/>
        </w:rPr>
        <w:t>系统可扩展：</w:t>
      </w:r>
      <w:r>
        <w:rPr>
          <w:rFonts w:ascii="Noto Sans CJK SC" w:hAnsi="Noto Sans CJK SC" w:eastAsia="Noto Sans CJK SC"/>
          <w:color w:val="33423E"/>
          <w:sz w:val="21"/>
        </w:rPr>
        <w:t>导航、权限、组件和页面模板允许未来增加项目管理、分析模型、消息通知与更多活动类型。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1.4 体验成功指标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报名完成率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活动详情页到报名提交的转化率；重点观察移动端。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任务完成时长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首次进入至完成报名、问卷的中位时长。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审核处理效率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待审核报名从提交至处理的平均时间。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问卷完成率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活动前问卷、活动后问卷分别统计，不用总平均掩盖问题。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签到与实际参与率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审核通过人数与实际参与人数之间的转化。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管理员错误率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误操作、重复操作、表单校验失败与撤销频次。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可访问性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关键流程达到 WCAG 2.2 AA 的可用性目标。</w:t>
            </w:r>
          </w:p>
        </w:tc>
      </w:tr>
    </w:tbl>
    <w:p>
      <w:r>
        <w:br w:type="page"/>
      </w:r>
    </w:p>
    <w:p>
      <w:pPr>
        <w:spacing w:before="1400" w:after="200"/>
      </w:pPr>
      <w:r>
        <w:rPr>
          <w:rFonts w:ascii="Noto Sans CJK SC" w:hAnsi="Noto Sans CJK SC" w:eastAsia="Noto Sans CJK SC"/>
          <w:b/>
          <w:color w:val="D7EFE7"/>
          <w:sz w:val="92"/>
        </w:rPr>
        <w:t>02</w:t>
      </w:r>
    </w:p>
    <w:p>
      <w:pPr>
        <w:spacing w:after="160"/>
      </w:pPr>
      <w:r>
        <w:rPr>
          <w:rFonts w:ascii="Noto Sans CJK SC" w:hAnsi="Noto Sans CJK SC" w:eastAsia="Noto Sans CJK SC"/>
          <w:b/>
          <w:color w:val="0F5A4D"/>
          <w:sz w:val="52"/>
        </w:rPr>
        <w:t>品牌与视觉设计系统</w:t>
      </w:r>
    </w:p>
    <w:p>
      <w:pPr>
        <w:spacing w:after="600"/>
      </w:pPr>
      <w:r>
        <w:rPr>
          <w:rFonts w:ascii="Noto Sans CJK SC" w:hAnsi="Noto Sans CJK SC" w:eastAsia="Noto Sans CJK SC"/>
          <w:color w:val="64736E"/>
          <w:sz w:val="24"/>
        </w:rPr>
        <w:t>一个品牌，两种信息密度；圆形连接语言贯穿所有端。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176B5B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80"/>
            <w:shd w:fill="F4B942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236"/>
            <w:shd w:fill="D7EFE7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b/>
          <w:color w:val="0F5A4D"/>
          <w:sz w:val="36"/>
        </w:rPr>
        <w:t>2.1 视觉方向</w:t>
      </w:r>
    </w:p>
    <w:p>
      <w:pPr>
        <w:spacing w:after="140" w:line="312" w:lineRule="auto"/>
      </w:pPr>
      <w:r>
        <w:rPr>
          <w:rFonts w:ascii="Noto Sans CJK SC" w:hAnsi="Noto Sans CJK SC" w:eastAsia="Noto Sans CJK SC"/>
          <w:color w:val="33423E"/>
          <w:sz w:val="21"/>
        </w:rPr>
        <w:t>参与者端采用“温暖社会创新风”：暖白背景、深青绿色品牌色、柔和圆角、适量圆形图形和活动影像，重点营造安全、友好和参与感。后台采用“极简公益科技风”：更高比例的纯白和中性色、更克制的装饰、更严格的网格与表格规范，重点保障运营效率和可信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参与者端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管理后台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背景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暖灰白与浅绿色分区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白色为主，暖灰作为页面底色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信息密度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低至中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中至高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圆角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12–20 px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8–12 px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图像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活动照片、轻量圆形插画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仅在空状态和引导页使用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颜色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品牌色与暖黄适度点缀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品牌色只用于行动、选中与关键数据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动效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柔和进入、进度反馈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快速、克制、功能性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导航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移动端底部导航；桌面简化顶栏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桌面左侧导航 + 顶部工具栏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2.2 色彩系统</w:t>
      </w:r>
    </w:p>
    <w:p>
      <w:pPr>
        <w:spacing w:after="140" w:line="312" w:lineRule="auto"/>
      </w:pPr>
      <w:r>
        <w:rPr>
          <w:rFonts w:ascii="Noto Sans CJK SC" w:hAnsi="Noto Sans CJK SC" w:eastAsia="Noto Sans CJK SC"/>
          <w:color w:val="33423E"/>
          <w:sz w:val="21"/>
        </w:rPr>
        <w:t>主色使用深青绿色，表达信任、成长和社会连接；暖黄色仅作为强调色，不作为大面积背景。后台的数据状态色必须与品牌色区分，防止“品牌色 = 成功状态”的语义混淆。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色值</w:t>
            </w:r>
          </w:p>
        </w:tc>
        <w:tc>
          <w:tcPr>
            <w:tcW w:type="dxa" w:w="11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视觉样本</w:t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主要用途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Brand 50</w:t>
            </w:r>
          </w:p>
        </w:tc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#EFF8F5</w:t>
            </w:r>
          </w:p>
        </w:tc>
        <w:tc>
          <w:tcPr>
            <w:tcW w:type="dxa" w:w="1134"/>
            <w:shd w:fill="EFF8F5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浅品牌背景、选中区域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Brand 100</w:t>
            </w:r>
          </w:p>
        </w:tc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#D7EFE7</w:t>
            </w:r>
          </w:p>
        </w:tc>
        <w:tc>
          <w:tcPr>
            <w:tcW w:type="dxa" w:w="1134"/>
            <w:shd w:fill="D7EFE7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分隔、标签背景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Brand 300</w:t>
            </w:r>
          </w:p>
        </w:tc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#78C6B0</w:t>
            </w:r>
          </w:p>
        </w:tc>
        <w:tc>
          <w:tcPr>
            <w:tcW w:type="dxa" w:w="1134"/>
            <w:shd w:fill="78C6B0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插画和图表辅助色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Brand 500</w:t>
            </w:r>
          </w:p>
        </w:tc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#23866F</w:t>
            </w:r>
          </w:p>
        </w:tc>
        <w:tc>
          <w:tcPr>
            <w:tcW w:type="dxa" w:w="1134"/>
            <w:shd w:fill="23866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次级按钮、图表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Brand 600</w:t>
            </w:r>
          </w:p>
        </w:tc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#176B5B</w:t>
            </w:r>
          </w:p>
        </w:tc>
        <w:tc>
          <w:tcPr>
            <w:tcW w:type="dxa" w:w="1134"/>
            <w:shd w:fill="176B5B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主品牌色、主按钮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Brand 700</w:t>
            </w:r>
          </w:p>
        </w:tc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#115548</w:t>
            </w:r>
          </w:p>
        </w:tc>
        <w:tc>
          <w:tcPr>
            <w:tcW w:type="dxa" w:w="1134"/>
            <w:shd w:fill="115548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悬停、深色文本强调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Brand 900</w:t>
            </w:r>
          </w:p>
        </w:tc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#0C2E29</w:t>
            </w:r>
          </w:p>
        </w:tc>
        <w:tc>
          <w:tcPr>
            <w:tcW w:type="dxa" w:w="1134"/>
            <w:shd w:fill="0C2E29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深色背景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Accent 100</w:t>
            </w:r>
          </w:p>
        </w:tc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#FFF5DC</w:t>
            </w:r>
          </w:p>
        </w:tc>
        <w:tc>
          <w:tcPr>
            <w:tcW w:type="dxa" w:w="1134"/>
            <w:shd w:fill="FFF5DC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暖黄提示背景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Accent 500</w:t>
            </w:r>
          </w:p>
        </w:tc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#F4B942</w:t>
            </w:r>
          </w:p>
        </w:tc>
        <w:tc>
          <w:tcPr>
            <w:tcW w:type="dxa" w:w="1134"/>
            <w:shd w:fill="F4B942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重点数字、品牌点缀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Accent 700</w:t>
            </w:r>
          </w:p>
        </w:tc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#C98713</w:t>
            </w:r>
          </w:p>
        </w:tc>
        <w:tc>
          <w:tcPr>
            <w:tcW w:type="dxa" w:w="1134"/>
            <w:shd w:fill="C9871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黄色文本与边框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Neutral 0</w:t>
            </w:r>
          </w:p>
        </w:tc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#FFFFFF</w:t>
            </w:r>
          </w:p>
        </w:tc>
        <w:tc>
          <w:tcPr>
            <w:tcW w:type="dxa" w:w="1134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卡片与后台主背景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Neutral 50</w:t>
            </w:r>
          </w:p>
        </w:tc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#F7F6F2</w:t>
            </w:r>
          </w:p>
        </w:tc>
        <w:tc>
          <w:tcPr>
            <w:tcW w:type="dxa" w:w="1134"/>
            <w:shd w:fill="F7F6F2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参与者端页面背景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Neutral 100</w:t>
            </w:r>
          </w:p>
        </w:tc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#F0F2F1</w:t>
            </w:r>
          </w:p>
        </w:tc>
        <w:tc>
          <w:tcPr>
            <w:tcW w:type="dxa" w:w="1134"/>
            <w:shd w:fill="F0F2F1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后台页面背景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Neutral 300</w:t>
            </w:r>
          </w:p>
        </w:tc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#D9E2DE</w:t>
            </w:r>
          </w:p>
        </w:tc>
        <w:tc>
          <w:tcPr>
            <w:tcW w:type="dxa" w:w="1134"/>
            <w:shd w:fill="D9E2DE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边框和分隔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Neutral 600</w:t>
            </w:r>
          </w:p>
        </w:tc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#64736E</w:t>
            </w:r>
          </w:p>
        </w:tc>
        <w:tc>
          <w:tcPr>
            <w:tcW w:type="dxa" w:w="1134"/>
            <w:shd w:fill="64736E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次级文字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Neutral 900</w:t>
            </w:r>
          </w:p>
        </w:tc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#1D2926</w:t>
            </w:r>
          </w:p>
        </w:tc>
        <w:tc>
          <w:tcPr>
            <w:tcW w:type="dxa" w:w="1134"/>
            <w:shd w:fill="1D2926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主文字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Success</w:t>
            </w:r>
          </w:p>
        </w:tc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#3D9B73</w:t>
            </w:r>
          </w:p>
        </w:tc>
        <w:tc>
          <w:tcPr>
            <w:tcW w:type="dxa" w:w="1134"/>
            <w:shd w:fill="3D9B73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成功/已完成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Warning</w:t>
            </w:r>
          </w:p>
        </w:tc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#E9A23B</w:t>
            </w:r>
          </w:p>
        </w:tc>
        <w:tc>
          <w:tcPr>
            <w:tcW w:type="dxa" w:w="1134"/>
            <w:shd w:fill="E9A23B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待处理/提醒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Error</w:t>
            </w:r>
          </w:p>
        </w:tc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#D95D5D</w:t>
            </w:r>
          </w:p>
        </w:tc>
        <w:tc>
          <w:tcPr>
            <w:tcW w:type="dxa" w:w="1134"/>
            <w:shd w:fill="D95D5D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错误/拒绝/危险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Info</w:t>
            </w:r>
          </w:p>
        </w:tc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#4A7FC1</w:t>
            </w:r>
          </w:p>
        </w:tc>
        <w:tc>
          <w:tcPr>
            <w:tcW w:type="dxa" w:w="1134"/>
            <w:shd w:fill="4A7FC1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信息/处理中</w:t>
            </w:r>
          </w:p>
        </w:tc>
      </w:tr>
    </w:tbl>
    <w:p>
      <w:pPr>
        <w:pStyle w:val="Heading3"/>
        <w:keepNext/>
      </w:pPr>
      <w:r>
        <w:rPr>
          <w:rFonts w:ascii="Noto Sans CJK SC" w:hAnsi="Noto Sans CJK SC" w:eastAsia="Noto Sans CJK SC"/>
          <w:b/>
          <w:color w:val="33423E"/>
          <w:sz w:val="23"/>
        </w:rPr>
        <w:t>2.3 色彩使用比例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024"/>
            <w:shd w:fill="FFFFFF" w:val="clear"/>
            <w:tcMar>
              <w:top w:w="150" w:type="dxa"/>
              <w:start w:w="140" w:type="dxa"/>
              <w:bottom w:w="150" w:type="dxa"/>
              <w:end w:w="14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</w:tcBorders>
          </w:tcPr>
          <w:p>
            <w:r>
              <w:rPr>
                <w:rFonts w:ascii="Noto Sans CJK SC" w:hAnsi="Noto Sans CJK SC" w:eastAsia="Noto Sans CJK SC"/>
                <w:color w:val="64736E"/>
                <w:sz w:val="17"/>
              </w:rPr>
              <w:t>参与者端</w:t>
            </w:r>
          </w:p>
          <w:p>
            <w:pPr>
              <w:spacing w:before="80" w:after="40"/>
            </w:pPr>
            <w:r>
              <w:rPr>
                <w:rFonts w:ascii="Noto Sans CJK SC" w:hAnsi="Noto Sans CJK SC" w:eastAsia="Noto Sans CJK SC"/>
                <w:b/>
                <w:color w:val="0F5A4D"/>
                <w:sz w:val="36"/>
              </w:rPr>
              <w:t>70%</w:t>
            </w:r>
          </w:p>
          <w:p>
            <w:r>
              <w:rPr>
                <w:rFonts w:ascii="Noto Sans CJK SC" w:hAnsi="Noto Sans CJK SC" w:eastAsia="Noto Sans CJK SC"/>
                <w:color w:val="7C8A85"/>
                <w:sz w:val="16"/>
              </w:rPr>
              <w:t>暖白/浅色背景</w:t>
            </w:r>
          </w:p>
        </w:tc>
        <w:tc>
          <w:tcPr>
            <w:tcW w:type="dxa" w:w="3024"/>
            <w:shd w:fill="FFFFFF" w:val="clear"/>
            <w:tcMar>
              <w:top w:w="150" w:type="dxa"/>
              <w:start w:w="140" w:type="dxa"/>
              <w:bottom w:w="150" w:type="dxa"/>
              <w:end w:w="14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</w:tcBorders>
          </w:tcPr>
          <w:p>
            <w:r>
              <w:rPr>
                <w:rFonts w:ascii="Noto Sans CJK SC" w:hAnsi="Noto Sans CJK SC" w:eastAsia="Noto Sans CJK SC"/>
                <w:color w:val="64736E"/>
                <w:sz w:val="17"/>
              </w:rPr>
              <w:t>中性色</w:t>
            </w:r>
          </w:p>
          <w:p>
            <w:pPr>
              <w:spacing w:before="80" w:after="40"/>
            </w:pPr>
            <w:r>
              <w:rPr>
                <w:rFonts w:ascii="Noto Sans CJK SC" w:hAnsi="Noto Sans CJK SC" w:eastAsia="Noto Sans CJK SC"/>
                <w:b/>
                <w:color w:val="0F5A4D"/>
                <w:sz w:val="36"/>
              </w:rPr>
              <w:t>20%</w:t>
            </w:r>
          </w:p>
          <w:p>
            <w:r>
              <w:rPr>
                <w:rFonts w:ascii="Noto Sans CJK SC" w:hAnsi="Noto Sans CJK SC" w:eastAsia="Noto Sans CJK SC"/>
                <w:color w:val="7C8A85"/>
                <w:sz w:val="16"/>
              </w:rPr>
              <w:t>文字、边框、卡片</w:t>
            </w:r>
          </w:p>
        </w:tc>
        <w:tc>
          <w:tcPr>
            <w:tcW w:type="dxa" w:w="3024"/>
            <w:shd w:fill="FFFFFF" w:val="clear"/>
            <w:tcMar>
              <w:top w:w="150" w:type="dxa"/>
              <w:start w:w="140" w:type="dxa"/>
              <w:bottom w:w="150" w:type="dxa"/>
              <w:end w:w="14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</w:tcBorders>
          </w:tcPr>
          <w:p>
            <w:r>
              <w:rPr>
                <w:rFonts w:ascii="Noto Sans CJK SC" w:hAnsi="Noto Sans CJK SC" w:eastAsia="Noto Sans CJK SC"/>
                <w:color w:val="64736E"/>
                <w:sz w:val="17"/>
              </w:rPr>
              <w:t>品牌与强调</w:t>
            </w:r>
          </w:p>
          <w:p>
            <w:pPr>
              <w:spacing w:before="80" w:after="40"/>
            </w:pPr>
            <w:r>
              <w:rPr>
                <w:rFonts w:ascii="Noto Sans CJK SC" w:hAnsi="Noto Sans CJK SC" w:eastAsia="Noto Sans CJK SC"/>
                <w:b/>
                <w:color w:val="0F5A4D"/>
                <w:sz w:val="36"/>
              </w:rPr>
              <w:t>10%</w:t>
            </w:r>
          </w:p>
          <w:p>
            <w:r>
              <w:rPr>
                <w:rFonts w:ascii="Noto Sans CJK SC" w:hAnsi="Noto Sans CJK SC" w:eastAsia="Noto Sans CJK SC"/>
                <w:color w:val="7C8A85"/>
                <w:sz w:val="16"/>
              </w:rPr>
              <w:t>行动与关键反馈</w:t>
            </w:r>
          </w:p>
        </w:tc>
      </w:tr>
    </w:tbl>
    <w:p>
      <w:pPr>
        <w:spacing w:after="0"/>
      </w:pPr>
    </w:p>
    <w:p>
      <w:pPr>
        <w:spacing w:after="140" w:line="312" w:lineRule="auto"/>
      </w:pPr>
      <w:r>
        <w:rPr>
          <w:rFonts w:ascii="Noto Sans CJK SC" w:hAnsi="Noto Sans CJK SC" w:eastAsia="Noto Sans CJK SC"/>
          <w:color w:val="33423E"/>
          <w:sz w:val="21"/>
        </w:rPr>
        <w:t>后台应进一步降低品牌色占比：页面中约 85% 使用白色与中性色，品牌色集中于主操作、选中状态、链接和少数关键指标。禁止在一个页面同时使用多个高饱和度色块作为装饰。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2.4 字体与排版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建议规格</w:t>
            </w:r>
          </w:p>
        </w:tc>
        <w:tc>
          <w:tcPr>
            <w:tcW w:type="dxa" w:w="498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Display</w:t>
            </w:r>
          </w:p>
        </w:tc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32–40 px / 700</w:t>
            </w:r>
          </w:p>
        </w:tc>
        <w:tc>
          <w:tcPr>
            <w:tcW w:type="dxa" w:w="498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官网或参与者端首屏标题，单页最多 1 处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Page Title</w:t>
            </w:r>
          </w:p>
        </w:tc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28–32 px / 700</w:t>
            </w:r>
          </w:p>
        </w:tc>
        <w:tc>
          <w:tcPr>
            <w:tcW w:type="dxa" w:w="498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页面标题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Section Title</w:t>
            </w:r>
          </w:p>
        </w:tc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20–24 px / 650</w:t>
            </w:r>
          </w:p>
        </w:tc>
        <w:tc>
          <w:tcPr>
            <w:tcW w:type="dxa" w:w="498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大模块标题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Card Title</w:t>
            </w:r>
          </w:p>
        </w:tc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16–18 px / 600</w:t>
            </w:r>
          </w:p>
        </w:tc>
        <w:tc>
          <w:tcPr>
            <w:tcW w:type="dxa" w:w="498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卡片标题、活动标题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Body</w:t>
            </w:r>
          </w:p>
        </w:tc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14–16 px / 400</w:t>
            </w:r>
          </w:p>
        </w:tc>
        <w:tc>
          <w:tcPr>
            <w:tcW w:type="dxa" w:w="498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主要正文与表单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Small</w:t>
            </w:r>
          </w:p>
        </w:tc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12–14 px / 400</w:t>
            </w:r>
          </w:p>
        </w:tc>
        <w:tc>
          <w:tcPr>
            <w:tcW w:type="dxa" w:w="498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辅助信息、表格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Label</w:t>
            </w:r>
          </w:p>
        </w:tc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12–14 px / 600</w:t>
            </w:r>
          </w:p>
        </w:tc>
        <w:tc>
          <w:tcPr>
            <w:tcW w:type="dxa" w:w="498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字段标签、状态文本</w:t>
            </w:r>
          </w:p>
        </w:tc>
      </w:tr>
    </w:tbl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中文首选：HarmonyOS Sans SC、思源黑体或系统无衬线字体。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英文与数字首选：Inter；后台数字可使用等宽数字特性以提升表格对齐。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正文行高 1.5 左右；表格行高 40–48 px；移动端正文不得低于 14 px。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避免大段居中正文、全大写英文和过度粗体。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2.5 栅格、间距、圆角与阴影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42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基础间距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4 px</w:t>
            </w:r>
          </w:p>
        </w:tc>
        <w:tc>
          <w:tcPr>
            <w:tcW w:type="dxa" w:w="42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所有间距使用 4 的倍数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内容间距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8 / 12 / 16 / 24 / 32 / 48 px</w:t>
            </w:r>
          </w:p>
        </w:tc>
        <w:tc>
          <w:tcPr>
            <w:tcW w:type="dxa" w:w="42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组件内外层级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桌面内容宽度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最大 1280 px</w:t>
            </w:r>
          </w:p>
        </w:tc>
        <w:tc>
          <w:tcPr>
            <w:tcW w:type="dxa" w:w="42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参与者端主内容最大 1120 px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后台侧栏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240 px，可折叠至 72 px</w:t>
            </w:r>
          </w:p>
        </w:tc>
        <w:tc>
          <w:tcPr>
            <w:tcW w:type="dxa" w:w="42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超级管理员可固定展开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参与者圆角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16 px 卡片 / 12 px 控件 / 999 px 标签</w:t>
            </w:r>
          </w:p>
        </w:tc>
        <w:tc>
          <w:tcPr>
            <w:tcW w:type="dxa" w:w="42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更柔和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后台圆角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10–12 px 卡片 / 8 px 控件</w:t>
            </w:r>
          </w:p>
        </w:tc>
        <w:tc>
          <w:tcPr>
            <w:tcW w:type="dxa" w:w="42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更克制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阴影 1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0 1 2 rgba(15,42,35,.06)</w:t>
            </w:r>
          </w:p>
        </w:tc>
        <w:tc>
          <w:tcPr>
            <w:tcW w:type="dxa" w:w="42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表单控件/小卡片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阴影 2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0 8 24 rgba(15,42,35,.08)</w:t>
            </w:r>
          </w:p>
        </w:tc>
        <w:tc>
          <w:tcPr>
            <w:tcW w:type="dxa" w:w="42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悬浮层/重要卡片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2.6 图标、影像与插画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图标使用统一线性图标库，建议 1.75–2 px 线宽、圆角端点；禁止混用填充图标和线性图标。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参与者端活动图像优先使用真实、多元、自然互动的照片；避免摆拍、过度欢呼和刻板公益影像。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圆形插画用于登录、空状态、完成状态和影响力摘要，不应成为每张卡片的背景装饰。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后台尽量不用大图；空状态插画控制在 160–240 px，保持单色或双色。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2.7 动效原则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表达方式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页面进入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150–220 ms</w:t>
            </w:r>
          </w:p>
        </w:tc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淡入 + 4–8 px 位移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悬停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120–160 ms</w:t>
            </w:r>
          </w:p>
        </w:tc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边框、背景、轻微阴影变化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弹窗/抽屉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180–240 ms</w:t>
            </w:r>
          </w:p>
        </w:tc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禁止弹跳和过度缩放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进度反馈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实时</w:t>
            </w:r>
          </w:p>
        </w:tc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按钮 loading、骨架屏、步骤条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成功反馈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300–500 ms</w:t>
            </w:r>
          </w:p>
        </w:tc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轻量圆环或勾选，不使用烟花和彩纸</w:t>
            </w:r>
          </w:p>
        </w:tc>
      </w:tr>
    </w:tbl>
    <w:p>
      <w:r>
        <w:br w:type="page"/>
      </w:r>
    </w:p>
    <w:p>
      <w:pPr>
        <w:spacing w:before="1400" w:after="200"/>
      </w:pPr>
      <w:r>
        <w:rPr>
          <w:rFonts w:ascii="Noto Sans CJK SC" w:hAnsi="Noto Sans CJK SC" w:eastAsia="Noto Sans CJK SC"/>
          <w:b/>
          <w:color w:val="D7EFE7"/>
          <w:sz w:val="92"/>
        </w:rPr>
        <w:t>03</w:t>
      </w:r>
    </w:p>
    <w:p>
      <w:pPr>
        <w:spacing w:after="160"/>
      </w:pPr>
      <w:r>
        <w:rPr>
          <w:rFonts w:ascii="Noto Sans CJK SC" w:hAnsi="Noto Sans CJK SC" w:eastAsia="Noto Sans CJK SC"/>
          <w:b/>
          <w:color w:val="0F5A4D"/>
          <w:sz w:val="52"/>
        </w:rPr>
        <w:t>信息架构与全局框架</w:t>
      </w:r>
    </w:p>
    <w:p>
      <w:pPr>
        <w:spacing w:after="600"/>
      </w:pPr>
      <w:r>
        <w:rPr>
          <w:rFonts w:ascii="Noto Sans CJK SC" w:hAnsi="Noto Sans CJK SC" w:eastAsia="Noto Sans CJK SC"/>
          <w:color w:val="64736E"/>
          <w:sz w:val="24"/>
        </w:rPr>
        <w:t>用角色隔离复杂度，用统一状态和组件建立一致性。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176B5B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80"/>
            <w:shd w:fill="F4B942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236"/>
            <w:shd w:fill="D7EFE7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b/>
          <w:color w:val="0F5A4D"/>
          <w:sz w:val="36"/>
        </w:rPr>
        <w:t>3.1 产品信息架构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主要模块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参与者端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首页、活动、活动详情、报名、报名状态、问卷、Skill 入口、我的参与、账户与隐私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机构管理员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概览、活动管理、报名审核、参与者、问卷与模板、数据报告、导出、机构设置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超级管理员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平台概览、机构管理、全平台活动、用户与权限、问卷模板、数据治理、系统配置、操作日志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共用能力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认证、通知、搜索、筛选、文件导出、状态管理、帮助与反馈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3.2 认证与入口策略</w:t>
      </w:r>
    </w:p>
    <w:p>
      <w:pPr>
        <w:pStyle w:val="ListNumber"/>
        <w:spacing w:after="100" w:line="288" w:lineRule="auto"/>
      </w:pPr>
      <w:r>
        <w:rPr>
          <w:rFonts w:ascii="Noto Sans CJK SC" w:hAnsi="Noto Sans CJK SC" w:eastAsia="Noto Sans CJK SC"/>
          <w:color w:val="33423E"/>
          <w:sz w:val="21"/>
        </w:rPr>
        <w:t>用户从活动链接或二维码进入活动详情；未登录时仍可浏览公开信息。</w:t>
      </w:r>
    </w:p>
    <w:p>
      <w:pPr>
        <w:pStyle w:val="ListNumber"/>
        <w:spacing w:after="100" w:line="288" w:lineRule="auto"/>
      </w:pPr>
      <w:r>
        <w:rPr>
          <w:rFonts w:ascii="Noto Sans CJK SC" w:hAnsi="Noto Sans CJK SC" w:eastAsia="Noto Sans CJK SC"/>
          <w:color w:val="33423E"/>
          <w:sz w:val="21"/>
        </w:rPr>
        <w:t>点击“报名参加”后进入登录/注册合并流程。已有账户输入用户名和密码；未注册账户在同一流程中设置用户名和密码并完成注册。</w:t>
      </w:r>
    </w:p>
    <w:p>
      <w:pPr>
        <w:pStyle w:val="ListNumber"/>
        <w:spacing w:after="100" w:line="288" w:lineRule="auto"/>
      </w:pPr>
      <w:r>
        <w:rPr>
          <w:rFonts w:ascii="Noto Sans CJK SC" w:hAnsi="Noto Sans CJK SC" w:eastAsia="Noto Sans CJK SC"/>
          <w:color w:val="33423E"/>
          <w:sz w:val="21"/>
        </w:rPr>
        <w:t>注册完成后自动返回原活动报名表，不要求用户重新查找活动。</w:t>
      </w:r>
    </w:p>
    <w:p>
      <w:pPr>
        <w:pStyle w:val="ListNumber"/>
        <w:spacing w:after="100" w:line="288" w:lineRule="auto"/>
      </w:pPr>
      <w:r>
        <w:rPr>
          <w:rFonts w:ascii="Noto Sans CJK SC" w:hAnsi="Noto Sans CJK SC" w:eastAsia="Noto Sans CJK SC"/>
          <w:color w:val="33423E"/>
          <w:sz w:val="21"/>
        </w:rPr>
        <w:t>机构管理员与超级管理员使用独立的后台登录入口，并支持更严格的安全策略。</w:t>
      </w:r>
    </w:p>
    <w:p>
      <w:pPr>
        <w:pStyle w:val="ListNumber"/>
        <w:spacing w:after="100" w:line="288" w:lineRule="auto"/>
      </w:pPr>
      <w:r>
        <w:rPr>
          <w:rFonts w:ascii="Noto Sans CJK SC" w:hAnsi="Noto Sans CJK SC" w:eastAsia="Noto Sans CJK SC"/>
          <w:color w:val="33423E"/>
          <w:sz w:val="21"/>
        </w:rPr>
        <w:t>不设置候补状态。名额已满时明确显示“报名已满”，由管理员决定是否提高名额或关闭入口。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957"/>
      </w:tblGrid>
      <w:tr>
        <w:tc>
          <w:tcPr>
            <w:tcW w:type="dxa" w:w="4819"/>
            <w:shd w:fill="176B5B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19"/>
            <w:shd w:fill="EFF8F5" w:val="clear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76B5B"/>
                <w:sz w:val="21"/>
              </w:rPr>
              <w:t>关键体验要求</w:t>
            </w:r>
          </w:p>
          <w:p>
            <w:pPr>
              <w:spacing w:after="0" w:before="60"/>
            </w:pPr>
            <w:r>
              <w:rPr>
                <w:rFonts w:ascii="Noto Sans CJK SC" w:hAnsi="Noto Sans CJK SC" w:eastAsia="Noto Sans CJK SC"/>
                <w:color w:val="33423E"/>
                <w:sz w:val="19"/>
              </w:rPr>
              <w:t>参与者不应先被迫创建完整个人档案再报名。账号创建只收集必要身份字段；与活动相关的信息在报名表中收集，并明确说明用途。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3.3 全局导航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端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导航规则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参与者移动端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底部四项：首页、活动、问卷、我的。活动详情等任务页隐藏底栏时必须提供清晰返回。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参与者桌面端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顶部品牌栏 + 主导航；右侧显示通知与账户。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机构后台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左侧 240 px 导航 + 顶部上下文栏；顶部包含机构切换（如有权限）、搜索、帮助、通知、账户。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超级后台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左侧固定导航；平台级与机构级上下文必须在页面标题附近显式显示，避免跨机构误操作。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3.4 状态模型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活动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草稿、报名中、报名截止、进行中、已结束、已取消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报名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待审核、已通过、未通过、已撤回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问卷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未开始、进行中、已提交、已关闭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签到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未签到、已签到、管理员补签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Skill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未开放、已开放、已关闭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导出任务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生成中、已完成、失败</w:t>
            </w:r>
          </w:p>
        </w:tc>
      </w:tr>
    </w:tbl>
    <w:p>
      <w:pPr>
        <w:spacing w:after="140" w:line="312" w:lineRule="auto"/>
      </w:pPr>
      <w:r>
        <w:rPr>
          <w:rFonts w:ascii="Noto Sans CJK SC" w:hAnsi="Noto Sans CJK SC" w:eastAsia="Noto Sans CJK SC"/>
          <w:color w:val="33423E"/>
          <w:sz w:val="21"/>
        </w:rPr>
        <w:t>所有状态变化均应记录时间与操作人。不可删除的业务记录使用“归档”或“取消”替代物理删除；危险操作必须解释影响范围。</w:t>
      </w:r>
    </w:p>
    <w:p>
      <w:r>
        <w:br w:type="page"/>
      </w:r>
    </w:p>
    <w:p>
      <w:pPr>
        <w:spacing w:before="1400" w:after="200"/>
      </w:pPr>
      <w:r>
        <w:rPr>
          <w:rFonts w:ascii="Noto Sans CJK SC" w:hAnsi="Noto Sans CJK SC" w:eastAsia="Noto Sans CJK SC"/>
          <w:b/>
          <w:color w:val="D7EFE7"/>
          <w:sz w:val="92"/>
        </w:rPr>
        <w:t>04</w:t>
      </w:r>
    </w:p>
    <w:p>
      <w:pPr>
        <w:spacing w:after="160"/>
      </w:pPr>
      <w:r>
        <w:rPr>
          <w:rFonts w:ascii="Noto Sans CJK SC" w:hAnsi="Noto Sans CJK SC" w:eastAsia="Noto Sans CJK SC"/>
          <w:b/>
          <w:color w:val="0F5A4D"/>
          <w:sz w:val="52"/>
        </w:rPr>
        <w:t>参与者端设计方案</w:t>
      </w:r>
    </w:p>
    <w:p>
      <w:pPr>
        <w:spacing w:after="600"/>
      </w:pPr>
      <w:r>
        <w:rPr>
          <w:rFonts w:ascii="Noto Sans CJK SC" w:hAnsi="Noto Sans CJK SC" w:eastAsia="Noto Sans CJK SC"/>
          <w:color w:val="64736E"/>
          <w:sz w:val="24"/>
        </w:rPr>
        <w:t>移动优先、低压力、任务清晰，让青少年用户不需要学习系统。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176B5B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80"/>
            <w:shd w:fill="F4B942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236"/>
            <w:shd w:fill="D7EFE7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b/>
          <w:color w:val="0F5A4D"/>
          <w:sz w:val="36"/>
        </w:rPr>
        <w:t>4.1 参与者端体验框架</w:t>
      </w:r>
    </w:p>
    <w:p>
      <w:pPr>
        <w:spacing w:after="140" w:line="312" w:lineRule="auto"/>
      </w:pPr>
      <w:r>
        <w:rPr>
          <w:rFonts w:ascii="Noto Sans CJK SC" w:hAnsi="Noto Sans CJK SC" w:eastAsia="Noto Sans CJK SC"/>
          <w:color w:val="33423E"/>
          <w:sz w:val="21"/>
        </w:rPr>
        <w:t>参与者端不采用传统后台结构。首页围绕“下一步要做什么”组织，而不是展示所有功能。任何时刻，页面最重要的位置只保留一个主行动，例如“完成报名”“填写活动前问卷”或“进入已开放 Skill”。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fill="FFFFFF" w:val="clear"/>
            <w:tcMar>
              <w:top w:w="150" w:type="dxa"/>
              <w:start w:w="140" w:type="dxa"/>
              <w:bottom w:w="150" w:type="dxa"/>
              <w:end w:w="14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</w:tcBorders>
          </w:tcPr>
          <w:p>
            <w:r>
              <w:rPr>
                <w:rFonts w:ascii="Noto Sans CJK SC" w:hAnsi="Noto Sans CJK SC" w:eastAsia="Noto Sans CJK SC"/>
                <w:color w:val="64736E"/>
                <w:sz w:val="17"/>
              </w:rPr>
              <w:t>移动优先</w:t>
            </w:r>
          </w:p>
          <w:p>
            <w:pPr>
              <w:spacing w:before="80" w:after="40"/>
            </w:pPr>
            <w:r>
              <w:rPr>
                <w:rFonts w:ascii="Noto Sans CJK SC" w:hAnsi="Noto Sans CJK SC" w:eastAsia="Noto Sans CJK SC"/>
                <w:b/>
                <w:color w:val="0F5A4D"/>
                <w:sz w:val="36"/>
              </w:rPr>
              <w:t>375 px</w:t>
            </w:r>
          </w:p>
          <w:p>
            <w:r>
              <w:rPr>
                <w:rFonts w:ascii="Noto Sans CJK SC" w:hAnsi="Noto Sans CJK SC" w:eastAsia="Noto Sans CJK SC"/>
                <w:color w:val="7C8A85"/>
                <w:sz w:val="16"/>
              </w:rPr>
              <w:t>基础设计画板</w:t>
            </w:r>
          </w:p>
        </w:tc>
        <w:tc>
          <w:tcPr>
            <w:tcW w:type="dxa" w:w="2268"/>
            <w:shd w:fill="FFFFFF" w:val="clear"/>
            <w:tcMar>
              <w:top w:w="150" w:type="dxa"/>
              <w:start w:w="140" w:type="dxa"/>
              <w:bottom w:w="150" w:type="dxa"/>
              <w:end w:w="14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</w:tcBorders>
          </w:tcPr>
          <w:p>
            <w:r>
              <w:rPr>
                <w:rFonts w:ascii="Noto Sans CJK SC" w:hAnsi="Noto Sans CJK SC" w:eastAsia="Noto Sans CJK SC"/>
                <w:color w:val="64736E"/>
                <w:sz w:val="17"/>
              </w:rPr>
              <w:t>主任务</w:t>
            </w:r>
          </w:p>
          <w:p>
            <w:pPr>
              <w:spacing w:before="80" w:after="40"/>
            </w:pPr>
            <w:r>
              <w:rPr>
                <w:rFonts w:ascii="Noto Sans CJK SC" w:hAnsi="Noto Sans CJK SC" w:eastAsia="Noto Sans CJK SC"/>
                <w:b/>
                <w:color w:val="0F5A4D"/>
                <w:sz w:val="36"/>
              </w:rPr>
              <w:t>1 个</w:t>
            </w:r>
          </w:p>
          <w:p>
            <w:r>
              <w:rPr>
                <w:rFonts w:ascii="Noto Sans CJK SC" w:hAnsi="Noto Sans CJK SC" w:eastAsia="Noto Sans CJK SC"/>
                <w:color w:val="7C8A85"/>
                <w:sz w:val="16"/>
              </w:rPr>
              <w:t>每屏唯一主行动</w:t>
            </w:r>
          </w:p>
        </w:tc>
        <w:tc>
          <w:tcPr>
            <w:tcW w:type="dxa" w:w="2268"/>
            <w:shd w:fill="FFFFFF" w:val="clear"/>
            <w:tcMar>
              <w:top w:w="150" w:type="dxa"/>
              <w:start w:w="140" w:type="dxa"/>
              <w:bottom w:w="150" w:type="dxa"/>
              <w:end w:w="14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</w:tcBorders>
          </w:tcPr>
          <w:p>
            <w:r>
              <w:rPr>
                <w:rFonts w:ascii="Noto Sans CJK SC" w:hAnsi="Noto Sans CJK SC" w:eastAsia="Noto Sans CJK SC"/>
                <w:color w:val="64736E"/>
                <w:sz w:val="17"/>
              </w:rPr>
              <w:t>触控目标</w:t>
            </w:r>
          </w:p>
          <w:p>
            <w:pPr>
              <w:spacing w:before="80" w:after="40"/>
            </w:pPr>
            <w:r>
              <w:rPr>
                <w:rFonts w:ascii="Noto Sans CJK SC" w:hAnsi="Noto Sans CJK SC" w:eastAsia="Noto Sans CJK SC"/>
                <w:b/>
                <w:color w:val="0F5A4D"/>
                <w:sz w:val="36"/>
              </w:rPr>
              <w:t>≥ 44 px</w:t>
            </w:r>
          </w:p>
          <w:p>
            <w:r>
              <w:rPr>
                <w:rFonts w:ascii="Noto Sans CJK SC" w:hAnsi="Noto Sans CJK SC" w:eastAsia="Noto Sans CJK SC"/>
                <w:color w:val="7C8A85"/>
                <w:sz w:val="16"/>
              </w:rPr>
              <w:t>按钮与选项高度</w:t>
            </w:r>
          </w:p>
        </w:tc>
        <w:tc>
          <w:tcPr>
            <w:tcW w:type="dxa" w:w="2268"/>
            <w:shd w:fill="FFFFFF" w:val="clear"/>
            <w:tcMar>
              <w:top w:w="150" w:type="dxa"/>
              <w:start w:w="140" w:type="dxa"/>
              <w:bottom w:w="150" w:type="dxa"/>
              <w:end w:w="14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</w:tcBorders>
          </w:tcPr>
          <w:p>
            <w:r>
              <w:rPr>
                <w:rFonts w:ascii="Noto Sans CJK SC" w:hAnsi="Noto Sans CJK SC" w:eastAsia="Noto Sans CJK SC"/>
                <w:color w:val="64736E"/>
                <w:sz w:val="17"/>
              </w:rPr>
              <w:t>表单步骤</w:t>
            </w:r>
          </w:p>
          <w:p>
            <w:pPr>
              <w:spacing w:before="80" w:after="40"/>
            </w:pPr>
            <w:r>
              <w:rPr>
                <w:rFonts w:ascii="Noto Sans CJK SC" w:hAnsi="Noto Sans CJK SC" w:eastAsia="Noto Sans CJK SC"/>
                <w:b/>
                <w:color w:val="0F5A4D"/>
                <w:sz w:val="36"/>
              </w:rPr>
              <w:t>3–5 组</w:t>
            </w:r>
          </w:p>
          <w:p>
            <w:r>
              <w:rPr>
                <w:rFonts w:ascii="Noto Sans CJK SC" w:hAnsi="Noto Sans CJK SC" w:eastAsia="Noto Sans CJK SC"/>
                <w:color w:val="7C8A85"/>
                <w:sz w:val="16"/>
              </w:rPr>
              <w:t>长表单拆分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4.2 参与者首页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33423E"/>
          <w:sz w:val="23"/>
        </w:rPr>
        <w:t>页面蓝图：参与者首页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176B5B"/>
          <w:sz w:val="19"/>
        </w:rPr>
        <w:t>页面目标：</w:t>
      </w:r>
      <w:r>
        <w:rPr>
          <w:rFonts w:ascii="Noto Sans CJK SC" w:hAnsi="Noto Sans CJK SC" w:eastAsia="Noto Sans CJK SC"/>
          <w:color w:val="33423E"/>
          <w:sz w:val="19"/>
        </w:rPr>
        <w:t>快速理解当前状态并完成最紧急任务。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EFF8F5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0F5A4D"/>
                <w:sz w:val="18"/>
              </w:rPr>
              <w:t>区域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EFF8F5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0F5A4D"/>
                <w:sz w:val="18"/>
              </w:rPr>
              <w:t>内容与交互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欢迎与待办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简短问候；若有待办，显示一张高优先级任务卡。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即将参加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显示最近 1–3 场已通过活动，包含日期、地点、状态和查看入口。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报名进度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待审核或需补充信息时，用状态卡清楚解释下一步。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问卷任务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仅显示当前可填写或未完成问卷，不展示已关闭项目。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历史参与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折叠在下方，显示过去活动和问卷完成状态。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957"/>
      </w:tblGrid>
      <w:tr>
        <w:tc>
          <w:tcPr>
            <w:tcW w:type="dxa" w:w="4819"/>
            <w:shd w:fill="176B5B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19"/>
            <w:shd w:fill="EFF8F5" w:val="clear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76B5B"/>
                <w:sz w:val="21"/>
              </w:rPr>
              <w:t>首页优先级</w:t>
            </w:r>
          </w:p>
          <w:p>
            <w:pPr>
              <w:spacing w:after="0" w:before="60"/>
            </w:pPr>
            <w:r>
              <w:rPr>
                <w:rFonts w:ascii="Noto Sans CJK SC" w:hAnsi="Noto Sans CJK SC" w:eastAsia="Noto Sans CJK SC"/>
                <w:color w:val="33423E"/>
                <w:sz w:val="19"/>
              </w:rPr>
              <w:t>待补充报名信息 &gt; 活动前问卷 &gt; 即将开始活动 &gt; 活动后问卷 &gt; 新活动推荐。若无任务，则显示“你已完成所有事项”和可浏览活动。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4.3 活动列表与活动详情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33423E"/>
          <w:sz w:val="23"/>
        </w:rPr>
        <w:t>页面蓝图：活动列表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176B5B"/>
          <w:sz w:val="19"/>
        </w:rPr>
        <w:t>页面目标：</w:t>
      </w:r>
      <w:r>
        <w:rPr>
          <w:rFonts w:ascii="Noto Sans CJK SC" w:hAnsi="Noto Sans CJK SC" w:eastAsia="Noto Sans CJK SC"/>
          <w:color w:val="33423E"/>
          <w:sz w:val="19"/>
        </w:rPr>
        <w:t>帮助参与者快速判断活动是否适合自己。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EFF8F5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0F5A4D"/>
                <w:sz w:val="18"/>
              </w:rPr>
              <w:t>区域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EFF8F5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0F5A4D"/>
                <w:sz w:val="18"/>
              </w:rPr>
              <w:t>内容与交互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筛选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进行中、可报名、已参加；默认不暴露复杂分类。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活动卡片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封面、标题、日期、地点、主办方、报名状态、剩余名额（可选）。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空状态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没有可报名活动时说明原因，并保留“查看我的活动”。</w:t>
            </w:r>
          </w:p>
        </w:tc>
      </w:tr>
    </w:tbl>
    <w:p>
      <w:pPr>
        <w:pStyle w:val="Heading3"/>
        <w:keepNext/>
      </w:pPr>
      <w:r>
        <w:rPr>
          <w:rFonts w:ascii="Noto Sans CJK SC" w:hAnsi="Noto Sans CJK SC" w:eastAsia="Noto Sans CJK SC"/>
          <w:b/>
          <w:color w:val="33423E"/>
          <w:sz w:val="23"/>
        </w:rPr>
        <w:t>页面蓝图：活动详情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176B5B"/>
          <w:sz w:val="19"/>
        </w:rPr>
        <w:t>页面目标：</w:t>
      </w:r>
      <w:r>
        <w:rPr>
          <w:rFonts w:ascii="Noto Sans CJK SC" w:hAnsi="Noto Sans CJK SC" w:eastAsia="Noto Sans CJK SC"/>
          <w:color w:val="33423E"/>
          <w:sz w:val="19"/>
        </w:rPr>
        <w:t>在报名之前建立信任并减少不确定性。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EFF8F5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0F5A4D"/>
                <w:sz w:val="18"/>
              </w:rPr>
              <w:t>区域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EFF8F5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0F5A4D"/>
                <w:sz w:val="18"/>
              </w:rPr>
              <w:t>内容与交互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首屏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活动名称、日期、地点、主办方、主按钮和状态。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活动介绍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简洁说明会做什么、适合谁、参与者需要准备什么。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流程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时间轴展示活动阶段，避免大段文字。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安全与隐私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说明数据用途、摄影/录音规则、联系人。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固定操作栏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移动端底部固定“报名参加”或状态按钮。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4.4 登录、注册与报名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33423E"/>
          <w:sz w:val="23"/>
        </w:rPr>
        <w:t>页面蓝图：登录/注册合并页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176B5B"/>
          <w:sz w:val="19"/>
        </w:rPr>
        <w:t>页面目标：</w:t>
      </w:r>
      <w:r>
        <w:rPr>
          <w:rFonts w:ascii="Noto Sans CJK SC" w:hAnsi="Noto Sans CJK SC" w:eastAsia="Noto Sans CJK SC"/>
          <w:color w:val="33423E"/>
          <w:sz w:val="19"/>
        </w:rPr>
        <w:t>让新用户无需理解“先注册还是先报名”。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EFF8F5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0F5A4D"/>
                <w:sz w:val="18"/>
              </w:rPr>
              <w:t>区域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EFF8F5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0F5A4D"/>
                <w:sz w:val="18"/>
              </w:rPr>
              <w:t>内容与交互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上下文提示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明确显示“登录后继续报名：活动名称”。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账户字段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用户名、密码；系统根据账号是否存在决定登录或创建。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安全提示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密码规则即时显示；错误信息紧邻字段。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回流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成功后自动进入原报名表。</w:t>
            </w:r>
          </w:p>
        </w:tc>
      </w:tr>
    </w:tbl>
    <w:p>
      <w:pPr>
        <w:pStyle w:val="Heading3"/>
        <w:keepNext/>
      </w:pPr>
      <w:r>
        <w:rPr>
          <w:rFonts w:ascii="Noto Sans CJK SC" w:hAnsi="Noto Sans CJK SC" w:eastAsia="Noto Sans CJK SC"/>
          <w:b/>
          <w:color w:val="33423E"/>
          <w:sz w:val="23"/>
        </w:rPr>
        <w:t>页面蓝图：分步报名表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176B5B"/>
          <w:sz w:val="19"/>
        </w:rPr>
        <w:t>页面目标：</w:t>
      </w:r>
      <w:r>
        <w:rPr>
          <w:rFonts w:ascii="Noto Sans CJK SC" w:hAnsi="Noto Sans CJK SC" w:eastAsia="Noto Sans CJK SC"/>
          <w:color w:val="33423E"/>
          <w:sz w:val="19"/>
        </w:rPr>
        <w:t>降低长表单压力并保证数据质量。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EFF8F5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0F5A4D"/>
                <w:sz w:val="18"/>
              </w:rPr>
              <w:t>区域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EFF8F5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0F5A4D"/>
                <w:sz w:val="18"/>
              </w:rPr>
              <w:t>内容与交互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步骤 1 基本信息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只收集活动必需字段；能从账户复用的字段自动填充。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步骤 2 参与信息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学校/机构、年龄段、需求、必要同意项。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步骤 3 确认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摘要、修改入口、数据使用说明和提交。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保存机制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自动保存草稿；中断后可继续。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提交结果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显示已提交与审核机制，不使用模糊“成功”文案。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4.5 报名状态页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呈现规则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待审核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琥珀色；说明“主办方正在审核，结果将在此更新”。不承诺未配置的具体时间。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已通过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绿色；突出活动时间地点和下一任务，例如活动前问卷。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未通过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红色仅用于标签和边框；正文保持中性，显示管理员填写的原因或统一说明。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已撤回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中性色；允许在报名截止前重新报名时显示明确入口。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4.6 问卷体验</w:t>
      </w:r>
    </w:p>
    <w:p>
      <w:pPr>
        <w:spacing w:after="140" w:line="312" w:lineRule="auto"/>
      </w:pPr>
      <w:r>
        <w:rPr>
          <w:rFonts w:ascii="Noto Sans CJK SC" w:hAnsi="Noto Sans CJK SC" w:eastAsia="Noto Sans CJK SC"/>
          <w:color w:val="33423E"/>
          <w:sz w:val="21"/>
        </w:rPr>
        <w:t>问卷采用“章节 + 单屏少量问题”的方式，不模仿传统密集问卷页面。参与者应始终知道进度、是否已保存、是否可以返回修改。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顶部显示问卷名称、用途和预计完成时间。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进度使用“第 2 部分，共 4 部分”配合进度条，不只显示百分比。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量表题触控区域覆盖整行；选中后视觉反馈明确。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非必答题标注“可跳过”，必答题仅在离开当前步骤时集中校验。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开放题提供引导性占位文案，但不暗示标准答案。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提交前显示隐私说明；提交后明确能否修改。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4.7 Skill 二维码与活动入口</w:t>
      </w:r>
    </w:p>
    <w:p>
      <w:pPr>
        <w:spacing w:after="140" w:line="312" w:lineRule="auto"/>
      </w:pPr>
      <w:r>
        <w:rPr>
          <w:rFonts w:ascii="Noto Sans CJK SC" w:hAnsi="Noto Sans CJK SC" w:eastAsia="Noto Sans CJK SC"/>
          <w:color w:val="33423E"/>
          <w:sz w:val="21"/>
        </w:rPr>
        <w:t>Skill 是否开放由机构管理员控制。参与者扫描二维码或点击入口后，系统必须校验活动、登录状态、报名资格与开放状态。未开放时不显示技术错误，而显示易理解的状态页。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参与者提示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未开放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“该互动尚未开始，请根据现场引导稍后再试。”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已开放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直接进入 Skill，并保留返回活动页入口。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已关闭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“本次互动已结束。你仍可完成活动反馈问卷。”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无权限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“此入口仅对已通过报名的参与者开放。”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4.8 “我的”与隐私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展示账户信息、已参加活动、问卷记录、隐私说明和退出登录。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不把数据导出、机构名称等管理概念暴露给参与者。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个人数据修改需区分账户字段与历史活动记录；历史记录应保留变更痕迹。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未成年人相关同意与监护人字段根据活动配置显示，不作为所有用户的固定注册门槛。</w:t>
      </w:r>
    </w:p>
    <w:p>
      <w:r>
        <w:br w:type="page"/>
      </w:r>
    </w:p>
    <w:p>
      <w:pPr>
        <w:spacing w:before="1400" w:after="200"/>
      </w:pPr>
      <w:r>
        <w:rPr>
          <w:rFonts w:ascii="Noto Sans CJK SC" w:hAnsi="Noto Sans CJK SC" w:eastAsia="Noto Sans CJK SC"/>
          <w:b/>
          <w:color w:val="D7EFE7"/>
          <w:sz w:val="92"/>
        </w:rPr>
        <w:t>05</w:t>
      </w:r>
    </w:p>
    <w:p>
      <w:pPr>
        <w:spacing w:after="160"/>
      </w:pPr>
      <w:r>
        <w:rPr>
          <w:rFonts w:ascii="Noto Sans CJK SC" w:hAnsi="Noto Sans CJK SC" w:eastAsia="Noto Sans CJK SC"/>
          <w:b/>
          <w:color w:val="0F5A4D"/>
          <w:sz w:val="52"/>
        </w:rPr>
        <w:t>机构管理员后台</w:t>
      </w:r>
    </w:p>
    <w:p>
      <w:pPr>
        <w:spacing w:after="600"/>
      </w:pPr>
      <w:r>
        <w:rPr>
          <w:rFonts w:ascii="Noto Sans CJK SC" w:hAnsi="Noto Sans CJK SC" w:eastAsia="Noto Sans CJK SC"/>
          <w:color w:val="64736E"/>
          <w:sz w:val="24"/>
        </w:rPr>
        <w:t>将活动运营、审核、问卷和影响力数据组织成可行动的工作台。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176B5B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80"/>
            <w:shd w:fill="F4B942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236"/>
            <w:shd w:fill="D7EFE7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b/>
          <w:color w:val="0F5A4D"/>
          <w:sz w:val="36"/>
        </w:rPr>
        <w:t>5.1 后台整体框架</w:t>
      </w:r>
    </w:p>
    <w:p>
      <w:pPr>
        <w:spacing w:after="140" w:line="312" w:lineRule="auto"/>
      </w:pPr>
      <w:r>
        <w:rPr>
          <w:rFonts w:ascii="Noto Sans CJK SC" w:hAnsi="Noto Sans CJK SC" w:eastAsia="Noto Sans CJK SC"/>
          <w:color w:val="33423E"/>
          <w:sz w:val="21"/>
        </w:rPr>
        <w:t>机构管理员后台采用桌面优先的极简公益科技风。页面底色为浅灰，内容卡片为白色；品牌色只用于主操作、选中状态和关键提示。默认左侧导航保持稳定，页面顶部显示当前机构和当前模块，防止误操作。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5.2 导航结构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导航项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主要内容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概览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关键指标、待办、最近活动、异常提醒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活动管理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活动列表、创建/编辑、复制、归档、二维码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报名审核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待审核队列、批量处理、查看报名详情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参与者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机构参与者档案、活动记录、筛选与导出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问卷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问卷模板、活动问卷配置、回收状态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数据报告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活动漏斗、问卷分析、影响力摘要、导出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机构设置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机构资料、管理员、权限、默认配置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5.3 概览仪表盘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33423E"/>
          <w:sz w:val="23"/>
        </w:rPr>
        <w:t>页面蓝图：机构概览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176B5B"/>
          <w:sz w:val="19"/>
        </w:rPr>
        <w:t>页面目标：</w:t>
      </w:r>
      <w:r>
        <w:rPr>
          <w:rFonts w:ascii="Noto Sans CJK SC" w:hAnsi="Noto Sans CJK SC" w:eastAsia="Noto Sans CJK SC"/>
          <w:color w:val="33423E"/>
          <w:sz w:val="19"/>
        </w:rPr>
        <w:t>让管理员在 30 秒内知道运营状态和今天要处理什么。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EFF8F5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0F5A4D"/>
                <w:sz w:val="18"/>
              </w:rPr>
              <w:t>区域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EFF8F5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0F5A4D"/>
                <w:sz w:val="18"/>
              </w:rPr>
              <w:t>内容与交互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顶部范围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显示机构名称、统计时间范围和数据更新时间。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关键指标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本月活动、报名人数、实际参与人数、待审核报名。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待办区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待审核、即将开始但问卷未配置、活动后问卷完成率偏低、导出失败。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活动趋势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活动数与参与人数趋势，默认最近 6 个月。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报名漏斗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提交报名 → 审核通过 → 签到 → 完成问卷。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最近活动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状态、日期、人数、待办和快捷操作。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fill="FFFFFF" w:val="clear"/>
            <w:tcMar>
              <w:top w:w="150" w:type="dxa"/>
              <w:start w:w="140" w:type="dxa"/>
              <w:bottom w:w="150" w:type="dxa"/>
              <w:end w:w="14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</w:tcBorders>
          </w:tcPr>
          <w:p>
            <w:r>
              <w:rPr>
                <w:rFonts w:ascii="Noto Sans CJK SC" w:hAnsi="Noto Sans CJK SC" w:eastAsia="Noto Sans CJK SC"/>
                <w:color w:val="64736E"/>
                <w:sz w:val="17"/>
              </w:rPr>
              <w:t>本月活动</w:t>
            </w:r>
          </w:p>
          <w:p>
            <w:pPr>
              <w:spacing w:before="80" w:after="40"/>
            </w:pPr>
            <w:r>
              <w:rPr>
                <w:rFonts w:ascii="Noto Sans CJK SC" w:hAnsi="Noto Sans CJK SC" w:eastAsia="Noto Sans CJK SC"/>
                <w:b/>
                <w:color w:val="0F5A4D"/>
                <w:sz w:val="36"/>
              </w:rPr>
              <w:t>8</w:t>
            </w:r>
          </w:p>
          <w:p>
            <w:r>
              <w:rPr>
                <w:rFonts w:ascii="Noto Sans CJK SC" w:hAnsi="Noto Sans CJK SC" w:eastAsia="Noto Sans CJK SC"/>
                <w:color w:val="7C8A85"/>
                <w:sz w:val="16"/>
              </w:rPr>
              <w:t>较上月 +2</w:t>
            </w:r>
          </w:p>
        </w:tc>
        <w:tc>
          <w:tcPr>
            <w:tcW w:type="dxa" w:w="2268"/>
            <w:shd w:fill="FFFFFF" w:val="clear"/>
            <w:tcMar>
              <w:top w:w="150" w:type="dxa"/>
              <w:start w:w="140" w:type="dxa"/>
              <w:bottom w:w="150" w:type="dxa"/>
              <w:end w:w="14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</w:tcBorders>
          </w:tcPr>
          <w:p>
            <w:r>
              <w:rPr>
                <w:rFonts w:ascii="Noto Sans CJK SC" w:hAnsi="Noto Sans CJK SC" w:eastAsia="Noto Sans CJK SC"/>
                <w:color w:val="64736E"/>
                <w:sz w:val="17"/>
              </w:rPr>
              <w:t>报名人数</w:t>
            </w:r>
          </w:p>
          <w:p>
            <w:pPr>
              <w:spacing w:before="80" w:after="40"/>
            </w:pPr>
            <w:r>
              <w:rPr>
                <w:rFonts w:ascii="Noto Sans CJK SC" w:hAnsi="Noto Sans CJK SC" w:eastAsia="Noto Sans CJK SC"/>
                <w:b/>
                <w:color w:val="0F5A4D"/>
                <w:sz w:val="36"/>
              </w:rPr>
              <w:t>186</w:t>
            </w:r>
          </w:p>
          <w:p>
            <w:r>
              <w:rPr>
                <w:rFonts w:ascii="Noto Sans CJK SC" w:hAnsi="Noto Sans CJK SC" w:eastAsia="Noto Sans CJK SC"/>
                <w:color w:val="7C8A85"/>
                <w:sz w:val="16"/>
              </w:rPr>
              <w:t>通过 142</w:t>
            </w:r>
          </w:p>
        </w:tc>
        <w:tc>
          <w:tcPr>
            <w:tcW w:type="dxa" w:w="2268"/>
            <w:shd w:fill="FFFFFF" w:val="clear"/>
            <w:tcMar>
              <w:top w:w="150" w:type="dxa"/>
              <w:start w:w="140" w:type="dxa"/>
              <w:bottom w:w="150" w:type="dxa"/>
              <w:end w:w="14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</w:tcBorders>
          </w:tcPr>
          <w:p>
            <w:r>
              <w:rPr>
                <w:rFonts w:ascii="Noto Sans CJK SC" w:hAnsi="Noto Sans CJK SC" w:eastAsia="Noto Sans CJK SC"/>
                <w:color w:val="64736E"/>
                <w:sz w:val="17"/>
              </w:rPr>
              <w:t>实际参与</w:t>
            </w:r>
          </w:p>
          <w:p>
            <w:pPr>
              <w:spacing w:before="80" w:after="40"/>
            </w:pPr>
            <w:r>
              <w:rPr>
                <w:rFonts w:ascii="Noto Sans CJK SC" w:hAnsi="Noto Sans CJK SC" w:eastAsia="Noto Sans CJK SC"/>
                <w:b/>
                <w:color w:val="0F5A4D"/>
                <w:sz w:val="36"/>
              </w:rPr>
              <w:t>126</w:t>
            </w:r>
          </w:p>
          <w:p>
            <w:r>
              <w:rPr>
                <w:rFonts w:ascii="Noto Sans CJK SC" w:hAnsi="Noto Sans CJK SC" w:eastAsia="Noto Sans CJK SC"/>
                <w:color w:val="7C8A85"/>
                <w:sz w:val="16"/>
              </w:rPr>
              <w:t>签到率 88.7%</w:t>
            </w:r>
          </w:p>
        </w:tc>
        <w:tc>
          <w:tcPr>
            <w:tcW w:type="dxa" w:w="2268"/>
            <w:shd w:fill="FFFFFF" w:val="clear"/>
            <w:tcMar>
              <w:top w:w="150" w:type="dxa"/>
              <w:start w:w="140" w:type="dxa"/>
              <w:bottom w:w="150" w:type="dxa"/>
              <w:end w:w="14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</w:tcBorders>
          </w:tcPr>
          <w:p>
            <w:r>
              <w:rPr>
                <w:rFonts w:ascii="Noto Sans CJK SC" w:hAnsi="Noto Sans CJK SC" w:eastAsia="Noto Sans CJK SC"/>
                <w:color w:val="64736E"/>
                <w:sz w:val="17"/>
              </w:rPr>
              <w:t>待审核</w:t>
            </w:r>
          </w:p>
          <w:p>
            <w:pPr>
              <w:spacing w:before="80" w:after="40"/>
            </w:pPr>
            <w:r>
              <w:rPr>
                <w:rFonts w:ascii="Noto Sans CJK SC" w:hAnsi="Noto Sans CJK SC" w:eastAsia="Noto Sans CJK SC"/>
                <w:b/>
                <w:color w:val="0F5A4D"/>
                <w:sz w:val="36"/>
              </w:rPr>
              <w:t>12</w:t>
            </w:r>
          </w:p>
          <w:p>
            <w:r>
              <w:rPr>
                <w:rFonts w:ascii="Noto Sans CJK SC" w:hAnsi="Noto Sans CJK SC" w:eastAsia="Noto Sans CJK SC"/>
                <w:color w:val="7C8A85"/>
                <w:sz w:val="16"/>
              </w:rPr>
              <w:t>需要处理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957"/>
      </w:tblGrid>
      <w:tr>
        <w:tc>
          <w:tcPr>
            <w:tcW w:type="dxa" w:w="4819"/>
            <w:shd w:fill="176B5B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19"/>
            <w:shd w:fill="EFF8F5" w:val="clear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76B5B"/>
                <w:sz w:val="21"/>
              </w:rPr>
              <w:t>指标规则</w:t>
            </w:r>
          </w:p>
          <w:p>
            <w:pPr>
              <w:spacing w:after="0" w:before="60"/>
            </w:pPr>
            <w:r>
              <w:rPr>
                <w:rFonts w:ascii="Noto Sans CJK SC" w:hAnsi="Noto Sans CJK SC" w:eastAsia="Noto Sans CJK SC"/>
                <w:color w:val="33423E"/>
                <w:sz w:val="19"/>
              </w:rPr>
              <w:t>卡片中的对比必须写明基准，例如“较上月”“较上一场”或“目标值”。没有可靠对比时不显示绿色上升箭头。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5.4 活动管理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33423E"/>
          <w:sz w:val="23"/>
        </w:rPr>
        <w:t>页面蓝图：活动列表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176B5B"/>
          <w:sz w:val="19"/>
        </w:rPr>
        <w:t>页面目标：</w:t>
      </w:r>
      <w:r>
        <w:rPr>
          <w:rFonts w:ascii="Noto Sans CJK SC" w:hAnsi="Noto Sans CJK SC" w:eastAsia="Noto Sans CJK SC"/>
          <w:color w:val="33423E"/>
          <w:sz w:val="19"/>
        </w:rPr>
        <w:t>支持快速定位活动、理解状态并进入常用操作。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EFF8F5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0F5A4D"/>
                <w:sz w:val="18"/>
              </w:rPr>
              <w:t>区域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EFF8F5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0F5A4D"/>
                <w:sz w:val="18"/>
              </w:rPr>
              <w:t>内容与交互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筛选与搜索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状态、日期、负责人；搜索活动名称。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列表列项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活动名称、时间、状态、报名/名额、待审核、问卷完成率、负责人。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主操作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创建活动。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行操作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查看、编辑、复制、二维码、归档；危险操作放入更多菜单。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批量操作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仅支持语义明确且可撤销的操作，不批量删除。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5.5 创建与编辑活动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配置内容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基础信息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名称、封面、介绍、活动类型、负责人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时间与地点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开始/结束时间、时区、线上/线下、地址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报名设置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开放时间、名额、是否审核、报名字段、未成年人配置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问卷设置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活动前/后问卷模板、开放时间、必填策略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互动与二维码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Skill 开关、二维码、现场签到设置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发布确认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预览、缺失项检查、发布或保存草稿</w:t>
            </w:r>
          </w:p>
        </w:tc>
      </w:tr>
    </w:tbl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使用步骤式编辑器，但允许从左侧步骤导航直接跳转已完成章节。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自动保存草稿，顶部显示“已保存于 17:28”。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发布前执行完整性检查，把错误定位到具体步骤和字段。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活动开始后限制修改时间、问卷和报名字段；需要变更时说明对现有报名的影响。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5.6 报名审核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33423E"/>
          <w:sz w:val="23"/>
        </w:rPr>
        <w:t>页面蓝图：报名审核队列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176B5B"/>
          <w:sz w:val="19"/>
        </w:rPr>
        <w:t>页面目标：</w:t>
      </w:r>
      <w:r>
        <w:rPr>
          <w:rFonts w:ascii="Noto Sans CJK SC" w:hAnsi="Noto Sans CJK SC" w:eastAsia="Noto Sans CJK SC"/>
          <w:color w:val="33423E"/>
          <w:sz w:val="19"/>
        </w:rPr>
        <w:t>快速、可解释地处理报名，同时保留审计记录。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EFF8F5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0F5A4D"/>
                <w:sz w:val="18"/>
              </w:rPr>
              <w:t>区域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EFF8F5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0F5A4D"/>
                <w:sz w:val="18"/>
              </w:rPr>
              <w:t>内容与交互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顶部摘要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待审核数量、平均等待时间、活动筛选。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列表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姓名/用户名、活动、提交时间、关键报名信息、风险/缺失提示。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详情抽屉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完整报名信息、历史活动记录、管理员备注。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操作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通过、未通过、请求补充（如产品范围允许）；批量操作需二次确认。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记录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显示处理人、处理时间、原因和后续修改。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957"/>
      </w:tblGrid>
      <w:tr>
        <w:tc>
          <w:tcPr>
            <w:tcW w:type="dxa" w:w="4819"/>
            <w:shd w:fill="176B5B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19"/>
            <w:shd w:fill="EFF8F5" w:val="clear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76B5B"/>
                <w:sz w:val="21"/>
              </w:rPr>
              <w:t>审核文案</w:t>
            </w:r>
          </w:p>
          <w:p>
            <w:pPr>
              <w:spacing w:after="0" w:before="60"/>
            </w:pPr>
            <w:r>
              <w:rPr>
                <w:rFonts w:ascii="Noto Sans CJK SC" w:hAnsi="Noto Sans CJK SC" w:eastAsia="Noto Sans CJK SC"/>
                <w:color w:val="33423E"/>
                <w:sz w:val="19"/>
              </w:rPr>
              <w:t>“拒绝”在参与者端统一显示为“未通过”；管理员端可使用“未通过”作为操作名称，减少攻击性和误解。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5.7 参与者管理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建议字段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身份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用户名、姓名或活动定义的标识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归属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学校/机构、活动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参与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报名次数、通过次数、实际参与次数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问卷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前/后问卷完成情况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状态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活跃、需关注、已归档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操作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查看档案、导出、添加备注</w:t>
            </w:r>
          </w:p>
        </w:tc>
      </w:tr>
    </w:tbl>
    <w:p>
      <w:pPr>
        <w:spacing w:after="140" w:line="312" w:lineRule="auto"/>
      </w:pPr>
      <w:r>
        <w:rPr>
          <w:rFonts w:ascii="Noto Sans CJK SC" w:hAnsi="Noto Sans CJK SC" w:eastAsia="Noto Sans CJK SC"/>
          <w:color w:val="33423E"/>
          <w:sz w:val="21"/>
        </w:rPr>
        <w:t>参与者档案以活动记录为中心，不设计成社交资料页。敏感字段默认隐藏或按权限显示；导出前应提示数据用途和范围。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5.8 问卷管理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问卷模板与活动实例分离：模板更新不自动修改已发布活动中的问卷。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题型包括单选、多选、量表、短文本、长文本和说明文本。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管理员可预览参与者移动端效果。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回收页显示发送/开放人数、开始填写人数、提交人数和完成率。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开放题分析与 AI 辅助功能未来可扩展，但首版必须保留原始回答和人工复核路径。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5.9 数据报告与导出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33423E"/>
          <w:sz w:val="23"/>
        </w:rPr>
        <w:t>页面蓝图：机构数据报告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176B5B"/>
          <w:sz w:val="19"/>
        </w:rPr>
        <w:t>页面目标：</w:t>
      </w:r>
      <w:r>
        <w:rPr>
          <w:rFonts w:ascii="Noto Sans CJK SC" w:hAnsi="Noto Sans CJK SC" w:eastAsia="Noto Sans CJK SC"/>
          <w:color w:val="33423E"/>
          <w:sz w:val="19"/>
        </w:rPr>
        <w:t>把活动过程数据与影响力结果放在同一叙事中。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EFF8F5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0F5A4D"/>
                <w:sz w:val="18"/>
              </w:rPr>
              <w:t>区域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EFF8F5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0F5A4D"/>
                <w:sz w:val="18"/>
              </w:rPr>
              <w:t>内容与交互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范围选择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机构、项目、活动、时间段；机构管理员不能选择其他机构。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运营表现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活动数、报名、审核、签到、问卷完成。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影响力指标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被倾听感、参与度、安全感、行动意愿等。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分组比较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按活动、年龄段、学校等合规维度比较；小样本提示。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开放回答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主题摘要、代表性观点、原文查看与筛选。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导出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Excel 原始数据、PDF/图片影响力摘要、活动名单。</w:t>
            </w:r>
          </w:p>
        </w:tc>
      </w:tr>
    </w:tbl>
    <w:p>
      <w:r>
        <w:br w:type="page"/>
      </w:r>
    </w:p>
    <w:p>
      <w:pPr>
        <w:spacing w:before="1400" w:after="200"/>
      </w:pPr>
      <w:r>
        <w:rPr>
          <w:rFonts w:ascii="Noto Sans CJK SC" w:hAnsi="Noto Sans CJK SC" w:eastAsia="Noto Sans CJK SC"/>
          <w:b/>
          <w:color w:val="D7EFE7"/>
          <w:sz w:val="92"/>
        </w:rPr>
        <w:t>06</w:t>
      </w:r>
    </w:p>
    <w:p>
      <w:pPr>
        <w:spacing w:after="160"/>
      </w:pPr>
      <w:r>
        <w:rPr>
          <w:rFonts w:ascii="Noto Sans CJK SC" w:hAnsi="Noto Sans CJK SC" w:eastAsia="Noto Sans CJK SC"/>
          <w:b/>
          <w:color w:val="0F5A4D"/>
          <w:sz w:val="52"/>
        </w:rPr>
        <w:t>超级管理员后台</w:t>
      </w:r>
    </w:p>
    <w:p>
      <w:pPr>
        <w:spacing w:after="600"/>
      </w:pPr>
      <w:r>
        <w:rPr>
          <w:rFonts w:ascii="Noto Sans CJK SC" w:hAnsi="Noto Sans CJK SC" w:eastAsia="Noto Sans CJK SC"/>
          <w:color w:val="64736E"/>
          <w:sz w:val="24"/>
        </w:rPr>
        <w:t>提供跨机构治理能力，同时避免把平台复杂性扩散到机构端。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176B5B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80"/>
            <w:shd w:fill="F4B942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236"/>
            <w:shd w:fill="D7EFE7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b/>
          <w:color w:val="0F5A4D"/>
          <w:sz w:val="36"/>
        </w:rPr>
        <w:t>6.1 超级管理员职责</w:t>
      </w:r>
    </w:p>
    <w:p>
      <w:pPr>
        <w:spacing w:after="140" w:line="312" w:lineRule="auto"/>
      </w:pPr>
      <w:r>
        <w:rPr>
          <w:rFonts w:ascii="Noto Sans CJK SC" w:hAnsi="Noto Sans CJK SC" w:eastAsia="Noto Sans CJK SC"/>
          <w:color w:val="33423E"/>
          <w:sz w:val="21"/>
        </w:rPr>
        <w:t>超级管理员后台是平台治理工具，不是机构后台的简单“全数据版”。它需要支持机构生命周期、跨机构权限、平台级指标、模板治理、系统配置和操作审计。涉及机构上下文的页面必须持续显示当前范围。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6.2 导航结构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导航项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主要内容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平台概览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全平台活动、机构、参与者、数据质量与异常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机构管理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机构创建、状态、管理员、配额、配置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全平台活动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跨机构活动查询、异常处理、只读审查或授权操作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用户与权限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平台用户、角色、机构归属、账户状态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模板中心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问卷、报名字段、活动模板、报告模板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数据治理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字段标准、重复数据、缺失数据、导出审计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系统配置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全局开关、通知、域名与品牌配置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操作日志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管理员操作、关键状态变更、导出和登录记录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6.3 平台概览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33423E"/>
          <w:sz w:val="23"/>
        </w:rPr>
        <w:t>页面蓝图：平台概览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176B5B"/>
          <w:sz w:val="19"/>
        </w:rPr>
        <w:t>页面目标：</w:t>
      </w:r>
      <w:r>
        <w:rPr>
          <w:rFonts w:ascii="Noto Sans CJK SC" w:hAnsi="Noto Sans CJK SC" w:eastAsia="Noto Sans CJK SC"/>
          <w:color w:val="33423E"/>
          <w:sz w:val="19"/>
        </w:rPr>
        <w:t>识别平台运行趋势、机构差异和需要介入的异常。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EFF8F5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0F5A4D"/>
                <w:sz w:val="18"/>
              </w:rPr>
              <w:t>区域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EFF8F5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0F5A4D"/>
                <w:sz w:val="18"/>
              </w:rPr>
              <w:t>内容与交互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平台指标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活跃机构、活动数、参与者数、数据完整率。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趋势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按月活动与受益人数；显示同比/环比时明确口径。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机构分布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机构规模与活跃度分布，不默认制作排名。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异常中心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高积压审核、问卷完成率异常、重复账户、导出失败、权限变化。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快捷入口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创建机构、查看异常、管理模板。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6.4 机构管理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基础资料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机构名称、标识、联系人、状态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权限配置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机构管理员、可用模块、数据范围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默认设置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报名审核、问卷、品牌信息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运营概况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活动、参与者、最近活跃、待处理异常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治理操作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暂停、恢复、归档；不物理删除业务数据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6.5 权限与审计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采用角色 + 机构范围的权限模型。用户拥有某角色不代表能访问所有机构。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超级管理员的跨机构操作必须显示影响范围并记录日志。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高风险操作需要二次确认，并要求填写原因；原因进入审计记录。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操作日志支持按操作人、对象、机构、时间和动作筛选。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导出行为视为敏感操作，记录导出人、范围、字段、时间和结果。</w:t>
      </w:r>
    </w:p>
    <w:p>
      <w:r>
        <w:br w:type="page"/>
      </w:r>
    </w:p>
    <w:p>
      <w:pPr>
        <w:spacing w:before="1400" w:after="200"/>
      </w:pPr>
      <w:r>
        <w:rPr>
          <w:rFonts w:ascii="Noto Sans CJK SC" w:hAnsi="Noto Sans CJK SC" w:eastAsia="Noto Sans CJK SC"/>
          <w:b/>
          <w:color w:val="D7EFE7"/>
          <w:sz w:val="92"/>
        </w:rPr>
        <w:t>07</w:t>
      </w:r>
    </w:p>
    <w:p>
      <w:pPr>
        <w:spacing w:after="160"/>
      </w:pPr>
      <w:r>
        <w:rPr>
          <w:rFonts w:ascii="Noto Sans CJK SC" w:hAnsi="Noto Sans CJK SC" w:eastAsia="Noto Sans CJK SC"/>
          <w:b/>
          <w:color w:val="0F5A4D"/>
          <w:sz w:val="52"/>
        </w:rPr>
        <w:t>核心组件与交互规范</w:t>
      </w:r>
    </w:p>
    <w:p>
      <w:pPr>
        <w:spacing w:after="600"/>
      </w:pPr>
      <w:r>
        <w:rPr>
          <w:rFonts w:ascii="Noto Sans CJK SC" w:hAnsi="Noto Sans CJK SC" w:eastAsia="Noto Sans CJK SC"/>
          <w:color w:val="64736E"/>
          <w:sz w:val="24"/>
        </w:rPr>
        <w:t>把一致性写进组件，而不是依赖每个页面单独判断。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176B5B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80"/>
            <w:shd w:fill="F4B942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236"/>
            <w:shd w:fill="D7EFE7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b/>
          <w:color w:val="0F5A4D"/>
          <w:sz w:val="36"/>
        </w:rPr>
        <w:t>7.1 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视觉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使用规则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Primary</w:t>
            </w:r>
          </w:p>
        </w:tc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深青底白字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每个视图区最多 1 个；用于提交、创建、发布、通过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Secondary</w:t>
            </w:r>
          </w:p>
        </w:tc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白底品牌色边框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次级操作，如预览、导出、保存草稿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Tertiary</w:t>
            </w:r>
          </w:p>
        </w:tc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文字或浅色背景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低优先级操作，如查看详情、返回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Danger</w:t>
            </w:r>
          </w:p>
        </w:tc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红色文字/浅红背景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取消活动、停用账号等高风险操作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Icon</w:t>
            </w:r>
          </w:p>
        </w:tc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图标 + tooltip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表格快捷操作；不得依赖图标猜测含义</w:t>
            </w:r>
          </w:p>
        </w:tc>
      </w:tr>
    </w:tbl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桌面按钮高度 40 px，移动端主按钮 48 px；文字按钮至少保持 44 px 可点击区域。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加载时保持按钮宽度不变，并禁用重复提交。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危险操作不得使用品牌色；确认弹窗标题应直接写明动作和对象。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7.2 表单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规范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标签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始终显示在字段上方；不使用占位符代替标签。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必填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在标签后标注“必填”，不要只用星号。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帮助文本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解释格式、用途或隐私，不重复标签。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校验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输入后或离开字段时校验；提交时聚焦首个错误。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错误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说明问题和修复方式，例如“密码至少 8 位”。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禁用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仅在确实不可操作时使用；优先隐藏不适用字段或解释原因。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自动保存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草稿表单显示保存状态，避免仅在离开页面时提示。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7.3 卡片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参与者端活动卡片可包含封面，圆角 16 px；卡片整体可点击，但按钮仍保留明确标签。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后台 KPI 卡片不使用大面积彩色底；使用白底、轻边框和单个强调数字。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同一列表中的卡片高度和信息顺序保持一致。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卡片不要嵌套超过两层；复杂内容应进入详情页或抽屉。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7.4 表格与列表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默认密度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行高 48 px；可提供紧凑模式 40 px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固定区域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关键标识列可固定；操作列固定在右侧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筛选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已应用筛选以可移除标签显示；提供清除全部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排序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仅对有意义的字段开放，默认排序写明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选择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批量操作时显示已选择数量和操作条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空数据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区分“没有数据”和“筛选无结果”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移动端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复杂后台表格不强行响应式；改为卡片列表或要求桌面使用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7.5 状态标签与通知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语义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颜色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成功/已完成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绿色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已通过、已提交、已签到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待处理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琥珀色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待审核、待填写、即将截止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错误/未通过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红色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未通过、导出失败、表单错误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处理中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蓝色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生成中、同步中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中性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灰色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草稿、已关闭、已归档</w:t>
            </w:r>
          </w:p>
        </w:tc>
      </w:tr>
    </w:tbl>
    <w:p>
      <w:pPr>
        <w:spacing w:after="140" w:line="312" w:lineRule="auto"/>
      </w:pPr>
      <w:r>
        <w:rPr>
          <w:rFonts w:ascii="Noto Sans CJK SC" w:hAnsi="Noto Sans CJK SC" w:eastAsia="Noto Sans CJK SC"/>
          <w:color w:val="33423E"/>
          <w:sz w:val="21"/>
        </w:rPr>
        <w:t>Toast 用于短暂反馈，最长两行；重要结果和错误必须同时保留在页面中。后台通知中心聚合待办和系统消息，但不替代页面内状态。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7.6 弹窗、抽屉与页面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轻量确认使用弹窗；查看报名详情等需要对照列表的任务使用右侧抽屉。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超过 6 个字段、包含多步骤或需要深度编辑的任务进入独立页面。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弹窗关闭时若有未保存内容，需提示；仅查看类抽屉可直接关闭。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移动端避免多层弹窗，优先使用全屏页面。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7.7 加载、空状态和错误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规范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首次加载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使用与页面结构一致的骨架屏，不使用全屏旋转图标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局部更新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按钮或局部区域 loading，保留其他内容可读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无数据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说明当前没有什么，并给出一个合理下一步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筛选无结果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保留筛选条件，提供清除筛选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权限不足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说明当前账户无权访问，不暴露敏感信息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系统错误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提供可重试操作和错误编号；不展示堆栈或技术术语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离线/网络差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保留已输入内容，允许重试提交</w:t>
            </w:r>
          </w:p>
        </w:tc>
      </w:tr>
    </w:tbl>
    <w:p>
      <w:r>
        <w:br w:type="page"/>
      </w:r>
    </w:p>
    <w:p>
      <w:pPr>
        <w:spacing w:before="1400" w:after="200"/>
      </w:pPr>
      <w:r>
        <w:rPr>
          <w:rFonts w:ascii="Noto Sans CJK SC" w:hAnsi="Noto Sans CJK SC" w:eastAsia="Noto Sans CJK SC"/>
          <w:b/>
          <w:color w:val="D7EFE7"/>
          <w:sz w:val="92"/>
        </w:rPr>
        <w:t>08</w:t>
      </w:r>
    </w:p>
    <w:p>
      <w:pPr>
        <w:spacing w:after="160"/>
      </w:pPr>
      <w:r>
        <w:rPr>
          <w:rFonts w:ascii="Noto Sans CJK SC" w:hAnsi="Noto Sans CJK SC" w:eastAsia="Noto Sans CJK SC"/>
          <w:b/>
          <w:color w:val="0F5A4D"/>
          <w:sz w:val="52"/>
        </w:rPr>
        <w:t>数据可视化与影响力表达</w:t>
      </w:r>
    </w:p>
    <w:p>
      <w:pPr>
        <w:spacing w:after="600"/>
      </w:pPr>
      <w:r>
        <w:rPr>
          <w:rFonts w:ascii="Noto Sans CJK SC" w:hAnsi="Noto Sans CJK SC" w:eastAsia="Noto Sans CJK SC"/>
          <w:color w:val="64736E"/>
          <w:sz w:val="24"/>
        </w:rPr>
        <w:t>不只展示“有多少人”，还要展示参与过程和对话质量。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176B5B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80"/>
            <w:shd w:fill="F4B942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236"/>
            <w:shd w:fill="D7EFE7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b/>
          <w:color w:val="0F5A4D"/>
          <w:sz w:val="36"/>
        </w:rPr>
        <w:t>8.1 数据叙事结构</w:t>
      </w:r>
    </w:p>
    <w:p>
      <w:pPr>
        <w:spacing w:after="140" w:line="312" w:lineRule="auto"/>
      </w:pPr>
      <w:r>
        <w:rPr>
          <w:rFonts w:ascii="Noto Sans CJK SC" w:hAnsi="Noto Sans CJK SC" w:eastAsia="Noto Sans CJK SC"/>
          <w:color w:val="33423E"/>
          <w:sz w:val="21"/>
        </w:rPr>
        <w:t>数据报告按“投入—过程—产出—影响”组织，避免将所有数字平铺在仪表盘。运营指标回答活动是否顺利执行；影响力指标回答参与者是否感到被倾听、是否形成新的理解和行动意愿。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示例指标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投入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活动数、机构数、组织者、场地与资源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过程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报名、审核、签到、问卷、互动完成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产出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实际参与人数、有效观点数、完成问卷数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短期影响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被倾听感、安全感、参与度、观点多样性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行动意愿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愿意再次参与、推荐、采取后续行动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8.2 推荐图表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图表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适用场景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趋势折线图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活动数、参与人数、完成率随时间变化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不超过 3 条线；时间粒度明确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漏斗图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报名 → 通过 → 签到 → 问卷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显示数量和阶段转化率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横向条形图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量表题分布、活动对比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适合长标签，按逻辑顺序而非自动排序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100% 堆叠条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同意/不同意分布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保持量表色序一致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点图/区间图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机构或活动间比较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比柱状图更适合多组对比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圆环图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仅用于单一完成率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不用于多个分类或精确比较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主题列表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开放题主题与样本量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与原始回答入口相连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8.3 Impact Snapshot</w:t>
      </w:r>
    </w:p>
    <w:p>
      <w:pPr>
        <w:spacing w:after="140" w:line="312" w:lineRule="auto"/>
      </w:pPr>
      <w:r>
        <w:rPr>
          <w:rFonts w:ascii="Noto Sans CJK SC" w:hAnsi="Noto Sans CJK SC" w:eastAsia="Noto Sans CJK SC"/>
          <w:color w:val="33423E"/>
          <w:sz w:val="21"/>
        </w:rPr>
        <w:t>每场活动生成一张可导出的影响力摘要卡，服务于机构汇报和对外传播。摘要必须保留样本量、统计口径和时间范围，避免只展示漂亮百分比。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fill="FFFFFF" w:val="clear"/>
            <w:tcMar>
              <w:top w:w="150" w:type="dxa"/>
              <w:start w:w="140" w:type="dxa"/>
              <w:bottom w:w="150" w:type="dxa"/>
              <w:end w:w="14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</w:tcBorders>
          </w:tcPr>
          <w:p>
            <w:r>
              <w:rPr>
                <w:rFonts w:ascii="Noto Sans CJK SC" w:hAnsi="Noto Sans CJK SC" w:eastAsia="Noto Sans CJK SC"/>
                <w:color w:val="64736E"/>
                <w:sz w:val="17"/>
              </w:rPr>
              <w:t>参与者</w:t>
            </w:r>
          </w:p>
          <w:p>
            <w:pPr>
              <w:spacing w:before="80" w:after="40"/>
            </w:pPr>
            <w:r>
              <w:rPr>
                <w:rFonts w:ascii="Noto Sans CJK SC" w:hAnsi="Noto Sans CJK SC" w:eastAsia="Noto Sans CJK SC"/>
                <w:b/>
                <w:color w:val="0F5A4D"/>
                <w:sz w:val="36"/>
              </w:rPr>
              <w:t>42</w:t>
            </w:r>
          </w:p>
          <w:p>
            <w:r>
              <w:rPr>
                <w:rFonts w:ascii="Noto Sans CJK SC" w:hAnsi="Noto Sans CJK SC" w:eastAsia="Noto Sans CJK SC"/>
                <w:color w:val="7C8A85"/>
                <w:sz w:val="16"/>
              </w:rPr>
              <w:t>实际签到</w:t>
            </w:r>
          </w:p>
        </w:tc>
        <w:tc>
          <w:tcPr>
            <w:tcW w:type="dxa" w:w="2268"/>
            <w:shd w:fill="FFFFFF" w:val="clear"/>
            <w:tcMar>
              <w:top w:w="150" w:type="dxa"/>
              <w:start w:w="140" w:type="dxa"/>
              <w:bottom w:w="150" w:type="dxa"/>
              <w:end w:w="14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</w:tcBorders>
          </w:tcPr>
          <w:p>
            <w:r>
              <w:rPr>
                <w:rFonts w:ascii="Noto Sans CJK SC" w:hAnsi="Noto Sans CJK SC" w:eastAsia="Noto Sans CJK SC"/>
                <w:color w:val="64736E"/>
                <w:sz w:val="17"/>
              </w:rPr>
              <w:t>被倾听感</w:t>
            </w:r>
          </w:p>
          <w:p>
            <w:pPr>
              <w:spacing w:before="80" w:after="40"/>
            </w:pPr>
            <w:r>
              <w:rPr>
                <w:rFonts w:ascii="Noto Sans CJK SC" w:hAnsi="Noto Sans CJK SC" w:eastAsia="Noto Sans CJK SC"/>
                <w:b/>
                <w:color w:val="0F5A4D"/>
                <w:sz w:val="36"/>
              </w:rPr>
              <w:t>86%</w:t>
            </w:r>
          </w:p>
          <w:p>
            <w:r>
              <w:rPr>
                <w:rFonts w:ascii="Noto Sans CJK SC" w:hAnsi="Noto Sans CJK SC" w:eastAsia="Noto Sans CJK SC"/>
                <w:color w:val="7C8A85"/>
                <w:sz w:val="16"/>
              </w:rPr>
              <w:t>n=39</w:t>
            </w:r>
          </w:p>
        </w:tc>
        <w:tc>
          <w:tcPr>
            <w:tcW w:type="dxa" w:w="2268"/>
            <w:shd w:fill="FFFFFF" w:val="clear"/>
            <w:tcMar>
              <w:top w:w="150" w:type="dxa"/>
              <w:start w:w="140" w:type="dxa"/>
              <w:bottom w:w="150" w:type="dxa"/>
              <w:end w:w="14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</w:tcBorders>
          </w:tcPr>
          <w:p>
            <w:r>
              <w:rPr>
                <w:rFonts w:ascii="Noto Sans CJK SC" w:hAnsi="Noto Sans CJK SC" w:eastAsia="Noto Sans CJK SC"/>
                <w:color w:val="64736E"/>
                <w:sz w:val="17"/>
              </w:rPr>
              <w:t>再次参与</w:t>
            </w:r>
          </w:p>
          <w:p>
            <w:pPr>
              <w:spacing w:before="80" w:after="40"/>
            </w:pPr>
            <w:r>
              <w:rPr>
                <w:rFonts w:ascii="Noto Sans CJK SC" w:hAnsi="Noto Sans CJK SC" w:eastAsia="Noto Sans CJK SC"/>
                <w:b/>
                <w:color w:val="0F5A4D"/>
                <w:sz w:val="36"/>
              </w:rPr>
              <w:t>73%</w:t>
            </w:r>
          </w:p>
          <w:p>
            <w:r>
              <w:rPr>
                <w:rFonts w:ascii="Noto Sans CJK SC" w:hAnsi="Noto Sans CJK SC" w:eastAsia="Noto Sans CJK SC"/>
                <w:color w:val="7C8A85"/>
                <w:sz w:val="16"/>
              </w:rPr>
              <w:t>n=37</w:t>
            </w:r>
          </w:p>
        </w:tc>
        <w:tc>
          <w:tcPr>
            <w:tcW w:type="dxa" w:w="2268"/>
            <w:shd w:fill="FFFFFF" w:val="clear"/>
            <w:tcMar>
              <w:top w:w="150" w:type="dxa"/>
              <w:start w:w="140" w:type="dxa"/>
              <w:bottom w:w="150" w:type="dxa"/>
              <w:end w:w="14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</w:tcBorders>
          </w:tcPr>
          <w:p>
            <w:r>
              <w:rPr>
                <w:rFonts w:ascii="Noto Sans CJK SC" w:hAnsi="Noto Sans CJK SC" w:eastAsia="Noto Sans CJK SC"/>
                <w:color w:val="64736E"/>
                <w:sz w:val="17"/>
              </w:rPr>
              <w:t>有效观点</w:t>
            </w:r>
          </w:p>
          <w:p>
            <w:pPr>
              <w:spacing w:before="80" w:after="40"/>
            </w:pPr>
            <w:r>
              <w:rPr>
                <w:rFonts w:ascii="Noto Sans CJK SC" w:hAnsi="Noto Sans CJK SC" w:eastAsia="Noto Sans CJK SC"/>
                <w:b/>
                <w:color w:val="0F5A4D"/>
                <w:sz w:val="36"/>
              </w:rPr>
              <w:t>126</w:t>
            </w:r>
          </w:p>
          <w:p>
            <w:r>
              <w:rPr>
                <w:rFonts w:ascii="Noto Sans CJK SC" w:hAnsi="Noto Sans CJK SC" w:eastAsia="Noto Sans CJK SC"/>
                <w:color w:val="7C8A85"/>
                <w:sz w:val="16"/>
              </w:rPr>
              <w:t>经清洗后</w:t>
            </w:r>
          </w:p>
        </w:tc>
      </w:tr>
    </w:tbl>
    <w:p>
      <w:pPr>
        <w:spacing w:after="0"/>
      </w:pP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默认提供 16:9、A4 和社交媒体方图三种导出比例。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对外版本默认隐藏个人信息和小样本分组。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每个指标可展开查看题目、样本量、缺失值和计算方式。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8.4 Conversation Pulse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参与度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是否主动参与和完成活动环节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安全感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是否感到可以表达而不受攻击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被倾听感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是否觉得观点被认真听到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观点多样性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是否接触到不同观点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行动意愿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是否愿意继续参与或采取行动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957"/>
      </w:tblGrid>
      <w:tr>
        <w:tc>
          <w:tcPr>
            <w:tcW w:type="dxa" w:w="4819"/>
            <w:shd w:fill="176B5B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19"/>
            <w:shd w:fill="EFF8F5" w:val="clear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76B5B"/>
                <w:sz w:val="21"/>
              </w:rPr>
              <w:t>避免伪精确</w:t>
            </w:r>
          </w:p>
          <w:p>
            <w:pPr>
              <w:spacing w:after="0" w:before="60"/>
            </w:pPr>
            <w:r>
              <w:rPr>
                <w:rFonts w:ascii="Noto Sans CJK SC" w:hAnsi="Noto Sans CJK SC" w:eastAsia="Noto Sans CJK SC"/>
                <w:color w:val="33423E"/>
                <w:sz w:val="19"/>
              </w:rPr>
              <w:t>Pulse 可以使用 0–100 标准化分数，但必须允许用户查看原始题目与计算方法。没有足够样本时显示“样本不足”，而不是生成看似精确的结论。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8.5 Circle Map 的后续方向</w:t>
      </w:r>
    </w:p>
    <w:p>
      <w:pPr>
        <w:spacing w:after="140" w:line="312" w:lineRule="auto"/>
      </w:pPr>
      <w:r>
        <w:rPr>
          <w:rFonts w:ascii="Noto Sans CJK SC" w:hAnsi="Noto Sans CJK SC" w:eastAsia="Noto Sans CJK SC"/>
          <w:color w:val="33423E"/>
          <w:sz w:val="21"/>
        </w:rPr>
        <w:t>Circle Map 可作为 ChatCircle 的品牌化数据表达：用圆点、分组和连接表示主题、观点或互动关系。首版建议只做静态、解释清晰的主题关系图，不直接展示个人之间的关系网络，避免隐私与误读。</w:t>
      </w:r>
    </w:p>
    <w:p>
      <w:r>
        <w:br w:type="page"/>
      </w:r>
    </w:p>
    <w:p>
      <w:pPr>
        <w:spacing w:before="1400" w:after="200"/>
      </w:pPr>
      <w:r>
        <w:rPr>
          <w:rFonts w:ascii="Noto Sans CJK SC" w:hAnsi="Noto Sans CJK SC" w:eastAsia="Noto Sans CJK SC"/>
          <w:b/>
          <w:color w:val="D7EFE7"/>
          <w:sz w:val="92"/>
        </w:rPr>
        <w:t>09</w:t>
      </w:r>
    </w:p>
    <w:p>
      <w:pPr>
        <w:spacing w:after="160"/>
      </w:pPr>
      <w:r>
        <w:rPr>
          <w:rFonts w:ascii="Noto Sans CJK SC" w:hAnsi="Noto Sans CJK SC" w:eastAsia="Noto Sans CJK SC"/>
          <w:b/>
          <w:color w:val="0F5A4D"/>
          <w:sz w:val="52"/>
        </w:rPr>
        <w:t>响应式、无障碍与内容规范</w:t>
      </w:r>
    </w:p>
    <w:p>
      <w:pPr>
        <w:spacing w:after="600"/>
      </w:pPr>
      <w:r>
        <w:rPr>
          <w:rFonts w:ascii="Noto Sans CJK SC" w:hAnsi="Noto Sans CJK SC" w:eastAsia="Noto Sans CJK SC"/>
          <w:color w:val="64736E"/>
          <w:sz w:val="24"/>
        </w:rPr>
        <w:t>关键流程对青少年、不同设备和不同能力的用户都应可完成。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176B5B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80"/>
            <w:shd w:fill="F4B942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236"/>
            <w:shd w:fill="D7EFE7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b/>
          <w:color w:val="0F5A4D"/>
          <w:sz w:val="36"/>
        </w:rPr>
        <w:t>9.1 响应式断点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断点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538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策略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Mobile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320–767 px</w:t>
            </w:r>
          </w:p>
        </w:tc>
        <w:tc>
          <w:tcPr>
            <w:tcW w:type="dxa" w:w="538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参与者端主要目标；单列布局、底部导航、全宽主按钮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Tablet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768–1023 px</w:t>
            </w:r>
          </w:p>
        </w:tc>
        <w:tc>
          <w:tcPr>
            <w:tcW w:type="dxa" w:w="538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参与者双列卡片；后台可折叠侧栏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Desktop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1024–1439 px</w:t>
            </w:r>
          </w:p>
        </w:tc>
        <w:tc>
          <w:tcPr>
            <w:tcW w:type="dxa" w:w="538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后台主要目标；完整侧栏与表格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Wide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≥1440 px</w:t>
            </w:r>
          </w:p>
        </w:tc>
        <w:tc>
          <w:tcPr>
            <w:tcW w:type="dxa" w:w="538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内容最大宽度，避免无限拉伸；仪表盘可扩展列数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9.2 移动端专项规则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关键操作固定在底部安全区域，避免被浏览器工具栏遮挡。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表单使用适配输入类型的键盘；日期时间尽量使用原生控件。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不得使用 hover 才能发现的操作；图标按钮需文字或辅助标签。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活动详情和问卷页面避免横向滚动。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后台复杂工作仅保证平板可读，批量审核、复杂报告和配置建议桌面完成。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9.3 无障碍标准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颜色对比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正文至少 4.5:1；大字至少 3:1；状态不能只靠颜色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键盘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所有后台流程可用键盘完成；焦点顺序符合视觉顺序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焦点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使用清晰的 2 px 品牌色焦点环，不移除浏览器焦点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语义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标题层级、表格表头、表单标签和按钮语义正确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屏幕阅读器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状态更新使用适当 live region；错误与字段关联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触控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移动端触控目标至少 44×44 px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动效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尊重 prefers-reduced-motion；不使用闪烁和快速循环动画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语言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页面设置正确语言；中英文混排保持可读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9.4 内容与文案语气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示例规则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清楚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使用具体动作：“提交报名”“查看审核结果”，不用“确认”“继续”等模糊按钮。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尊重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不把未完成任务表述为责备；不使用“你失败了”。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中性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审核结果不暗示个人价值；解释流程而非评价人。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简短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参与者页面一句话表达一个信息；后台说明可以更详细。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透明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说明数据用途、谁可见、保存状态和下一步。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9.5 关键文案示例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推荐文案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报名提交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你的报名已提交，主办方审核后，结果会显示在此页面。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报名通过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报名已通过。下一步：请在活动开始前完成活动前问卷。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报名未通过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本次报名未通过。你仍可查看其他可报名活动。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问卷自动保存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已自动保存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名额已满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本次活动报名已满。当前不设候补名单。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Skill 未开放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该互动尚未开始，请根据现场引导稍后再试。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后台空状态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还没有活动。创建第一场活动后，报名和数据会显示在这里。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危险操作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取消活动后将停止新报名，并通知已报名参与者。现有记录不会删除。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9.6 隐私与青少年保护体验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活动报名仅收集完成活动所需信息，并在字段附近说明用途。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涉及未成年人同意、摄影、录音和研究用途时，使用独立、明确的同意项。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默认不在参与者端公开其他参与者名单、回答或联系方式。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开放回答用于报告或传播时应匿名化，并由管理员复核。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后台小样本分组提供隐私提醒；对外导出应自动隐藏可能识别个人的信息。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9.7 国际化与本地化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界面文案与日期格式支持中文和英文扩展；语言切换不依赖国旗图标。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活动时间保存统一时区信息，参与者端显示活动所在地时间；跨地区活动明确标注时区。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地址字段支持中国与新加坡等不同地址结构，避免强制统一省/市/区格式。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姓名、学校和机构字段不假设固定顺序；导出时保留原始语言字符。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数字、百分比和日期在图表与导出中使用一致的区域格式。</w:t>
      </w:r>
    </w:p>
    <w:p>
      <w:r>
        <w:br w:type="page"/>
      </w:r>
    </w:p>
    <w:p>
      <w:pPr>
        <w:spacing w:before="1400" w:after="200"/>
      </w:pPr>
      <w:r>
        <w:rPr>
          <w:rFonts w:ascii="Noto Sans CJK SC" w:hAnsi="Noto Sans CJK SC" w:eastAsia="Noto Sans CJK SC"/>
          <w:b/>
          <w:color w:val="D7EFE7"/>
          <w:sz w:val="92"/>
        </w:rPr>
        <w:t>10</w:t>
      </w:r>
    </w:p>
    <w:p>
      <w:pPr>
        <w:spacing w:after="160"/>
      </w:pPr>
      <w:r>
        <w:rPr>
          <w:rFonts w:ascii="Noto Sans CJK SC" w:hAnsi="Noto Sans CJK SC" w:eastAsia="Noto Sans CJK SC"/>
          <w:b/>
          <w:color w:val="0F5A4D"/>
          <w:sz w:val="52"/>
        </w:rPr>
        <w:t>页面清单、交付与验收</w:t>
      </w:r>
    </w:p>
    <w:p>
      <w:pPr>
        <w:spacing w:after="600"/>
      </w:pPr>
      <w:r>
        <w:rPr>
          <w:rFonts w:ascii="Noto Sans CJK SC" w:hAnsi="Noto Sans CJK SC" w:eastAsia="Noto Sans CJK SC"/>
          <w:color w:val="64736E"/>
          <w:sz w:val="24"/>
        </w:rPr>
        <w:t>先完成关键闭环，再扩展影响力可视化和高级治理。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176B5B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80"/>
            <w:shd w:fill="F4B942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236"/>
            <w:shd w:fill="D7EFE7" w:val="clear"/>
            <w:tcMar>
              <w:top w:w="25" w:type="dxa"/>
              <w:start w:w="0" w:type="dxa"/>
              <w:bottom w:w="2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b/>
          <w:color w:val="0F5A4D"/>
          <w:sz w:val="36"/>
        </w:rPr>
        <w:t>10.1 MVP 页面清单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参与者端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P01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活动链接落地页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P02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登录/注册合并页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P03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分步报名表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P04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报名结果/状态页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P05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参与者首页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P06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活动列表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P07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活动详情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P08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问卷填写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P09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问卷完成页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P10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Skill 状态/入口页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P11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我的参与记录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P12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账户与隐私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P1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机构管理员端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A01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机构概览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A02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活动列表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A03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创建/编辑活动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A04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活动详情与运营页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A05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报名审核队列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A06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报名详情抽屉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A07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参与者列表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A08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参与者档案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A09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问卷模板列表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A10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问卷编辑器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A11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问卷回收分析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A12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数据报告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A13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导出中心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A14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机构设置与管理员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超级管理员端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S01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平台概览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S02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机构列表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S03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机构详情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S04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平台用户与权限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S05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全平台活动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S06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模板中心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S07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数据治理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S08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系统配置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S09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操作日志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10.2 优先级定义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P0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首版闭环必需，缺少即无法完成核心业务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P1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首版建议包含，能显著提升运营与可用性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P2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后续增强，包括高级分析、自动化与治理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10.3 Figma 文件建议结构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00 Cover &amp; Notes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封面、版本、决策记录、链接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01 Foundations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颜色、字体、栅格、间距、图标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02 Components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按钮、表单、卡片、表格、弹窗、状态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03 Patterns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导航、筛选、空状态、步骤表单、审核抽屉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10 Participant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参与者端页面与流程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20 Organization Admin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机构管理员页面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30 Super Admin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超级管理员页面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40 Prototypes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关键流程交互原型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90 Archive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弃用方案与历史版本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10.4 设计交付物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设计系统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Foundations、组件库、状态、响应式规则、内容规范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高保真页面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全部 P0 页面，桌面/移动关键断点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交互原型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报名闭环、审核闭环、创建活动、问卷填写、Skill 开关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页面规格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间距、尺寸、token、组件状态、异常状态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数据规范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图表类型、指标定义、空值与小样本处理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开发对接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组件映射、路由、权限矩阵、埋点事件清单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测试材料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可用性任务、验收清单、无障碍检查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10.5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品牌一致性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参与者端温暖但不幼稚；后台克制专业；没有通用蓝白后台或 AI 紫色渐变。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流程完整性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新用户从活动链接可完成注册、报名、查看审核、问卷和 Skill 入口。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权限隔离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机构管理员无法访问其他机构；参与者不看到管理数据；超级管理员范围清楚。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状态覆盖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所有核心对象均设计正常、加载、空、错误、禁用和权限不足状态。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响应式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参与者 P0 页面在 320–430 px 可完整使用；后台在 1024 px 以上高效使用。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无障碍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关键流程键盘可用、对比达标、标签与错误关联、触控区域合格。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数据可信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指标显示口径、时间范围、样本量；小样本与缺失数据有明确处理。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开发可实施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所有页面使用组件库和 token，不依赖无法复用的视觉特例。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D2926"/>
          <w:sz w:val="28"/>
        </w:rPr>
        <w:t>10.6 推荐实施顺序</w:t>
      </w:r>
    </w:p>
    <w:p>
      <w:pPr>
        <w:pStyle w:val="ListNumber"/>
        <w:spacing w:after="100" w:line="288" w:lineRule="auto"/>
      </w:pPr>
      <w:r>
        <w:rPr>
          <w:rFonts w:ascii="Noto Sans CJK SC" w:hAnsi="Noto Sans CJK SC" w:eastAsia="Noto Sans CJK SC"/>
          <w:color w:val="33423E"/>
          <w:sz w:val="21"/>
        </w:rPr>
        <w:t>先建立颜色、字体、间距、按钮、表单、状态标签和导航等基础设计系统。</w:t>
      </w:r>
    </w:p>
    <w:p>
      <w:pPr>
        <w:pStyle w:val="ListNumber"/>
        <w:spacing w:after="100" w:line="288" w:lineRule="auto"/>
      </w:pPr>
      <w:r>
        <w:rPr>
          <w:rFonts w:ascii="Noto Sans CJK SC" w:hAnsi="Noto Sans CJK SC" w:eastAsia="Noto Sans CJK SC"/>
          <w:color w:val="33423E"/>
          <w:sz w:val="21"/>
        </w:rPr>
        <w:t>优先设计参与者报名闭环：活动详情 → 登录/注册 → 报名 → 状态。</w:t>
      </w:r>
    </w:p>
    <w:p>
      <w:pPr>
        <w:pStyle w:val="ListNumber"/>
        <w:spacing w:after="100" w:line="288" w:lineRule="auto"/>
      </w:pPr>
      <w:r>
        <w:rPr>
          <w:rFonts w:ascii="Noto Sans CJK SC" w:hAnsi="Noto Sans CJK SC" w:eastAsia="Noto Sans CJK SC"/>
          <w:color w:val="33423E"/>
          <w:sz w:val="21"/>
        </w:rPr>
        <w:t>并行设计机构活动创建与报名审核，验证字段和状态模型。</w:t>
      </w:r>
    </w:p>
    <w:p>
      <w:pPr>
        <w:pStyle w:val="ListNumber"/>
        <w:spacing w:after="100" w:line="288" w:lineRule="auto"/>
      </w:pPr>
      <w:r>
        <w:rPr>
          <w:rFonts w:ascii="Noto Sans CJK SC" w:hAnsi="Noto Sans CJK SC" w:eastAsia="Noto Sans CJK SC"/>
          <w:color w:val="33423E"/>
          <w:sz w:val="21"/>
        </w:rPr>
        <w:t>补齐问卷填写、问卷配置与 Skill 开关。</w:t>
      </w:r>
    </w:p>
    <w:p>
      <w:pPr>
        <w:pStyle w:val="ListNumber"/>
        <w:spacing w:after="100" w:line="288" w:lineRule="auto"/>
      </w:pPr>
      <w:r>
        <w:rPr>
          <w:rFonts w:ascii="Noto Sans CJK SC" w:hAnsi="Noto Sans CJK SC" w:eastAsia="Noto Sans CJK SC"/>
          <w:color w:val="33423E"/>
          <w:sz w:val="21"/>
        </w:rPr>
        <w:t>完成机构概览与基础数据报告，确保数据定义与后端一致。</w:t>
      </w:r>
    </w:p>
    <w:p>
      <w:pPr>
        <w:pStyle w:val="ListNumber"/>
        <w:spacing w:after="100" w:line="288" w:lineRule="auto"/>
      </w:pPr>
      <w:r>
        <w:rPr>
          <w:rFonts w:ascii="Noto Sans CJK SC" w:hAnsi="Noto Sans CJK SC" w:eastAsia="Noto Sans CJK SC"/>
          <w:color w:val="33423E"/>
          <w:sz w:val="21"/>
        </w:rPr>
        <w:t>完成超级管理员机构、权限和审计功能。</w:t>
      </w:r>
    </w:p>
    <w:p>
      <w:pPr>
        <w:pStyle w:val="ListNumber"/>
        <w:spacing w:after="100" w:line="288" w:lineRule="auto"/>
      </w:pPr>
      <w:r>
        <w:rPr>
          <w:rFonts w:ascii="Noto Sans CJK SC" w:hAnsi="Noto Sans CJK SC" w:eastAsia="Noto Sans CJK SC"/>
          <w:color w:val="33423E"/>
          <w:sz w:val="21"/>
        </w:rPr>
        <w:t>最后扩展 Impact Snapshot、Conversation Pulse 和 Circle Map。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957"/>
      </w:tblGrid>
      <w:tr>
        <w:tc>
          <w:tcPr>
            <w:tcW w:type="dxa" w:w="4819"/>
            <w:shd w:fill="176B5B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19"/>
            <w:shd w:fill="EFF8F5" w:val="clear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76B5B"/>
                <w:sz w:val="21"/>
              </w:rPr>
              <w:t>首轮原型建议</w:t>
            </w:r>
          </w:p>
          <w:p>
            <w:pPr>
              <w:spacing w:after="0" w:before="60"/>
            </w:pPr>
            <w:r>
              <w:rPr>
                <w:rFonts w:ascii="Noto Sans CJK SC" w:hAnsi="Noto Sans CJK SC" w:eastAsia="Noto Sans CJK SC"/>
                <w:color w:val="33423E"/>
                <w:sz w:val="19"/>
              </w:rPr>
              <w:t>第一轮可用性测试只需要覆盖 5 条任务：学生报名、学生查看审核结果、学生填写问卷、机构管理员创建活动、机构管理员审核报名。先验证信息架构和状态表达，再投入高级视觉与数据图表。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0F5A4D"/>
          <w:sz w:val="36"/>
        </w:rPr>
        <w:t>附录 A：设计 Token 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color.brand.primary</w:t>
            </w:r>
          </w:p>
        </w:tc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#176B5B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color.brand.hover</w:t>
            </w:r>
          </w:p>
        </w:tc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#115548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color.brand.surface</w:t>
            </w:r>
          </w:p>
        </w:tc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#EFF8F5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color.accent.primary</w:t>
            </w:r>
          </w:p>
        </w:tc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#F4B942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color.bg.participant</w:t>
            </w:r>
          </w:p>
        </w:tc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#F7F6F2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color.bg.admin</w:t>
            </w:r>
          </w:p>
        </w:tc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#F0F2F1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color.surface</w:t>
            </w:r>
          </w:p>
        </w:tc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#FFFFFF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color.text.primary</w:t>
            </w:r>
          </w:p>
        </w:tc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#1D2926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color.text.secondary</w:t>
            </w:r>
          </w:p>
        </w:tc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#64736E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color.border</w:t>
            </w:r>
          </w:p>
        </w:tc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#D9E2DE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radius.participant.card</w:t>
            </w:r>
          </w:p>
        </w:tc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16px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radius.admin.card</w:t>
            </w:r>
          </w:p>
        </w:tc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12px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radius.control</w:t>
            </w:r>
          </w:p>
        </w:tc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8–12px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space.unit</w:t>
            </w:r>
          </w:p>
        </w:tc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4px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layout.sidebar</w:t>
            </w:r>
          </w:p>
        </w:tc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240px / 72px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layout.content.max</w:t>
            </w:r>
          </w:p>
        </w:tc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1280px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motion.fast</w:t>
            </w:r>
          </w:p>
        </w:tc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120–160ms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motion.normal</w:t>
            </w:r>
          </w:p>
        </w:tc>
        <w:tc>
          <w:tcPr>
            <w:tcW w:type="dxa" w:w="453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8"/>
              </w:rPr>
              <w:t>180–240ms</w:t>
            </w:r>
          </w:p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b/>
          <w:color w:val="0F5A4D"/>
          <w:sz w:val="36"/>
        </w:rPr>
        <w:t>附录 B：核心权限矩阵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参与者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机构管理员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  <w:shd w:fill="176B5B" w:val="clea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超级管理员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查看公开活动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提交报名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否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管理本机构活动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否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审核本机构报名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否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查看本机构数据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仅个人记录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查看其他机构数据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否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否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管理问卷模板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否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本机构/授权模板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全平台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管理机构管理员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否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按授权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系统配置与审计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否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否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E2DE"/>
              <w:left w:val="single" w:sz="4" w:space="0" w:color="D9E2DE"/>
              <w:bottom w:val="single" w:sz="4" w:space="0" w:color="D9E2DE"/>
              <w:right w:val="single" w:sz="4" w:space="0" w:color="D9E2DE"/>
            </w:tcBorders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23312D"/>
                <w:sz w:val="17"/>
              </w:rPr>
              <w:t>是</w:t>
            </w:r>
          </w:p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b/>
          <w:color w:val="0F5A4D"/>
          <w:sz w:val="36"/>
        </w:rPr>
        <w:t>附录 C：不采用的设计做法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通用蓝白企业后台模板，缺少 ChatCircle 品牌识别。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大面积紫色渐变、玻璃拟态、发光和“AI 产品”视觉。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参与者端使用课程、徽章、积分、排行榜等教育平台游戏化语言。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用卡通人物或过度鲜艳配色迎合青少年。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把参与者端与管理后台做成完全不同的品牌。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所有 KPI 都用彩色卡片和上涨箭头，造成噪音或错误暗示。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只设计正常状态，不设计审核中、名额已满、网络失败和权限不足。</w:t>
      </w:r>
    </w:p>
    <w:p>
      <w:pPr>
        <w:pStyle w:val="ListBullet"/>
        <w:spacing w:after="80" w:line="288" w:lineRule="auto"/>
        <w:ind w:left="170" w:hanging="113"/>
      </w:pPr>
      <w:r>
        <w:rPr>
          <w:rFonts w:ascii="Noto Sans CJK SC" w:hAnsi="Noto Sans CJK SC" w:eastAsia="Noto Sans CJK SC"/>
          <w:color w:val="33423E"/>
          <w:sz w:val="21"/>
        </w:rPr>
        <w:t>将复杂桌面表格直接缩小到手机端。</w:t>
      </w:r>
    </w:p>
    <w:p>
      <w:pPr>
        <w:spacing w:before="560" w:after="0"/>
        <w:shd w:fill="0F5A4D"/>
        <w:ind w:left="113" w:right="113"/>
      </w:pPr>
      <w:r>
        <w:rPr>
          <w:rFonts w:ascii="Noto Sans CJK SC" w:hAnsi="Noto Sans CJK SC" w:eastAsia="Noto Sans CJK SC"/>
          <w:b/>
          <w:color w:val="FFFFFF"/>
          <w:sz w:val="22"/>
        </w:rPr>
        <w:t>设计目标不是让系统“看起来像一个公益项目”，而是让每一次活动、报名、表达和数据反馈都体现尊重、清楚与可信。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07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969"/>
      <w:gridCol w:w="3402"/>
      <w:gridCol w:w="2268"/>
    </w:tblGrid>
    <w:tr>
      <w:tc>
        <w:tcPr>
          <w:tcW w:type="dxa" w:w="3213"/>
          <w:tcBorders>
            <w:top w:val="single" w:sz="4" w:color="E7ECEA"/>
            <w:left w:val="nil"/>
            <w:bottom w:val="nil"/>
            <w:right w:val="nil"/>
          </w:tcBorders>
          <w:tcMar>
            <w:top w:w="55" w:type="dxa"/>
            <w:start w:w="0" w:type="dxa"/>
            <w:bottom w:w="0" w:type="dxa"/>
            <w:end w:w="0" w:type="dxa"/>
          </w:tcMar>
        </w:tcPr>
        <w:p>
          <w:r>
            <w:rPr>
              <w:rFonts w:ascii="Noto Sans CJK SC" w:hAnsi="Noto Sans CJK SC" w:eastAsia="Noto Sans CJK SC"/>
              <w:color w:val="7C8A85"/>
              <w:sz w:val="15"/>
            </w:rPr>
            <w:t>Empact · ChatCircle</w:t>
          </w:r>
        </w:p>
      </w:tc>
      <w:tc>
        <w:tcPr>
          <w:tcW w:type="dxa" w:w="3213"/>
          <w:tcBorders>
            <w:top w:val="single" w:sz="4" w:color="E7ECEA"/>
            <w:left w:val="nil"/>
            <w:bottom w:val="nil"/>
            <w:right w:val="nil"/>
          </w:tcBorders>
          <w:tcMar>
            <w:top w:w="55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Noto Sans CJK SC" w:hAnsi="Noto Sans CJK SC" w:eastAsia="Noto Sans CJK SC"/>
              <w:color w:val="7C8A85"/>
              <w:sz w:val="15"/>
            </w:rPr>
            <w:t>2026-08-05</w:t>
          </w:r>
        </w:p>
      </w:tc>
      <w:tc>
        <w:tcPr>
          <w:tcW w:type="dxa" w:w="3213"/>
          <w:tcBorders>
            <w:top w:val="single" w:sz="4" w:color="E7ECEA"/>
            <w:left w:val="nil"/>
            <w:bottom w:val="nil"/>
            <w:right w:val="nil"/>
          </w:tcBorders>
          <w:tcMar>
            <w:top w:w="55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Noto Sans CJK SC" w:hAnsi="Noto Sans CJK SC" w:eastAsia="Noto Sans CJK SC"/>
              <w:color w:val="7C8A85"/>
              <w:sz w:val="15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953"/>
      <w:gridCol w:w="3685"/>
    </w:tblGrid>
    <w:tr>
      <w:tc>
        <w:tcPr>
          <w:tcW w:type="dxa" w:w="4819"/>
          <w:tcBorders>
            <w:top w:val="nil"/>
            <w:left w:val="nil"/>
            <w:bottom w:val="single" w:sz="6" w:color="D7EFE7"/>
            <w:right w:val="nil"/>
          </w:tcBorders>
          <w:tcMar>
            <w:top w:w="0" w:type="dxa"/>
            <w:start w:w="0" w:type="dxa"/>
            <w:bottom w:w="55" w:type="dxa"/>
            <w:end w:w="0" w:type="dxa"/>
          </w:tcMar>
        </w:tcPr>
        <w:p>
          <w:r>
            <w:rPr>
              <w:rFonts w:ascii="Noto Sans CJK SC" w:hAnsi="Noto Sans CJK SC" w:eastAsia="Noto Sans CJK SC"/>
              <w:b/>
              <w:color w:val="176B5B"/>
              <w:sz w:val="17"/>
            </w:rPr>
            <w:t>CHATCIRCLE</w:t>
          </w:r>
        </w:p>
      </w:tc>
      <w:tc>
        <w:tcPr>
          <w:tcW w:type="dxa" w:w="4819"/>
          <w:tcBorders>
            <w:top w:val="nil"/>
            <w:left w:val="nil"/>
            <w:bottom w:val="single" w:sz="6" w:color="D7EFE7"/>
            <w:right w:val="nil"/>
          </w:tcBorders>
          <w:tcMar>
            <w:top w:w="0" w:type="dxa"/>
            <w:start w:w="0" w:type="dxa"/>
            <w:bottom w:w="55" w:type="dxa"/>
            <w:end w:w="0" w:type="dxa"/>
          </w:tcMar>
        </w:tcPr>
        <w:p>
          <w:pPr>
            <w:jc w:val="right"/>
          </w:pPr>
          <w:r>
            <w:rPr>
              <w:rFonts w:ascii="Noto Sans CJK SC" w:hAnsi="Noto Sans CJK SC" w:eastAsia="Noto Sans CJK SC"/>
              <w:color w:val="64736E"/>
              <w:sz w:val="15"/>
            </w:rPr>
            <w:t>WEB UI DESIGN SPECIFICATION  ·  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color w:val="33423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5A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29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423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tion">
    <w:name w:val="Small Caption"/>
    <w:pPr>
      <w:spacing w:after="60"/>
    </w:pPr>
    <w:rPr>
      <w:rFonts w:ascii="Noto Sans CJK SC" w:hAnsi="Noto Sans CJK SC" w:eastAsia="Noto Sans CJK SC"/>
      <w:color w:val="64736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ChatCircle Web UI 设计系统与界面方案</dc:title>
  <dc:subject>参与者端与管理后台 UI 设计规范</dc:subject>
  <dc:creator>Empact / ChatCircle</dc:creator>
  <cp:keywords>ChatCircle, UI, UX, Design System, Web, Participant, Admin</cp:keywords>
  <dc:description>Version 1.0, generated 2026-08-05.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