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sz w:val="33"/>
          <w:szCs w:val="33"/>
          <w:rtl w:val="0"/>
        </w:rPr>
        <w:t xml:space="preserve">SynScale 平台规划书 (Phase 1)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定位： 智能资产集成与精细化分发平台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核心目标： 通过“智能权益”设计，解决上游算力/模型闲置与下游研发需求不匹配的问题，建立高粘性的资产分发网络。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平台架构逻辑 (Platform Architecture)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SynScale 不直接生产资产，而是充当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“资产银行” + “权益工厂”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1.1 供给侧 (Supply Layer) —— 资产托管与池化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平台接入多源资产，并将其标准化为内部可读的 SKU：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云厂商/算力中心：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接入闲置 GPU 机时（H100/A100/4090）。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模型厂商：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接入 Token 额度、API Key 池。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数据持有方：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接入数据集访问权限。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工具厂商：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接入 Agent 开发框架、IDE 的 License 或 Credits。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1.2 核心层 (Core Layer) —— SynScale Engine &amp; Ark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这是平台的大脑。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Ark Module (内置模块)：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每个注册用户/组织自动生成一个 Ark。此时的 Ark 是一个**“可编程账户”**，记录余额（Assets）和规则（Rights）。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Rights Factory (权益工厂)：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您提到的核心功能区。管理员在这里定义“补贴怎么发”、“额度怎么给”、“过期怎么退”。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1.3 需求侧 (Demand Layer) —— 三级分发体系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一级：中间商 (Distributors/Channels)：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拥有分发权和信用额度。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二级：团队/个人 (Tenants)：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实际的开发者或组织。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三级：项目 (Projects)：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这是消费的终点。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资产不是发给人，是发给具体的“应用项目”。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Ark 模块在 SynScale 中的设计 (Ark Implementation)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在第一阶段，Ark 不需要是区块链钱包，它是一个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SaaS 化的智能容器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Ark 的结构设计：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Project Binding (项目绑定器)：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Ark 内的资产必须与平台上的 Project_ID 绑定才能消耗。防止用户把“研发补贴”拿去“挖矿”或倒卖。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Rights Interpreter (权益解释器)：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实时读取权益规则（如：限时、递减），决定资产是否可用。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智能权益体系设计 (The Smart Incentive System)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这是 SynScale 的核心竞争力。我们将您提出的业务需求转化为五种标准的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“权益协议 (Rights Protocol)”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权益名称业务逻辑描述Ark 内部执行逻辑 (伪代码)适用场景1. 熔断式时效权益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(Time-Lock Subsidy)</w:t>
      </w:r>
    </w:p>
    <w:p w:rsidR="00000000" w:rsidDel="00000000" w:rsidP="00000000" w:rsidRDefault="00000000" w:rsidRPr="00000000" w14:paraId="0000001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“期限内未使用自动失效”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。倒逼需求方快速立项、快速消耗，防止囤积。IF Current_Time &gt; Expire_Date THEN Balance = 0厂商促销算力、试用期 Token 发放。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2. 阶梯递减权益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(Decay Curve Subsidy)</w:t>
      </w:r>
    </w:p>
    <w:p w:rsidR="00000000" w:rsidDel="00000000" w:rsidP="00000000" w:rsidRDefault="00000000" w:rsidRPr="00000000" w14:paraId="0000002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“按使用量递减的补贴比例”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。初期 1 折，用多了变 5 折，最后原价。降低门槛，筛选高价值客户。Subsidy_Rate = max(0.1, 1.0 - (Used_Amount / Threshold))新用户拉新、培养用户使用习惯。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3. 行为激励权益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(PoW Incentive)</w:t>
      </w:r>
    </w:p>
    <w:p w:rsidR="00000000" w:rsidDel="00000000" w:rsidP="00000000" w:rsidRDefault="00000000" w:rsidRPr="00000000" w14:paraId="0000002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“按研发行为递增的补贴比例”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。GitHub 提交代码多、Agent 部署数多，额度自动增加。IF Dev_Activity_Score &gt; High THEN Credit_Limit += 1000扶持优质开发者、黑客松比赛。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4. 信用流转权益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(Credit Delegation)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“中间商信用额度与分发”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。平台给中间商 100万额度，中间商可拆分给下级，自身不垫资。Parent_Ark.Credit -= Distributed_Amount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Child_Ark.Credit += Distributed_Amount</w:t>
      </w:r>
    </w:p>
    <w:p w:rsidR="00000000" w:rsidDel="00000000" w:rsidP="00000000" w:rsidRDefault="00000000" w:rsidRPr="00000000" w14:paraId="0000002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代理商体系、校企合作分发。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5. 共享工具权益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(Shared Tooling)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“工具 Credit 共享”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。团队购买一份 IDE 高级版，所有成员 Ark 共享使用权。Verify Member_ID IN Team_List THEN Allow Access团队协作 SaaS 工具、付费 API 池。4. 核心业务流程 (Core Workflows)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为了确保“权益与项目关联”，我们需要设计严密的流转路径。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流程一：资产分发与锁定 (Distribution &amp; Locking)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上架：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某大模型厂商在 SynScale 存入 1亿 Token，设定为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“类型2：阶梯递减权益”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分发：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平台将 100万 Token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分发权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（Smart Rights）授予“某高校创业孵化器”（中间商）。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申领：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孵化器内的“学生团队 A”申请 5万 Token。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注入 Ark：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5万 Token 进入团队 A 的 Ark，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状态为“待激活”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流程二：项目绑定与消耗 (Binding &amp; Consumption)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创建项目：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团队 A 在 SynScale 创建项目 Project_Beta（例如一个法律 AI 助手）。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授权 (Authorization)：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团队 Leader 在 Ark 中操作，将这 5万 Token 的权益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授权(Authorize)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给 Project_Beta。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关键点：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此时 Token 被锁定，只能被该项目的 API Key 调用。</w:t>
      </w:r>
    </w:p>
    <w:p w:rsidR="00000000" w:rsidDel="00000000" w:rsidP="00000000" w:rsidRDefault="00000000" w:rsidRPr="00000000" w14:paraId="0000003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智能消耗：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Project_Beta 运行代码，调用模型 API。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Ark 的网关层拦截请求，验证项目 ID。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根据“阶梯递减”规则，计算本次调用实际扣除的额度。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如果团队 A 没有任何研发行为（代码未更新），根据“类型3”规则，补贴可能暂停。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运营策略：如何启动 SynScale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5.1 供给侧策略 (针对厂商)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痛点：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算力闲置、获客成本高、用户留存低。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SynScale 方案：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“把你们的营销预算变成‘智能权益’存进来。”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以前厂商送 100 美元代金券，用户可能套现或乱用。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现在通过 Ark，厂商可以指定**“这笔钱只能用于跑 PyTorch 训练，且必须在一周内用完”**。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5.2 需求侧策略 (针对开发者)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痛点：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资源贵、工具分散、申请流程繁琐。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SynScale 方案：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“一站式补贴领取中心”。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聚合多家厂商的资源（算力+模型+数据）。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“研发即挖矿”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：你写代码就送资源，无需繁琐的商务谈判。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 通往第二步的桥梁 (Bridge to Phase 2)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SynScale 如何进化为“源力”交易所？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数据沉淀：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几个月后，SynScale 积累了大量数据：</w:t>
      </w:r>
    </w:p>
    <w:p w:rsidR="00000000" w:rsidDel="00000000" w:rsidP="00000000" w:rsidRDefault="00000000" w:rsidRPr="00000000" w14:paraId="00000046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1 Token (GPT4)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approx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多少 GPU 算力？</w:t>
      </w:r>
    </w:p>
    <w:p w:rsidR="00000000" w:rsidDel="00000000" w:rsidP="00000000" w:rsidRDefault="00000000" w:rsidRPr="00000000" w14:paraId="00000048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1 个 Agent 任务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approx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消耗多少 API Credit？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隐性锚定：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平台内部开始出现**“影子汇率”**。用户发现，用某种权益兑换另一种资产的比例逐渐稳定。</w:t>
      </w:r>
    </w:p>
    <w:p w:rsidR="00000000" w:rsidDel="00000000" w:rsidP="00000000" w:rsidRDefault="00000000" w:rsidRPr="00000000" w14:paraId="0000004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源力推出：</w:t>
      </w:r>
    </w:p>
    <w:p w:rsidR="00000000" w:rsidDel="00000000" w:rsidP="00000000" w:rsidRDefault="00000000" w:rsidRPr="00000000" w14:paraId="0000004C">
      <w:pPr>
        <w:spacing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SynScale 宣布：为了简化复杂的权益兑换，推出通用结算单位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“源力 (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所有存量的“智能权益”可以按浮动汇率兑换为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此时，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就有了真实的流通场景和价值支撑，不再是空中楼阁。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