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AB82" w14:textId="7593FC50" w:rsidR="00BD3987" w:rsidRDefault="004C59DC">
      <w:r>
        <w:t>Collaborative discussion 1</w:t>
      </w:r>
      <w:r w:rsidR="00C120C1">
        <w:t xml:space="preserve"> – Initial post</w:t>
      </w:r>
    </w:p>
    <w:p w14:paraId="71BB8C1D" w14:textId="353270E6" w:rsidR="00B35902" w:rsidRPr="00B35902" w:rsidRDefault="00B35902" w:rsidP="00B35902">
      <w:r w:rsidRPr="00B35902">
        <w:t xml:space="preserve">On 19 July 2024, CrowdStrike </w:t>
      </w:r>
      <w:r w:rsidR="009E069F">
        <w:t>pu</w:t>
      </w:r>
      <w:r w:rsidR="002F5F12">
        <w:t>shed an update to</w:t>
      </w:r>
      <w:r w:rsidRPr="00B35902">
        <w:t xml:space="preserve"> its Falcon security sensor</w:t>
      </w:r>
      <w:r w:rsidR="00DF2F99">
        <w:t xml:space="preserve"> which was being used by more than 8.5 million systems worldwide</w:t>
      </w:r>
      <w:r w:rsidRPr="00B35902">
        <w:t xml:space="preserve">. </w:t>
      </w:r>
      <w:r w:rsidR="003570CD">
        <w:t xml:space="preserve">That same update </w:t>
      </w:r>
      <w:r w:rsidRPr="00B35902">
        <w:t>caused a memory error inside the Windows kernel</w:t>
      </w:r>
      <w:r w:rsidR="00DF2F99">
        <w:t xml:space="preserve">, which </w:t>
      </w:r>
      <w:r w:rsidR="00B31364">
        <w:t>resulted in all of the systems crashing worldwide</w:t>
      </w:r>
      <w:r w:rsidRPr="00B35902">
        <w:t xml:space="preserve"> (</w:t>
      </w:r>
      <w:r w:rsidR="00B56489" w:rsidRPr="00B56489">
        <w:t>Yahalom</w:t>
      </w:r>
      <w:r w:rsidR="00960F73">
        <w:t>, 2025</w:t>
      </w:r>
      <w:r w:rsidRPr="00B35902">
        <w:t>). Falcon runs at kernel level, and the update reached every customer at the same time. Around 8.5 million Windows machines crashed and got stuck in boot loops</w:t>
      </w:r>
      <w:r w:rsidR="0062400D">
        <w:t>.</w:t>
      </w:r>
    </w:p>
    <w:p w14:paraId="53C8B081" w14:textId="4C1CA375" w:rsidR="002A1CCF" w:rsidRDefault="002A1CCF" w:rsidP="00B35902">
      <w:r>
        <w:t xml:space="preserve">According to HBR article, the estimated losses are over 5 billion </w:t>
      </w:r>
      <w:r w:rsidR="00CC065D">
        <w:t>USD,</w:t>
      </w:r>
      <w:r>
        <w:t xml:space="preserve"> and</w:t>
      </w:r>
      <w:r w:rsidR="00DA560D">
        <w:t xml:space="preserve"> insurance companies have had to do more than 1.5 billion USD in payouts. </w:t>
      </w:r>
      <w:r w:rsidR="00CC065D">
        <w:t xml:space="preserve">It is safe to say that businesses around the world </w:t>
      </w:r>
      <w:r w:rsidR="005F7DC0">
        <w:t>have suffered</w:t>
      </w:r>
      <w:r w:rsidR="00CC065D">
        <w:t xml:space="preserve"> a huge loss as</w:t>
      </w:r>
      <w:r w:rsidR="00DA560D">
        <w:t xml:space="preserve"> the majority of damages are uninsured. </w:t>
      </w:r>
      <w:r w:rsidR="005F7DC0">
        <w:t xml:space="preserve">This led to lawsuits, most notably </w:t>
      </w:r>
      <w:r w:rsidR="00D81D29">
        <w:t>the airline company Delta filing a laws</w:t>
      </w:r>
      <w:r w:rsidR="00803E04">
        <w:t xml:space="preserve">uit where they </w:t>
      </w:r>
      <w:r w:rsidR="00754783">
        <w:t>claimed,</w:t>
      </w:r>
      <w:r w:rsidR="00803E04">
        <w:t xml:space="preserve"> “forced untested updates to its customers”</w:t>
      </w:r>
      <w:r w:rsidR="00754783">
        <w:t xml:space="preserve"> and the airline said that it had loss of more than 500 million USD.</w:t>
      </w:r>
    </w:p>
    <w:p w14:paraId="7B03BDEE" w14:textId="77777777" w:rsidR="00754783" w:rsidRDefault="00754783" w:rsidP="00B35902"/>
    <w:p w14:paraId="7A33C123" w14:textId="3983746A" w:rsidR="000E070A" w:rsidRDefault="00754783" w:rsidP="00B35902">
      <w:r>
        <w:t xml:space="preserve">I think that the </w:t>
      </w:r>
      <w:r w:rsidR="007E242A">
        <w:t xml:space="preserve">latest point made by Delta airlines hits the nail on his head, </w:t>
      </w:r>
      <w:r w:rsidR="00585D6E">
        <w:t xml:space="preserve">which </w:t>
      </w:r>
      <w:r w:rsidR="00585D6E" w:rsidRPr="00B35902">
        <w:t>Metcalf (2024, p. 25)</w:t>
      </w:r>
      <w:r w:rsidR="00585D6E">
        <w:t xml:space="preserve"> similarly</w:t>
      </w:r>
      <w:r w:rsidR="00585D6E" w:rsidRPr="00B35902">
        <w:t xml:space="preserve"> argues that the benefits or harms of technology come down to choices of design and implementation</w:t>
      </w:r>
      <w:r w:rsidR="005A5AD7">
        <w:t xml:space="preserve"> by humans. </w:t>
      </w:r>
      <w:r w:rsidR="0058475D">
        <w:t>Over the course of history inventions have been adapted for other purposes than they were originally created for, so most importantly w</w:t>
      </w:r>
      <w:r w:rsidR="005A5AD7">
        <w:t>e need systems of accountability and control</w:t>
      </w:r>
      <w:r w:rsidR="0058475D">
        <w:t xml:space="preserve">. </w:t>
      </w:r>
      <w:r w:rsidR="005A5AD7">
        <w:t xml:space="preserve"> </w:t>
      </w:r>
      <w:r w:rsidR="0079359E" w:rsidRPr="00B35902">
        <w:t>Metcalf (2024, p. 20)</w:t>
      </w:r>
      <w:r w:rsidR="00A115E2">
        <w:t xml:space="preserve"> also</w:t>
      </w:r>
      <w:r w:rsidR="0079359E" w:rsidRPr="00B35902">
        <w:t xml:space="preserve"> cites the European Commission’s warning that </w:t>
      </w:r>
      <w:r w:rsidR="00250EDE" w:rsidRPr="00B35902">
        <w:t>optimizing</w:t>
      </w:r>
      <w:r w:rsidR="0079359E" w:rsidRPr="00B35902">
        <w:t xml:space="preserve"> for efficiency can reduce resilience</w:t>
      </w:r>
      <w:r w:rsidR="0079359E">
        <w:t xml:space="preserve">, which is also what Spohrer </w:t>
      </w:r>
      <w:r w:rsidR="0079359E" w:rsidRPr="00B35902">
        <w:t>(2024, p. 89)</w:t>
      </w:r>
      <w:r w:rsidR="00A115E2">
        <w:t xml:space="preserve"> argues</w:t>
      </w:r>
      <w:r w:rsidR="00880EB5">
        <w:t>, who</w:t>
      </w:r>
      <w:r w:rsidR="0079359E" w:rsidRPr="00B35902">
        <w:t xml:space="preserve"> adds a s</w:t>
      </w:r>
      <w:r w:rsidR="0079359E">
        <w:t>imilar angle about how there is a</w:t>
      </w:r>
      <w:r w:rsidR="0079359E" w:rsidRPr="00B35902">
        <w:t xml:space="preserve"> need “improve-weakest-link” </w:t>
      </w:r>
      <w:r w:rsidR="000E070A" w:rsidRPr="00B35902">
        <w:t>strategy</w:t>
      </w:r>
      <w:r w:rsidR="000E070A">
        <w:t xml:space="preserve">. </w:t>
      </w:r>
      <w:r w:rsidR="0079359E">
        <w:t>What is mean</w:t>
      </w:r>
      <w:r w:rsidR="000E070A">
        <w:t>t</w:t>
      </w:r>
      <w:r w:rsidR="0079359E">
        <w:t xml:space="preserve"> here broadly is that </w:t>
      </w:r>
      <w:r w:rsidR="0028385E">
        <w:t xml:space="preserve">all hospitals, airlines and banks were only as </w:t>
      </w:r>
      <w:r w:rsidR="000E070A">
        <w:t>resilient as their weakest component.</w:t>
      </w:r>
    </w:p>
    <w:p w14:paraId="4DA8522B" w14:textId="77777777" w:rsidR="000E070A" w:rsidRDefault="000E070A" w:rsidP="00B35902"/>
    <w:p w14:paraId="7D3782FB" w14:textId="0928EB6A" w:rsidR="00C120C1" w:rsidRDefault="000E070A" w:rsidP="00B35902">
      <w:r>
        <w:t xml:space="preserve">I think what we can learn from this is that there should be alternatives or fallbacks, especially if there is a dominant system. This ensures that whenever a critical component fails, the system can fall back to an alternative. And secondly, </w:t>
      </w:r>
      <w:r w:rsidR="00C57F45">
        <w:t>if a system is this critical to society, we should have</w:t>
      </w:r>
      <w:r w:rsidR="0081493B">
        <w:t xml:space="preserve"> significant testing scenarios in place before any rollout may be approved. </w:t>
      </w:r>
      <w:r w:rsidR="00484750">
        <w:t xml:space="preserve">You can think of government audits to ensure that no deployment can bypass any of the required testing scenarios, mini rollout on devices in a controlled </w:t>
      </w:r>
      <w:r w:rsidR="00E85541">
        <w:t>environment and</w:t>
      </w:r>
      <w:r w:rsidR="00596534">
        <w:t xml:space="preserve"> many other practices.</w:t>
      </w:r>
      <w:r>
        <w:t xml:space="preserve"> </w:t>
      </w:r>
    </w:p>
    <w:p w14:paraId="0A4328C0" w14:textId="77777777" w:rsidR="00C120C1" w:rsidRDefault="00C120C1">
      <w:r>
        <w:br w:type="page"/>
      </w:r>
    </w:p>
    <w:p w14:paraId="45BAA80D" w14:textId="65E8007A" w:rsidR="00754783" w:rsidRDefault="00C120C1" w:rsidP="00B35902">
      <w:r>
        <w:lastRenderedPageBreak/>
        <w:t>Reference list</w:t>
      </w:r>
    </w:p>
    <w:p w14:paraId="62A70D42" w14:textId="75A7FF58" w:rsidR="00C120C1" w:rsidRDefault="00C120C1" w:rsidP="00B35902">
      <w:r w:rsidRPr="00C120C1">
        <w:t xml:space="preserve">Metcalf, G.S. (2024) ‘An introduction to Industry 5.0: history, foundations, and futures’, in Nousala, S., Metcalf, G. and Ing, D. (eds) </w:t>
      </w:r>
      <w:r w:rsidRPr="00C120C1">
        <w:rPr>
          <w:i/>
          <w:iCs/>
        </w:rPr>
        <w:t>Industry 4.0 to Industry 5.0: explorations in the transition from a techno-economic to a socio-technical future</w:t>
      </w:r>
      <w:r w:rsidRPr="00C120C1">
        <w:t>. Singapore: Springer, pp. 1–30. doi:10.1007/978-981-99-9730-5.</w:t>
      </w:r>
    </w:p>
    <w:p w14:paraId="284381DA" w14:textId="77777777" w:rsidR="00C62E81" w:rsidRDefault="00C62E81" w:rsidP="00B35902"/>
    <w:p w14:paraId="6CCC995F" w14:textId="43456915" w:rsidR="00C62E81" w:rsidRDefault="00C62E81" w:rsidP="00B35902">
      <w:r w:rsidRPr="00C62E81">
        <w:t xml:space="preserve">Spohrer, J. (2024) ‘AI upskilling and digital twins: a service science perspective on the Industry 4.0 to Industry 5.0 shift’, in Nousala, S., Metcalf, G. and Ing, D. (eds) </w:t>
      </w:r>
      <w:r w:rsidRPr="00C62E81">
        <w:rPr>
          <w:i/>
          <w:iCs/>
        </w:rPr>
        <w:t>Industry 4.0 to Industry 5.0: explorations in the transition from a techno-economic to a socio-technical future</w:t>
      </w:r>
      <w:r w:rsidRPr="00C62E81">
        <w:t>. Singapore: Springer, pp. 79–92.</w:t>
      </w:r>
    </w:p>
    <w:p w14:paraId="2531F9A7" w14:textId="77777777" w:rsidR="00B56489" w:rsidRDefault="00B56489" w:rsidP="00B35902"/>
    <w:p w14:paraId="725785E5" w14:textId="5E5A0779" w:rsidR="00B56489" w:rsidRDefault="00B56489" w:rsidP="00B35902">
      <w:r w:rsidRPr="00B56489">
        <w:t xml:space="preserve">Yahalom, Raphael. “What the 2024 CrowdStrike Glitch Can Teach Us About Cyber Risk.” </w:t>
      </w:r>
      <w:r w:rsidRPr="00B56489">
        <w:rPr>
          <w:i/>
          <w:iCs/>
        </w:rPr>
        <w:t>Harvard Business Review</w:t>
      </w:r>
      <w:r w:rsidRPr="00B56489">
        <w:t>, 10 Jan. 2025, hbr.org/2025/01/what-the-2024-crowdstrike-glitch-can-teach-us-about-cyber-risk. Accessed 13 Oct. 2026.</w:t>
      </w:r>
    </w:p>
    <w:p w14:paraId="0F188310" w14:textId="77777777" w:rsidR="00754783" w:rsidRDefault="00754783" w:rsidP="00B35902"/>
    <w:p w14:paraId="7F3D106A" w14:textId="1CA6EED2" w:rsidR="007A28E6" w:rsidRDefault="007A28E6">
      <w:r>
        <w:br w:type="page"/>
      </w:r>
    </w:p>
    <w:p w14:paraId="4B249F38" w14:textId="614179EF" w:rsidR="002A1CCF" w:rsidRDefault="007A28E6" w:rsidP="00B35902">
      <w:r>
        <w:lastRenderedPageBreak/>
        <w:t>Zee Mahmeeod – Peer Response 1</w:t>
      </w:r>
    </w:p>
    <w:p w14:paraId="7490671E" w14:textId="0591069B" w:rsidR="007A28E6" w:rsidRDefault="002123E0" w:rsidP="00B35902">
      <w:r w:rsidRPr="002123E0">
        <w:t>Hi Zee Mahmood,</w:t>
      </w:r>
      <w:r w:rsidRPr="002123E0">
        <w:br/>
        <w:t>Hi Zee, thanks for sharing this, it is a really interesting example. I wrote about the CrowdStrike outage, but I think the Capita breach is different in an important way. With CrowdStrike the system itself failed because of a faulty update, while at Capita the system did not fail. The organisation failed to keep out a malicious attack and to detect it in time, as it took 58 hours to quarantine the file. So overall I would see it as a cybersecurity failure. But can we truly guarantee that cybersecurity breaches never happen? I don’t think so.</w:t>
      </w:r>
      <w:r w:rsidRPr="002123E0">
        <w:br/>
        <w:t>That is also why I am not sure it is a failure of design philosophy. I think it relates more to what Spohrer (2024, p. 89) describes as “winner-take-all” in service systems. When a single pension administrator is responsible for such a large part of the pension system, one breach affects 325 schemes at once. Yahalom (2025) calls this aggregated cyber risk. What is meant here broadly is that we are only as strong as our weakest component, which is why Spohrer argues for “improve-weakest-link” strategies.</w:t>
      </w:r>
      <w:r w:rsidRPr="002123E0">
        <w:br/>
        <w:t>Since you work in client transitions, I am curious what you think. Should there be limits on how much of the pension market one administrator can serve, or should administrators be required to prove tested recovery scenarios before taking on a new scheme? What is the cost of many fragmented systems to society? The scale of incidents matter, but less efficiency also has societal consequences.</w:t>
      </w:r>
      <w:r w:rsidRPr="002123E0">
        <w:br/>
      </w:r>
      <w:r w:rsidRPr="002123E0">
        <w:br/>
        <w:t>References</w:t>
      </w:r>
      <w:r w:rsidRPr="002123E0">
        <w:br/>
      </w:r>
      <w:r w:rsidRPr="002123E0">
        <w:br/>
        <w:t>Metcalf, G.S. (2024) ‘An introduction to Industry 5.0: history, foundations, and futures’, in Nousala, S., Metcalf, G. and Ing, D. (eds) Industry 4.0 to Industry 5.0: explorations in the transition from a techno-economic to a socio-technical future. Singapore: Springer, pp. 1–30. Available at: https://doi.org/10.1007/978-981-99-9730-5_1 (Accessed: 13 October 2026).</w:t>
      </w:r>
      <w:r w:rsidRPr="002123E0">
        <w:br/>
      </w:r>
      <w:r w:rsidRPr="002123E0">
        <w:br/>
        <w:t>Spohrer, J. (2024) ‘AI upskilling and digital twins: a service science perspective on the Industry 4.0 to Industry 5.0 shift’, in Nousala, S., Metcalf, G. and Ing, D. (eds) Industry 4.0 to Industry 5.0: explorations in the transition from a techno-economic to a socio-technical future. Singapore: Springer, pp. 79–92.</w:t>
      </w:r>
      <w:r w:rsidRPr="002123E0">
        <w:br/>
      </w:r>
      <w:r w:rsidRPr="002123E0">
        <w:br/>
        <w:t>Yahalom, R. (2025) ‘What the 2024 CrowdStrike glitch can teach us about cyber risk’, Harvard Business Review, 10 January. Available at: https://hbr.org/2025/01/what-the-2024-crowdstrike-glitch-can-teach-us-about-cyber-risk (Accessed: 13 October 2026).</w:t>
      </w:r>
    </w:p>
    <w:p w14:paraId="03E576DE" w14:textId="77777777" w:rsidR="007A28E6" w:rsidRDefault="007A28E6" w:rsidP="00B35902"/>
    <w:p w14:paraId="23C2E1C4" w14:textId="5230F4D8" w:rsidR="002123E0" w:rsidRDefault="002123E0" w:rsidP="002123E0">
      <w:r>
        <w:br w:type="page"/>
      </w:r>
      <w:r w:rsidR="0001076C">
        <w:lastRenderedPageBreak/>
        <w:t>John-Jon</w:t>
      </w:r>
      <w:r>
        <w:t xml:space="preserve"> – Peer Response 2</w:t>
      </w:r>
    </w:p>
    <w:p w14:paraId="6C6F8C7E" w14:textId="77777777" w:rsidR="0001076C" w:rsidRDefault="0001076C" w:rsidP="0001076C">
      <w:r>
        <w:t>Hi John-Jon, I agree with what you say and I understand the controls you want to put in place, such as clinical validation and rapid referral to professionals. In particular, medicine is already a heavily regulated industry, and for good reasons.</w:t>
      </w:r>
    </w:p>
    <w:p w14:paraId="0E6DAADF" w14:textId="77777777" w:rsidR="0001076C" w:rsidRDefault="0001076C" w:rsidP="0001076C"/>
    <w:p w14:paraId="2040F279" w14:textId="77777777" w:rsidR="0001076C" w:rsidRDefault="0001076C" w:rsidP="0001076C">
      <w:r>
        <w:t>But if we follow this line of thinking, we would also have to regulate all books, blogs and social media influencers giving advice on diet and mental health, as harmful weight-loss advice is not restricted to AI. And when we regulate this much, we also have to investigate the consequences. Firstly, how many people would suddenly be deprived of counselling or useful information, especially where cost, stigma or clinician shortages already limit access? And secondly, would these technologies still be accessible for the people they are useful for? The trial you mention showed that Tessa did reduce concerns about weight and body shape (Fitzsimmons-Craft et al., 2022). Take the example of drugs: there is always a trade-off, as they have both a benefit and side effects.</w:t>
      </w:r>
    </w:p>
    <w:p w14:paraId="76A2CE0A" w14:textId="77777777" w:rsidR="0001076C" w:rsidRDefault="0001076C" w:rsidP="0001076C"/>
    <w:p w14:paraId="5EC75DC7" w14:textId="77777777" w:rsidR="0001076C" w:rsidRDefault="0001076C" w:rsidP="0001076C">
      <w:r>
        <w:t>I think this links to Metcalf (2024, p. 25), who argues that the benefits or harms of technology come down to choices of design and implementation by humans. So the question for me is not whether to regulate, but how much regulation still lets the benefits reach the people who need them.</w:t>
      </w:r>
    </w:p>
    <w:p w14:paraId="216576C8" w14:textId="77777777" w:rsidR="0001076C" w:rsidRDefault="0001076C" w:rsidP="0001076C"/>
    <w:p w14:paraId="4C8AA82E" w14:textId="77777777" w:rsidR="0001076C" w:rsidRDefault="0001076C" w:rsidP="0001076C">
      <w:r>
        <w:t>References</w:t>
      </w:r>
    </w:p>
    <w:p w14:paraId="7E62B829" w14:textId="77777777" w:rsidR="0001076C" w:rsidRDefault="0001076C" w:rsidP="0001076C"/>
    <w:p w14:paraId="2C3FF9BA" w14:textId="77777777" w:rsidR="0001076C" w:rsidRDefault="0001076C" w:rsidP="0001076C">
      <w:r>
        <w:t>Fitzsimmons-Craft, E.E. et al. (2022) ‘Effectiveness of a chatbot for eating disorders prevention: a randomized clinical trial’, International Journal of Eating Disorders, 55(3), pp. 343–353. Available at: https://doi.org/10.1002/eat.23662.</w:t>
      </w:r>
    </w:p>
    <w:p w14:paraId="2D5C1FBA" w14:textId="77777777" w:rsidR="0001076C" w:rsidRDefault="0001076C" w:rsidP="0001076C"/>
    <w:p w14:paraId="2F1CF888" w14:textId="4239DD2A" w:rsidR="009D7E1F" w:rsidRDefault="0001076C" w:rsidP="0001076C">
      <w:r>
        <w:t>Metcalf, G.S. (2024) ‘An introduction to Industry 5.0: history, foundations, and futures’, in Nousala, S., Metcalf, G. and Ing, D. (eds) Industry 4.0 to Industry 5.0: explorations in the transition from a techno-economic to a socio-technical future. Singapore: Springer, pp. 1–30. Available at: https://doi.org/10.1007/978-981-99-9730-5_1 (Accessed: 13 October 2026).</w:t>
      </w:r>
    </w:p>
    <w:p w14:paraId="1646AC03" w14:textId="77777777" w:rsidR="002123E0" w:rsidRDefault="002123E0" w:rsidP="002123E0"/>
    <w:p w14:paraId="104ACD16" w14:textId="77777777" w:rsidR="00871AD2" w:rsidRDefault="00871AD2">
      <w:r>
        <w:lastRenderedPageBreak/>
        <w:t>Summary Post Discussion 1</w:t>
      </w:r>
    </w:p>
    <w:p w14:paraId="1C662849" w14:textId="77777777" w:rsidR="00871AD2" w:rsidRPr="00871AD2" w:rsidRDefault="00871AD2" w:rsidP="00871AD2">
      <w:r w:rsidRPr="00871AD2">
        <w:t>In this discussion we looked at three quite different failures. With CrowdStrike, the system itself failed because of a faulty update that reached every customer at once. With Capita, the system did not fail; the organisation failed to keep out and detect an attack. With Tessa, a chatbot gave advice that conflicted with the values of the organisation deploying it. What these cases have in common is what Metcalf (2024, p. 25) argues: the benefits or harms of technology come down to choices of design and implementation made by humans. A second lesson for me is concentration. When one provider serves a large part of a sector, one failure becomes everyone’s failure (Yahalom, 2025), and we are only as strong as our weakest component (Spohrer, 2024).</w:t>
      </w:r>
    </w:p>
    <w:p w14:paraId="16243238" w14:textId="77777777" w:rsidR="00871AD2" w:rsidRPr="00871AD2" w:rsidRDefault="00871AD2" w:rsidP="00871AD2">
      <w:r w:rsidRPr="00871AD2">
        <w:t>What I also noticed is that almost all of us, including myself, ended up pushing for more controls: more testing, government audits, regulation and human oversight. I still think this is needed for critical systems, but I want to reflect on the other side. Metcalf (2024, p. 20) cites the European Commission’s point that efficiency and resilience are a trade-off, and that trade-off works in both directions. More controls mean slower rollouts, higher costs and less access. Security updates are pushed out quickly for a reason, as new threats appear every day, so delaying them also creates risk. Limiting the market share of administrators like Capita could raise costs for pension schemes and their members. And regulating mental health chatbots too strictly could take away support from people who cannot afford or access a professional, while the Tessa trial did show real benefits (Fitzsimmons-Craft et al., 2022).</w:t>
      </w:r>
    </w:p>
    <w:p w14:paraId="05A73C94" w14:textId="77777777" w:rsidR="00871AD2" w:rsidRPr="00871AD2" w:rsidRDefault="00871AD2" w:rsidP="00871AD2">
      <w:r w:rsidRPr="00871AD2">
        <w:t>So my main takeaway is that the answer is not simply more control, but proportional control. The more critical the system, the stronger the safeguards should be, and for everything else we should keep the benefits accessible.</w:t>
      </w:r>
    </w:p>
    <w:p w14:paraId="7BCBB003" w14:textId="77777777" w:rsidR="00871AD2" w:rsidRPr="00871AD2" w:rsidRDefault="00871AD2" w:rsidP="00871AD2">
      <w:r w:rsidRPr="00871AD2">
        <w:rPr>
          <w:b/>
          <w:bCs/>
        </w:rPr>
        <w:t>References</w:t>
      </w:r>
    </w:p>
    <w:p w14:paraId="502C5069" w14:textId="77777777" w:rsidR="00871AD2" w:rsidRPr="00871AD2" w:rsidRDefault="00871AD2" w:rsidP="00871AD2">
      <w:r w:rsidRPr="00871AD2">
        <w:t xml:space="preserve">Fitzsimmons-Craft, E.E. et al. (2022) ‘Effectiveness of a chatbot for eating disorders prevention: a randomized clinical trial’, </w:t>
      </w:r>
      <w:r w:rsidRPr="00871AD2">
        <w:rPr>
          <w:i/>
          <w:iCs/>
        </w:rPr>
        <w:t>International Journal of Eating Disorders</w:t>
      </w:r>
      <w:r w:rsidRPr="00871AD2">
        <w:t xml:space="preserve">, 55(3), pp. 343–353. Available at: </w:t>
      </w:r>
      <w:hyperlink r:id="rId5" w:history="1">
        <w:r w:rsidRPr="00871AD2">
          <w:rPr>
            <w:rStyle w:val="Hyperlink"/>
          </w:rPr>
          <w:t>https://doi.org/10.1002/eat.23662</w:t>
        </w:r>
      </w:hyperlink>
      <w:r w:rsidRPr="00871AD2">
        <w:t>.</w:t>
      </w:r>
    </w:p>
    <w:p w14:paraId="4F15A695" w14:textId="77777777" w:rsidR="00871AD2" w:rsidRPr="00871AD2" w:rsidRDefault="00871AD2" w:rsidP="00871AD2">
      <w:r w:rsidRPr="00871AD2">
        <w:t xml:space="preserve">Metcalf, G.S. (2024) ‘An introduction to Industry 5.0: history, foundations, and futures’, in Nousala, S., Metcalf, G. and Ing, D. (eds) </w:t>
      </w:r>
      <w:r w:rsidRPr="00871AD2">
        <w:rPr>
          <w:i/>
          <w:iCs/>
        </w:rPr>
        <w:t>Industry 4.0 to Industry 5.0: explorations in the transition from a techno-economic to a socio-technical future</w:t>
      </w:r>
      <w:r w:rsidRPr="00871AD2">
        <w:t xml:space="preserve">. Singapore: Springer, pp. 1–30. Available at: </w:t>
      </w:r>
      <w:hyperlink r:id="rId6" w:history="1">
        <w:r w:rsidRPr="00871AD2">
          <w:rPr>
            <w:rStyle w:val="Hyperlink"/>
          </w:rPr>
          <w:t>https://doi.org/10.1007/978-981-99-9730-5_1</w:t>
        </w:r>
      </w:hyperlink>
      <w:r w:rsidRPr="00871AD2">
        <w:t xml:space="preserve"> (Accessed: 13 October 2026).</w:t>
      </w:r>
    </w:p>
    <w:p w14:paraId="0CA48530" w14:textId="77777777" w:rsidR="00871AD2" w:rsidRPr="00871AD2" w:rsidRDefault="00871AD2" w:rsidP="00871AD2">
      <w:r w:rsidRPr="00871AD2">
        <w:t xml:space="preserve">Spohrer, J. (2024) ‘AI upskilling and digital twins: a service science perspective on the Industry 4.0 to Industry 5.0 shift’, in Nousala, S., Metcalf, G. and Ing, D. (eds) </w:t>
      </w:r>
      <w:r w:rsidRPr="00871AD2">
        <w:rPr>
          <w:i/>
          <w:iCs/>
        </w:rPr>
        <w:t xml:space="preserve">Industry 4.0 to </w:t>
      </w:r>
      <w:r w:rsidRPr="00871AD2">
        <w:rPr>
          <w:i/>
          <w:iCs/>
        </w:rPr>
        <w:lastRenderedPageBreak/>
        <w:t>Industry 5.0: explorations in the transition from a techno-economic to a socio-technical future</w:t>
      </w:r>
      <w:r w:rsidRPr="00871AD2">
        <w:t>. Singapore: Springer, pp. 79–92.</w:t>
      </w:r>
    </w:p>
    <w:p w14:paraId="1E963ADC" w14:textId="31B35C3A" w:rsidR="007124F7" w:rsidRDefault="00871AD2" w:rsidP="00871AD2">
      <w:r w:rsidRPr="00871AD2">
        <w:t xml:space="preserve">Yahalom, R. (2025) ‘What the 2024 CrowdStrike glitch can teach us about cyber risk’, </w:t>
      </w:r>
      <w:r w:rsidRPr="00871AD2">
        <w:rPr>
          <w:i/>
          <w:iCs/>
        </w:rPr>
        <w:t>Harvard Business Review</w:t>
      </w:r>
      <w:r w:rsidRPr="00871AD2">
        <w:t xml:space="preserve">, 10 January. Available at: </w:t>
      </w:r>
      <w:hyperlink r:id="rId7" w:history="1">
        <w:r w:rsidRPr="00871AD2">
          <w:rPr>
            <w:rStyle w:val="Hyperlink"/>
          </w:rPr>
          <w:t>https://hbr.org/2025/01/what-the-2024-crowdstrike-glitch-can-teach-us-about-cyber-risk</w:t>
        </w:r>
      </w:hyperlink>
      <w:r w:rsidRPr="00871AD2">
        <w:t xml:space="preserve"> (Accessed: 13 October 2026).</w:t>
      </w:r>
    </w:p>
    <w:p w14:paraId="48E5E4ED" w14:textId="77777777" w:rsidR="007124F7" w:rsidRDefault="007124F7">
      <w:r>
        <w:br w:type="page"/>
      </w:r>
    </w:p>
    <w:p w14:paraId="7C4D0485" w14:textId="00987877" w:rsidR="00871AD2" w:rsidRDefault="007124F7" w:rsidP="00871AD2">
      <w:r>
        <w:lastRenderedPageBreak/>
        <w:t>Collaborative discussion 2 – Initial Post</w:t>
      </w:r>
    </w:p>
    <w:p w14:paraId="42459383" w14:textId="77777777" w:rsidR="007124F7" w:rsidRDefault="007124F7" w:rsidP="00871AD2"/>
    <w:p w14:paraId="403D0BC4" w14:textId="77777777" w:rsidR="007124F7" w:rsidRPr="007124F7" w:rsidRDefault="007124F7" w:rsidP="007124F7">
      <w:r w:rsidRPr="007124F7">
        <w:t>Reading Hutson (2021) I was surprised how early the warning signs were already there. Even in 2020, GPT-3 could write news stories that people could hardly tell apart from human ones, but the model does not understand anything it writes, it only predicts which words are likely to come next. Bender et al. (2021) call this a “stochastic parrot”, which I think describes it quite well.</w:t>
      </w:r>
    </w:p>
    <w:p w14:paraId="00F92A69" w14:textId="77777777" w:rsidR="007124F7" w:rsidRPr="007124F7" w:rsidRDefault="007124F7" w:rsidP="007124F7">
      <w:r w:rsidRPr="007124F7">
        <w:t>For simple admin work I honestly don’t see much reason to worry. Emails, meeting summaries and standard replies follow patterns, and Noy and Zhang (2023) found that people using ChatGPT for these kinds of writing tasks were about 40% faster while the quality went up by 18%. Someone still needs to read it before it goes out, since the model can be confidently wrong.</w:t>
      </w:r>
    </w:p>
    <w:p w14:paraId="71DCA734" w14:textId="77777777" w:rsidR="007124F7" w:rsidRPr="007124F7" w:rsidRDefault="007124F7" w:rsidP="007124F7">
      <w:r w:rsidRPr="007124F7">
        <w:t>Creative writing is where I am more doubtful. AI can definitely help, and Hutson (2021) mentions a poet who found the output worth editing more than half of the time. But Doshi and Hauser (2024) found that stories written with AI help were rated as more creative, while also becoming more similar to each other. So if everyone uses the same tool, we may all slowly start to write the same way. And in legal or medical writing one wrong sentence can actually hurt someone, like the medical chatbot in Hutson (2021) that answered “I think you should” when asked about suicide.</w:t>
      </w:r>
    </w:p>
    <w:p w14:paraId="39076469" w14:textId="14F3C365" w:rsidR="007124F7" w:rsidRPr="007124F7" w:rsidRDefault="007124F7" w:rsidP="007124F7">
      <w:r w:rsidRPr="007124F7">
        <w:t xml:space="preserve">However, I think we should also be critical </w:t>
      </w:r>
      <w:r>
        <w:t>here.</w:t>
      </w:r>
      <w:r w:rsidRPr="007124F7">
        <w:t xml:space="preserve"> We tend to reject technology because we cannot hold anyone accountable, which Matthias (2004) calls the responsibility gap. But humans also make mistakes</w:t>
      </w:r>
      <w:r>
        <w:t>, take for instance</w:t>
      </w:r>
      <w:r w:rsidRPr="007124F7">
        <w:t xml:space="preserve"> drunk drivers, doctors and therapists, but we can hold them accountable, so part of the equation should also be the benefit that we get from the technology. Do we stop going to the doctor because doctors may make mistakes? Then why do we reject a technology just because it might make a mistake? Dietvorst, Simmons and Massey (2015) even found that people lose trust in an algorithm after seeing it make one mistake, even when it performs better than a human.</w:t>
      </w:r>
    </w:p>
    <w:p w14:paraId="6BA3F286" w14:textId="4DBDDBF0" w:rsidR="007124F7" w:rsidRPr="007124F7" w:rsidRDefault="007124F7" w:rsidP="007124F7">
      <w:r w:rsidRPr="007124F7">
        <w:t>So in the end I think it comes down to what is at stake, what we gain, and making sure someone stays accountable.</w:t>
      </w:r>
      <w:r w:rsidR="003A3443">
        <w:t xml:space="preserve"> There is not a straightforward answer</w:t>
      </w:r>
      <w:r w:rsidR="00222FD9">
        <w:t>.</w:t>
      </w:r>
    </w:p>
    <w:p w14:paraId="0B9BEB7B" w14:textId="77777777" w:rsidR="007124F7" w:rsidRPr="007124F7" w:rsidRDefault="007124F7" w:rsidP="007124F7">
      <w:r w:rsidRPr="007124F7">
        <w:rPr>
          <w:b/>
          <w:bCs/>
        </w:rPr>
        <w:t>References</w:t>
      </w:r>
    </w:p>
    <w:p w14:paraId="77A57744" w14:textId="77777777" w:rsidR="007124F7" w:rsidRPr="007124F7" w:rsidRDefault="007124F7" w:rsidP="007124F7">
      <w:r w:rsidRPr="007124F7">
        <w:t xml:space="preserve">Bender, E.M., Gebru, T., McMillan-Major, A. and Shmitchell, S. (2021) ‘On the dangers of stochastic parrots: can language models be too big?’, </w:t>
      </w:r>
      <w:r w:rsidRPr="007124F7">
        <w:rPr>
          <w:i/>
          <w:iCs/>
        </w:rPr>
        <w:t>Proceedings of the 2021 ACM Conference on Fairness, Accountability, and Transparency</w:t>
      </w:r>
      <w:r w:rsidRPr="007124F7">
        <w:t>, pp. 610–623. doi:10.1145/3442188.3445922.</w:t>
      </w:r>
    </w:p>
    <w:p w14:paraId="21DD64A4" w14:textId="77777777" w:rsidR="007124F7" w:rsidRPr="007124F7" w:rsidRDefault="007124F7" w:rsidP="007124F7">
      <w:r w:rsidRPr="007124F7">
        <w:lastRenderedPageBreak/>
        <w:t xml:space="preserve">Dietvorst, B.J., Simmons, J.P. and Massey, C. (2015) ‘Algorithm aversion: people erroneously avoid algorithms after seeing them err’, </w:t>
      </w:r>
      <w:r w:rsidRPr="007124F7">
        <w:rPr>
          <w:i/>
          <w:iCs/>
        </w:rPr>
        <w:t>Journal of Experimental Psychology: General</w:t>
      </w:r>
      <w:r w:rsidRPr="007124F7">
        <w:t>, 144(1), pp. 114–126. doi:10.1037/xge0000033.</w:t>
      </w:r>
    </w:p>
    <w:p w14:paraId="456AA1A6" w14:textId="77777777" w:rsidR="007124F7" w:rsidRPr="007124F7" w:rsidRDefault="007124F7" w:rsidP="007124F7">
      <w:r w:rsidRPr="007124F7">
        <w:t xml:space="preserve">Doshi, A.R. and Hauser, O.P. (2024) ‘Generative AI enhances individual creativity but reduces the collective diversity of novel content’, </w:t>
      </w:r>
      <w:r w:rsidRPr="007124F7">
        <w:rPr>
          <w:i/>
          <w:iCs/>
        </w:rPr>
        <w:t>Science Advances</w:t>
      </w:r>
      <w:r w:rsidRPr="007124F7">
        <w:t>, 10(28), eadn5290. doi:10.1126/sciadv.adn5290.</w:t>
      </w:r>
    </w:p>
    <w:p w14:paraId="26C82E61" w14:textId="77777777" w:rsidR="007124F7" w:rsidRPr="007124F7" w:rsidRDefault="007124F7" w:rsidP="007124F7">
      <w:r w:rsidRPr="007124F7">
        <w:t xml:space="preserve">Hutson, M. (2021) ‘Robo-writers: the rise and risks of language-generating AI’, </w:t>
      </w:r>
      <w:r w:rsidRPr="007124F7">
        <w:rPr>
          <w:i/>
          <w:iCs/>
        </w:rPr>
        <w:t>Nature</w:t>
      </w:r>
      <w:r w:rsidRPr="007124F7">
        <w:t>, 591(7848), pp. 22–25. doi:10.1038/d41586-021-00530-0.</w:t>
      </w:r>
    </w:p>
    <w:p w14:paraId="68A8073E" w14:textId="77777777" w:rsidR="007124F7" w:rsidRPr="007124F7" w:rsidRDefault="007124F7" w:rsidP="007124F7">
      <w:r w:rsidRPr="007124F7">
        <w:t xml:space="preserve">Matthias, A. (2004) ‘The responsibility gap: ascribing responsibility for the actions of learning automata’, </w:t>
      </w:r>
      <w:r w:rsidRPr="007124F7">
        <w:rPr>
          <w:i/>
          <w:iCs/>
        </w:rPr>
        <w:t>Ethics and Information Technology</w:t>
      </w:r>
      <w:r w:rsidRPr="007124F7">
        <w:t>, 6(3), pp. 175–183. doi:10.1007/s10676-004-3422-1.</w:t>
      </w:r>
    </w:p>
    <w:p w14:paraId="112AC4B8" w14:textId="4BBE3C9E" w:rsidR="004B24DF" w:rsidRDefault="007124F7" w:rsidP="007124F7">
      <w:r w:rsidRPr="007124F7">
        <w:t xml:space="preserve">Noy, S. and Zhang, W. (2023) ‘Experimental evidence on the productivity effects of generative artificial intelligence’, </w:t>
      </w:r>
      <w:r w:rsidRPr="007124F7">
        <w:rPr>
          <w:i/>
          <w:iCs/>
        </w:rPr>
        <w:t>Science</w:t>
      </w:r>
      <w:r w:rsidRPr="007124F7">
        <w:t>, 381(6654), pp. 187–192. doi:10.1126/science.adh2586.</w:t>
      </w:r>
    </w:p>
    <w:p w14:paraId="5C28624C" w14:textId="77777777" w:rsidR="004B24DF" w:rsidRDefault="004B24DF">
      <w:r>
        <w:br w:type="page"/>
      </w:r>
    </w:p>
    <w:p w14:paraId="26BA14D7" w14:textId="5FAEA776" w:rsidR="007124F7" w:rsidRDefault="004B24DF" w:rsidP="007124F7">
      <w:r>
        <w:lastRenderedPageBreak/>
        <w:t>Collaborative discussion 2 – Peer response Zee Mahmood</w:t>
      </w:r>
    </w:p>
    <w:p w14:paraId="28A1CF81" w14:textId="77777777" w:rsidR="004B24DF" w:rsidRDefault="004B24DF" w:rsidP="007124F7"/>
    <w:p w14:paraId="5426A82E" w14:textId="77777777" w:rsidR="004B24DF" w:rsidRPr="004B24DF" w:rsidRDefault="004B24DF" w:rsidP="004B24DF">
      <w:r w:rsidRPr="004B24DF">
        <w:t>Hi Zee, really strong post, and I like that you tested Hutson (2021) against newer evidence. To answer your question, I would put the accountable owner first, as I think accountability is overall the most scalable safeguard. Matthias (2004) calls the problem the responsibility gap, but your Deloitte example shows that there is ultimately always an owner. The AI made the errors, but Deloitte took the responsibility and had to partially refund the government (Associated Press, 2025).</w:t>
      </w:r>
    </w:p>
    <w:p w14:paraId="6A0ECA12" w14:textId="77777777" w:rsidR="004B24DF" w:rsidRPr="004B24DF" w:rsidRDefault="004B24DF" w:rsidP="004B24DF">
      <w:r w:rsidRPr="004B24DF">
        <w:t>I would also add two critical notes. Firstly, most of these papers are from when the tools were in their infancy. Your own example already shows this, as fabricated citations dropped from 55% with GPT-3.5 to 18% with GPT-4 (Walters and Wilder, 2023), and current tools have many more functions that allow for better auditing and self-verification. Secondly, we cannot blame a tool for misuse. If someone doesn’t know how to drive a car, they can still get in and drive around, but there will be consequences. I think the same applies here: if someone misuses the tool or does not know how to use it, they should be held accountable. You can build checks so sensitive data cannot be uploaded, but you also cannot prevent an employee from storing that data on a hard disk, sharing it by email or leaving their screen open. Policies all help, but unfortunately it is usually up to humans to stick to them.</w:t>
      </w:r>
    </w:p>
    <w:p w14:paraId="546AFAD1" w14:textId="77777777" w:rsidR="004B24DF" w:rsidRPr="004B24DF" w:rsidRDefault="004B24DF" w:rsidP="004B24DF">
      <w:r w:rsidRPr="004B24DF">
        <w:t>Finally, these tools can be trained or set up for specific purposes. So I think it is generally unprofessional to let a general-purpose model do a highly specific task without building a proper framework around it.</w:t>
      </w:r>
    </w:p>
    <w:p w14:paraId="2724FB72" w14:textId="77777777" w:rsidR="004B24DF" w:rsidRPr="004B24DF" w:rsidRDefault="004B24DF" w:rsidP="004B24DF">
      <w:r w:rsidRPr="004B24DF">
        <w:rPr>
          <w:b/>
          <w:bCs/>
        </w:rPr>
        <w:t>References</w:t>
      </w:r>
    </w:p>
    <w:p w14:paraId="50CEFDE2" w14:textId="77777777" w:rsidR="004B24DF" w:rsidRPr="004B24DF" w:rsidRDefault="004B24DF" w:rsidP="004B24DF">
      <w:r w:rsidRPr="004B24DF">
        <w:t xml:space="preserve">Associated Press (2025) ‘Deloitte to partially refund Australian government for report with apparent AI-generated errors’, </w:t>
      </w:r>
      <w:r w:rsidRPr="004B24DF">
        <w:rPr>
          <w:i/>
          <w:iCs/>
        </w:rPr>
        <w:t>CTV News</w:t>
      </w:r>
      <w:r w:rsidRPr="004B24DF">
        <w:t xml:space="preserve">, 7 October. Available at: </w:t>
      </w:r>
      <w:hyperlink r:id="rId8" w:history="1">
        <w:r w:rsidRPr="004B24DF">
          <w:rPr>
            <w:rStyle w:val="Hyperlink"/>
          </w:rPr>
          <w:t>https://www.ctvnews.ca/business/article/deloitte-to-partially-refund-australian-government-for-report-with-apparent-ai-generated-errors/</w:t>
        </w:r>
      </w:hyperlink>
      <w:r w:rsidRPr="004B24DF">
        <w:t xml:space="preserve"> (Accessed: 14 October 2026).</w:t>
      </w:r>
    </w:p>
    <w:p w14:paraId="2FEEAD28" w14:textId="77777777" w:rsidR="004B24DF" w:rsidRPr="004B24DF" w:rsidRDefault="004B24DF" w:rsidP="004B24DF">
      <w:r w:rsidRPr="004B24DF">
        <w:t xml:space="preserve">Matthias, A. (2004) ‘The responsibility gap: ascribing responsibility for the actions of learning automata’, </w:t>
      </w:r>
      <w:r w:rsidRPr="004B24DF">
        <w:rPr>
          <w:i/>
          <w:iCs/>
        </w:rPr>
        <w:t>Ethics and Information Technology</w:t>
      </w:r>
      <w:r w:rsidRPr="004B24DF">
        <w:t>, 6(3), pp. 175–183. doi:10.1007/s10676-004-3422-1.</w:t>
      </w:r>
    </w:p>
    <w:p w14:paraId="72759A24" w14:textId="7C43664E" w:rsidR="00BF3806" w:rsidRDefault="004B24DF" w:rsidP="004B24DF">
      <w:r w:rsidRPr="004B24DF">
        <w:t xml:space="preserve">Walters, W.H. and Wilder, E.I. (2023) ‘Fabrication and errors in the bibliographic citations generated by ChatGPT’, </w:t>
      </w:r>
      <w:r w:rsidRPr="004B24DF">
        <w:rPr>
          <w:i/>
          <w:iCs/>
        </w:rPr>
        <w:t>Scientific Reports</w:t>
      </w:r>
      <w:r w:rsidRPr="004B24DF">
        <w:t>, 13(1), article 14045. doi:10.1038/s41598-023-41032-5.</w:t>
      </w:r>
    </w:p>
    <w:p w14:paraId="40B8C80E" w14:textId="77777777" w:rsidR="00BF3806" w:rsidRDefault="00BF3806">
      <w:r>
        <w:br w:type="page"/>
      </w:r>
    </w:p>
    <w:p w14:paraId="2D029B1C" w14:textId="600522B9" w:rsidR="002C0D14" w:rsidRDefault="002C0D14" w:rsidP="002C0D14">
      <w:r>
        <w:lastRenderedPageBreak/>
        <w:t>Collaborative discussion 2 – Peer response John-Jon</w:t>
      </w:r>
    </w:p>
    <w:p w14:paraId="6A8FE2F4" w14:textId="77777777" w:rsidR="002C0D14" w:rsidRDefault="002C0D14" w:rsidP="000A40FF"/>
    <w:p w14:paraId="1BF95C77" w14:textId="1518916E" w:rsidR="000A40FF" w:rsidRPr="000A40FF" w:rsidRDefault="000A40FF" w:rsidP="000A40FF">
      <w:r w:rsidRPr="000A40FF">
        <w:t>Hi John-Jon (and Zee), I like that you assess each type of writing separately, and I agree the level of checking should depend on the consequences of an error. However, I wonder about two assumptions in this discussion. Firstly, we seem to assume that humans do not make mistakes. A human can also misinterpret figures, omit a source or write a poorly checked dismissal letter, yet we don’t question the whole writing process because of that.</w:t>
      </w:r>
    </w:p>
    <w:p w14:paraId="485CF06F" w14:textId="77777777" w:rsidR="000A40FF" w:rsidRPr="000A40FF" w:rsidRDefault="000A40FF" w:rsidP="000A40FF">
      <w:r w:rsidRPr="000A40FF">
        <w:t>Secondly, we assume that a general-purpose model should do highly specific tasks. Zee makes a good point that automation bias affects experts too (Parasuraman and Manzey, 2010), and that confident wrong answers are hard to catch by reading alone (Dell’Acqua et al., 2026). But if a tool does not have the capability for a task, it should not have been used for that task in the first place. That is not a tool failure, but misuse. And if a task is outside the reviewer’s own capability, then of course they will fail at reviewing it. Not involving an expert is a human failure and a human decision, and Deloitte as the owner of the report ultimately took the responsibility for it (Associated Press, 2025). In my company it works the other way around: by building a model on our own data, frameworks and specific skills, AI has actually improved the quality of our loan assessments, as it is better than any of us at analysing hundreds of documents and finding inconsistencies.</w:t>
      </w:r>
    </w:p>
    <w:p w14:paraId="3080BCCC" w14:textId="77777777" w:rsidR="000A40FF" w:rsidRPr="000A40FF" w:rsidRDefault="000A40FF" w:rsidP="000A40FF">
      <w:r w:rsidRPr="000A40FF">
        <w:t>So I don’t understand why an AI tool should be treated differently in the accountability chain than a human writing the same report. Whoever signs off is responsible. Do you think AI output needs a separate accountability standard?</w:t>
      </w:r>
    </w:p>
    <w:p w14:paraId="689A2326" w14:textId="77777777" w:rsidR="004B24DF" w:rsidRDefault="004B24DF" w:rsidP="004B24DF"/>
    <w:p w14:paraId="5DF27420" w14:textId="77777777" w:rsidR="002C0D14" w:rsidRPr="002C0D14" w:rsidRDefault="002C0D14" w:rsidP="002C0D14">
      <w:r w:rsidRPr="002C0D14">
        <w:rPr>
          <w:b/>
          <w:bCs/>
        </w:rPr>
        <w:t>References</w:t>
      </w:r>
    </w:p>
    <w:p w14:paraId="395DCEB6" w14:textId="77777777" w:rsidR="002C0D14" w:rsidRPr="002C0D14" w:rsidRDefault="002C0D14" w:rsidP="002C0D14">
      <w:r w:rsidRPr="002C0D14">
        <w:t xml:space="preserve">Associated Press (2025) ‘Deloitte to partially refund Australian government for report with apparent AI-generated errors’, </w:t>
      </w:r>
      <w:r w:rsidRPr="002C0D14">
        <w:rPr>
          <w:i/>
          <w:iCs/>
        </w:rPr>
        <w:t>CTV News</w:t>
      </w:r>
      <w:r w:rsidRPr="002C0D14">
        <w:t xml:space="preserve">, 7 October. Available at: </w:t>
      </w:r>
      <w:hyperlink r:id="rId9" w:history="1">
        <w:r w:rsidRPr="002C0D14">
          <w:rPr>
            <w:rStyle w:val="Hyperlink"/>
          </w:rPr>
          <w:t>https://www.ctvnews.ca/business/article/deloitte-to-partially-refund-australian-government-for-report-with-apparent-ai-generated-errors/</w:t>
        </w:r>
      </w:hyperlink>
      <w:r w:rsidRPr="002C0D14">
        <w:t xml:space="preserve"> (Accessed: 14 October 2026).</w:t>
      </w:r>
    </w:p>
    <w:p w14:paraId="5ECFE2D9" w14:textId="77777777" w:rsidR="002C0D14" w:rsidRPr="002C0D14" w:rsidRDefault="002C0D14" w:rsidP="002C0D14">
      <w:r w:rsidRPr="002C0D14">
        <w:t xml:space="preserve">Dell’Acqua, F. et al. (2026) ‘Navigating the jagged technological frontier: field experimental evidence of the effects of artificial intelligence on knowledge worker productivity and quality’, </w:t>
      </w:r>
      <w:r w:rsidRPr="002C0D14">
        <w:rPr>
          <w:i/>
          <w:iCs/>
        </w:rPr>
        <w:t>Organization Science</w:t>
      </w:r>
      <w:r w:rsidRPr="002C0D14">
        <w:t>, 37(2). doi:10.1287/orsc.2025.21838.</w:t>
      </w:r>
    </w:p>
    <w:p w14:paraId="683E8AA7" w14:textId="26F4A055" w:rsidR="00E762B2" w:rsidRDefault="002C0D14" w:rsidP="002C0D14">
      <w:r w:rsidRPr="002C0D14">
        <w:t xml:space="preserve">Parasuraman, R. and Manzey, D.H. (2010) ‘Complacency and bias in human use of automation: an attentional integration’, </w:t>
      </w:r>
      <w:r w:rsidRPr="002C0D14">
        <w:rPr>
          <w:i/>
          <w:iCs/>
        </w:rPr>
        <w:t>Human Factors</w:t>
      </w:r>
      <w:r w:rsidRPr="002C0D14">
        <w:t>, 52(3), pp. 381–410. doi:10.1177/0018720810376055.</w:t>
      </w:r>
    </w:p>
    <w:p w14:paraId="71B0CEA6" w14:textId="38A8A334" w:rsidR="002C0D14" w:rsidRDefault="00E762B2" w:rsidP="002C0D14">
      <w:r>
        <w:br w:type="page"/>
      </w:r>
      <w:r>
        <w:lastRenderedPageBreak/>
        <w:t>Summary Post – Collaborative discussion 2</w:t>
      </w:r>
    </w:p>
    <w:p w14:paraId="4888ECAA" w14:textId="77777777" w:rsidR="00E762B2" w:rsidRPr="00E762B2" w:rsidRDefault="00E762B2" w:rsidP="00E762B2">
      <w:r w:rsidRPr="00E762B2">
        <w:t>In my initial post I argued that AI writers, which Bender et al. (2021) call “stochastic parrots”, bring clear benefits for admin work, as Noy and Zhang (2023) found people were about 40% faster while quality went up by 18%. For creative writing I was more doubtful, as stories written with AI help became more similar to each other (Doshi and Hauser, 2024). I also argued that we tend to reject AI because we cannot hold anyone accountable (Matthias, 2004), while people lose trust in an algorithm after one mistake even when it performs better than a human (Dietvorst, Simmons and Massey, 2015).</w:t>
      </w:r>
    </w:p>
    <w:p w14:paraId="47EC215B" w14:textId="77777777" w:rsidR="00E762B2" w:rsidRPr="00E762B2" w:rsidRDefault="00E762B2" w:rsidP="00E762B2">
      <w:r w:rsidRPr="00E762B2">
        <w:t>Zee and John-Jon showed that these tools are not that simple to use. In Dell’Acqua et al. (2026), consultants who used AI on a task outside its capability were less likely to get the right answer, while their answers still sounded convincing. However, I would see this as a human failure, not a tool failure. If the tool cannot do the task, it should not have been used for it, and if the work is outside your own expertise, you should involve an expert. You can compare it to driving a car: if someone does not know how to drive, they can still get in and drive around, but there will be consequences, and nobody blames the car. Humans also misinterpret figures and omit sources, so I don’t think AI should be treated differently in the accountability chain. The Deloitte case shows that in the end there is always an owner who takes the responsibility (Associated Press, 2025).</w:t>
      </w:r>
    </w:p>
    <w:p w14:paraId="48C8739A" w14:textId="77777777" w:rsidR="00E762B2" w:rsidRPr="00E762B2" w:rsidRDefault="00E762B2" w:rsidP="00E762B2">
      <w:r w:rsidRPr="00E762B2">
        <w:t>In my own work I see the other side. A model built on our own data, frameworks and specific skills has improved our loan assessments, as it finds inconsistencies across hundreds of documents better than any of us.</w:t>
      </w:r>
    </w:p>
    <w:p w14:paraId="3EBA51A5" w14:textId="3C3DA54D" w:rsidR="00E762B2" w:rsidRDefault="00E762B2" w:rsidP="00E762B2">
      <w:r w:rsidRPr="00E762B2">
        <w:t>So my main takeaway is that the risk is less in the tool and more in how it is used. Accountability, a proper framework and checks that match what is at stake are what make AI writing responsible.</w:t>
      </w:r>
    </w:p>
    <w:p w14:paraId="7B92A580" w14:textId="77777777" w:rsidR="00E762B2" w:rsidRPr="00E762B2" w:rsidRDefault="00E762B2" w:rsidP="00E762B2"/>
    <w:p w14:paraId="0CDAFC10" w14:textId="77777777" w:rsidR="00E762B2" w:rsidRPr="00E762B2" w:rsidRDefault="00E762B2" w:rsidP="00E762B2">
      <w:r w:rsidRPr="00E762B2">
        <w:rPr>
          <w:b/>
          <w:bCs/>
        </w:rPr>
        <w:t>References</w:t>
      </w:r>
    </w:p>
    <w:p w14:paraId="4804B27A" w14:textId="77777777" w:rsidR="00E762B2" w:rsidRPr="00E762B2" w:rsidRDefault="00E762B2" w:rsidP="00E762B2">
      <w:r w:rsidRPr="00E762B2">
        <w:t xml:space="preserve">Associated Press (2025) ‘Deloitte to partially refund Australian government for report with apparent AI-generated errors’, </w:t>
      </w:r>
      <w:r w:rsidRPr="00E762B2">
        <w:rPr>
          <w:i/>
          <w:iCs/>
        </w:rPr>
        <w:t>CTV News</w:t>
      </w:r>
      <w:r w:rsidRPr="00E762B2">
        <w:t xml:space="preserve">, 7 October. Available at: </w:t>
      </w:r>
      <w:hyperlink r:id="rId10" w:history="1">
        <w:r w:rsidRPr="00E762B2">
          <w:rPr>
            <w:rStyle w:val="Hyperlink"/>
          </w:rPr>
          <w:t>https://www.ctvnews.ca/business/article/deloitte-to-partially-refund-australian-government-for-report-with-apparent-ai-generated-errors/</w:t>
        </w:r>
      </w:hyperlink>
      <w:r w:rsidRPr="00E762B2">
        <w:t xml:space="preserve"> (Accessed: 14 October 2026).</w:t>
      </w:r>
    </w:p>
    <w:p w14:paraId="773FC2CA" w14:textId="77777777" w:rsidR="00E762B2" w:rsidRPr="00E762B2" w:rsidRDefault="00E762B2" w:rsidP="00E762B2">
      <w:r w:rsidRPr="00E762B2">
        <w:t xml:space="preserve">Bender, E.M., Gebru, T., McMillan-Major, A. and Shmitchell, S. (2021) ‘On the dangers of stochastic parrots: can language models be too big?’, </w:t>
      </w:r>
      <w:r w:rsidRPr="00E762B2">
        <w:rPr>
          <w:i/>
          <w:iCs/>
        </w:rPr>
        <w:t>Proceedings of the 2021 ACM Conference on Fairness, Accountability, and Transparency</w:t>
      </w:r>
      <w:r w:rsidRPr="00E762B2">
        <w:t>, pp. 610–623. doi:10.1145/3442188.3445922.</w:t>
      </w:r>
    </w:p>
    <w:p w14:paraId="6420C2BB" w14:textId="77777777" w:rsidR="00E762B2" w:rsidRPr="00E762B2" w:rsidRDefault="00E762B2" w:rsidP="00E762B2">
      <w:r w:rsidRPr="00E762B2">
        <w:lastRenderedPageBreak/>
        <w:t xml:space="preserve">Dell’Acqua, F. et al. (2026) ‘Navigating the jagged technological frontier: field experimental evidence of the effects of artificial intelligence on knowledge worker productivity and quality’, </w:t>
      </w:r>
      <w:r w:rsidRPr="00E762B2">
        <w:rPr>
          <w:i/>
          <w:iCs/>
        </w:rPr>
        <w:t>Organization Science</w:t>
      </w:r>
      <w:r w:rsidRPr="00E762B2">
        <w:t>, 37(2). doi:10.1287/orsc.2025.21838.</w:t>
      </w:r>
    </w:p>
    <w:p w14:paraId="57DB69CE" w14:textId="77777777" w:rsidR="00E762B2" w:rsidRPr="00E762B2" w:rsidRDefault="00E762B2" w:rsidP="00E762B2">
      <w:r w:rsidRPr="00E762B2">
        <w:t xml:space="preserve">Dietvorst, B.J., Simmons, J.P. and Massey, C. (2015) ‘Algorithm aversion: people erroneously avoid algorithms after seeing them err’, </w:t>
      </w:r>
      <w:r w:rsidRPr="00E762B2">
        <w:rPr>
          <w:i/>
          <w:iCs/>
        </w:rPr>
        <w:t>Journal of Experimental Psychology: General</w:t>
      </w:r>
      <w:r w:rsidRPr="00E762B2">
        <w:t>, 144(1), pp. 114–126. doi:10.1037/xge0000033.</w:t>
      </w:r>
    </w:p>
    <w:p w14:paraId="1776F6EE" w14:textId="77777777" w:rsidR="00E762B2" w:rsidRPr="00E762B2" w:rsidRDefault="00E762B2" w:rsidP="00E762B2">
      <w:r w:rsidRPr="00E762B2">
        <w:t xml:space="preserve">Doshi, A.R. and Hauser, O.P. (2024) ‘Generative AI enhances individual creativity but reduces the collective diversity of novel content’, </w:t>
      </w:r>
      <w:r w:rsidRPr="00E762B2">
        <w:rPr>
          <w:i/>
          <w:iCs/>
        </w:rPr>
        <w:t>Science Advances</w:t>
      </w:r>
      <w:r w:rsidRPr="00E762B2">
        <w:t>, 10(28), eadn5290. doi:10.1126/sciadv.adn5290.</w:t>
      </w:r>
    </w:p>
    <w:p w14:paraId="49EBBBF0" w14:textId="77777777" w:rsidR="00E762B2" w:rsidRPr="00E762B2" w:rsidRDefault="00E762B2" w:rsidP="00E762B2">
      <w:r w:rsidRPr="00E762B2">
        <w:t xml:space="preserve">Matthias, A. (2004) ‘The responsibility gap: ascribing responsibility for the actions of learning automata’, </w:t>
      </w:r>
      <w:r w:rsidRPr="00E762B2">
        <w:rPr>
          <w:i/>
          <w:iCs/>
        </w:rPr>
        <w:t>Ethics and Information Technology</w:t>
      </w:r>
      <w:r w:rsidRPr="00E762B2">
        <w:t>, 6(3), pp. 175–183. doi:10.1007/s10676-004-3422-1.</w:t>
      </w:r>
    </w:p>
    <w:p w14:paraId="1C53956E" w14:textId="553B1358" w:rsidR="004C59DC" w:rsidRDefault="00E762B2">
      <w:r w:rsidRPr="00E762B2">
        <w:t xml:space="preserve">Noy, S. and Zhang, W. (2023) ‘Experimental evidence on the productivity effects of generative artificial intelligence’, </w:t>
      </w:r>
      <w:r w:rsidRPr="00E762B2">
        <w:rPr>
          <w:i/>
          <w:iCs/>
        </w:rPr>
        <w:t>Science</w:t>
      </w:r>
      <w:r w:rsidRPr="00E762B2">
        <w:t>, 381(6654), pp. 187–192. doi:10.1126/science.adh2586.</w:t>
      </w:r>
    </w:p>
    <w:p w14:paraId="6B467CD6" w14:textId="77777777" w:rsidR="004C59DC" w:rsidRDefault="004C59DC"/>
    <w:sectPr w:rsidR="004C5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838FA"/>
    <w:multiLevelType w:val="hybridMultilevel"/>
    <w:tmpl w:val="CB18F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676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57"/>
    <w:rsid w:val="0001076C"/>
    <w:rsid w:val="000A40FF"/>
    <w:rsid w:val="000E070A"/>
    <w:rsid w:val="001319DA"/>
    <w:rsid w:val="002123E0"/>
    <w:rsid w:val="00222FD9"/>
    <w:rsid w:val="00235F23"/>
    <w:rsid w:val="00250EDE"/>
    <w:rsid w:val="00275F76"/>
    <w:rsid w:val="0028385E"/>
    <w:rsid w:val="002A1CCF"/>
    <w:rsid w:val="002C0D14"/>
    <w:rsid w:val="002F5F12"/>
    <w:rsid w:val="003570CD"/>
    <w:rsid w:val="003A3443"/>
    <w:rsid w:val="00484750"/>
    <w:rsid w:val="004B24DF"/>
    <w:rsid w:val="004C59DC"/>
    <w:rsid w:val="0051078A"/>
    <w:rsid w:val="0058475D"/>
    <w:rsid w:val="00585D6E"/>
    <w:rsid w:val="00596534"/>
    <w:rsid w:val="005A5AD7"/>
    <w:rsid w:val="005F7DC0"/>
    <w:rsid w:val="0062400D"/>
    <w:rsid w:val="00701FC0"/>
    <w:rsid w:val="00706924"/>
    <w:rsid w:val="007124F7"/>
    <w:rsid w:val="00754783"/>
    <w:rsid w:val="0079359E"/>
    <w:rsid w:val="007A28E6"/>
    <w:rsid w:val="007B37E1"/>
    <w:rsid w:val="007E242A"/>
    <w:rsid w:val="00803E04"/>
    <w:rsid w:val="0081493B"/>
    <w:rsid w:val="008308B5"/>
    <w:rsid w:val="00871AD2"/>
    <w:rsid w:val="00880EB5"/>
    <w:rsid w:val="00960F73"/>
    <w:rsid w:val="009D7E1F"/>
    <w:rsid w:val="009E069F"/>
    <w:rsid w:val="009E644A"/>
    <w:rsid w:val="00A115E2"/>
    <w:rsid w:val="00AD5F1E"/>
    <w:rsid w:val="00AF3A57"/>
    <w:rsid w:val="00B31364"/>
    <w:rsid w:val="00B35902"/>
    <w:rsid w:val="00B56489"/>
    <w:rsid w:val="00BD3987"/>
    <w:rsid w:val="00BF3806"/>
    <w:rsid w:val="00C120C1"/>
    <w:rsid w:val="00C57F45"/>
    <w:rsid w:val="00C62E81"/>
    <w:rsid w:val="00CC065D"/>
    <w:rsid w:val="00D81D29"/>
    <w:rsid w:val="00DA560D"/>
    <w:rsid w:val="00DF2F99"/>
    <w:rsid w:val="00E762B2"/>
    <w:rsid w:val="00E85541"/>
    <w:rsid w:val="00E902C6"/>
    <w:rsid w:val="00EE1FB3"/>
    <w:rsid w:val="00FE4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717E"/>
  <w15:chartTrackingRefBased/>
  <w15:docId w15:val="{272F5EA9-0EF8-4859-8A51-CFE116C9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A57"/>
    <w:rPr>
      <w:rFonts w:eastAsiaTheme="majorEastAsia" w:cstheme="majorBidi"/>
      <w:color w:val="272727" w:themeColor="text1" w:themeTint="D8"/>
    </w:rPr>
  </w:style>
  <w:style w:type="paragraph" w:styleId="Title">
    <w:name w:val="Title"/>
    <w:basedOn w:val="Normal"/>
    <w:next w:val="Normal"/>
    <w:link w:val="TitleChar"/>
    <w:uiPriority w:val="10"/>
    <w:qFormat/>
    <w:rsid w:val="00AF3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A57"/>
    <w:pPr>
      <w:spacing w:before="160"/>
      <w:jc w:val="center"/>
    </w:pPr>
    <w:rPr>
      <w:i/>
      <w:iCs/>
      <w:color w:val="404040" w:themeColor="text1" w:themeTint="BF"/>
    </w:rPr>
  </w:style>
  <w:style w:type="character" w:customStyle="1" w:styleId="QuoteChar">
    <w:name w:val="Quote Char"/>
    <w:basedOn w:val="DefaultParagraphFont"/>
    <w:link w:val="Quote"/>
    <w:uiPriority w:val="29"/>
    <w:rsid w:val="00AF3A57"/>
    <w:rPr>
      <w:i/>
      <w:iCs/>
      <w:color w:val="404040" w:themeColor="text1" w:themeTint="BF"/>
    </w:rPr>
  </w:style>
  <w:style w:type="paragraph" w:styleId="ListParagraph">
    <w:name w:val="List Paragraph"/>
    <w:basedOn w:val="Normal"/>
    <w:uiPriority w:val="34"/>
    <w:qFormat/>
    <w:rsid w:val="00AF3A57"/>
    <w:pPr>
      <w:ind w:left="720"/>
      <w:contextualSpacing/>
    </w:pPr>
  </w:style>
  <w:style w:type="character" w:styleId="IntenseEmphasis">
    <w:name w:val="Intense Emphasis"/>
    <w:basedOn w:val="DefaultParagraphFont"/>
    <w:uiPriority w:val="21"/>
    <w:qFormat/>
    <w:rsid w:val="00AF3A57"/>
    <w:rPr>
      <w:i/>
      <w:iCs/>
      <w:color w:val="0F4761" w:themeColor="accent1" w:themeShade="BF"/>
    </w:rPr>
  </w:style>
  <w:style w:type="paragraph" w:styleId="IntenseQuote">
    <w:name w:val="Intense Quote"/>
    <w:basedOn w:val="Normal"/>
    <w:next w:val="Normal"/>
    <w:link w:val="IntenseQuoteChar"/>
    <w:uiPriority w:val="30"/>
    <w:qFormat/>
    <w:rsid w:val="00AF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A57"/>
    <w:rPr>
      <w:i/>
      <w:iCs/>
      <w:color w:val="0F4761" w:themeColor="accent1" w:themeShade="BF"/>
    </w:rPr>
  </w:style>
  <w:style w:type="character" w:styleId="IntenseReference">
    <w:name w:val="Intense Reference"/>
    <w:basedOn w:val="DefaultParagraphFont"/>
    <w:uiPriority w:val="32"/>
    <w:qFormat/>
    <w:rsid w:val="00AF3A57"/>
    <w:rPr>
      <w:b/>
      <w:bCs/>
      <w:smallCaps/>
      <w:color w:val="0F4761" w:themeColor="accent1" w:themeShade="BF"/>
      <w:spacing w:val="5"/>
    </w:rPr>
  </w:style>
  <w:style w:type="character" w:styleId="Hyperlink">
    <w:name w:val="Hyperlink"/>
    <w:basedOn w:val="DefaultParagraphFont"/>
    <w:uiPriority w:val="99"/>
    <w:unhideWhenUsed/>
    <w:rsid w:val="00871AD2"/>
    <w:rPr>
      <w:color w:val="467886" w:themeColor="hyperlink"/>
      <w:u w:val="single"/>
    </w:rPr>
  </w:style>
  <w:style w:type="character" w:styleId="UnresolvedMention">
    <w:name w:val="Unresolved Mention"/>
    <w:basedOn w:val="DefaultParagraphFont"/>
    <w:uiPriority w:val="99"/>
    <w:semiHidden/>
    <w:unhideWhenUsed/>
    <w:rsid w:val="00871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tvnews.ca/business/article/deloitte-to-partially-refund-australian-government-for-report-with-apparent-ai-generated-errors/" TargetMode="External"/><Relationship Id="rId3" Type="http://schemas.openxmlformats.org/officeDocument/2006/relationships/settings" Target="settings.xml"/><Relationship Id="rId7" Type="http://schemas.openxmlformats.org/officeDocument/2006/relationships/hyperlink" Target="https://hbr.org/2025/01/what-the-2024-crowdstrike-glitch-can-teach-us-about-cyber-ris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978-981-99-9730-5_1" TargetMode="External"/><Relationship Id="rId11" Type="http://schemas.openxmlformats.org/officeDocument/2006/relationships/fontTable" Target="fontTable.xml"/><Relationship Id="rId5" Type="http://schemas.openxmlformats.org/officeDocument/2006/relationships/hyperlink" Target="https://doi.org/10.1002/eat.23662" TargetMode="External"/><Relationship Id="rId10" Type="http://schemas.openxmlformats.org/officeDocument/2006/relationships/hyperlink" Target="https://www.ctvnews.ca/business/article/deloitte-to-partially-refund-australian-government-for-report-with-apparent-ai-generated-errors/" TargetMode="External"/><Relationship Id="rId4" Type="http://schemas.openxmlformats.org/officeDocument/2006/relationships/webSettings" Target="webSettings.xml"/><Relationship Id="rId9" Type="http://schemas.openxmlformats.org/officeDocument/2006/relationships/hyperlink" Target="https://www.ctvnews.ca/business/article/deloitte-to-partially-refund-australian-government-for-report-with-apparent-ai-generated-err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397</TotalTime>
  <Pages>12</Pages>
  <Words>3474</Words>
  <Characters>19803</Characters>
  <Application>Microsoft Office Word</Application>
  <DocSecurity>0</DocSecurity>
  <Lines>165</Lines>
  <Paragraphs>46</Paragraphs>
  <ScaleCrop>false</ScaleCrop>
  <Company/>
  <LinksUpToDate>false</LinksUpToDate>
  <CharactersWithSpaces>23231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Jeroen Schoemaker</dc:creator>
  <cp:keywords/>
  <dc:description/>
  <cp:lastModifiedBy>Jeroen Schoemaker</cp:lastModifiedBy>
  <cp:revision>58</cp:revision>
  <dcterms:created xsi:type="dcterms:W3CDTF">2026-10-13T07:58:00Z</dcterms:created>
  <dcterms:modified xsi:type="dcterms:W3CDTF">2026-10-18T22:08:00Z</dcterms:modified>
</cp:coreProperties>
</file>