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contrato-de-desarrollo-de-software"/>
    <w:p>
      <w:pPr>
        <w:pStyle w:val="Heading1"/>
      </w:pPr>
      <w:r>
        <w:t xml:space="preserve">Contrato de Desarrollo de Software</w:t>
      </w:r>
    </w:p>
    <w:bookmarkStart w:id="20" w:name="X7b2326ef254b1d821add47eeeb72ce452401f14"/>
    <w:p>
      <w:pPr>
        <w:pStyle w:val="Heading2"/>
      </w:pPr>
      <w:r>
        <w:t xml:space="preserve">Sistema WasteTrack – Gestión de Residuos Urbanos</w:t>
      </w:r>
    </w:p>
    <w:p>
      <w:pPr>
        <w:pStyle w:val="FirstParagraph"/>
      </w:pPr>
      <w:r>
        <w:rPr>
          <w:bCs/>
          <w:b/>
        </w:rPr>
        <w:t xml:space="preserve">Identificador:</w:t>
      </w:r>
      <w:r>
        <w:t xml:space="preserve"> </w:t>
      </w:r>
      <w:r>
        <w:t xml:space="preserve">CONT-WT-2026-001</w:t>
      </w:r>
      <w:r>
        <w:br/>
      </w:r>
      <w:r>
        <w:rPr>
          <w:bCs/>
          <w:b/>
        </w:rPr>
        <w:t xml:space="preserve">Tipo de contrato:</w:t>
      </w:r>
      <w:r>
        <w:t xml:space="preserve"> </w:t>
      </w:r>
      <w:r>
        <w:t xml:space="preserve">Precio fijo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Fecha de celebración:</w:t>
      </w:r>
      <w:r>
        <w:t xml:space="preserve"> </w:t>
      </w:r>
      <w:r>
        <w:t xml:space="preserve">Medellín, Colombia, 02 de enero de 2026</w:t>
      </w:r>
      <w:r>
        <w:br/>
      </w:r>
      <w:r>
        <w:rPr>
          <w:bCs/>
          <w:b/>
        </w:rPr>
        <w:t xml:space="preserve">Marco normativo:</w:t>
      </w:r>
      <w:r>
        <w:t xml:space="preserve"> </w:t>
      </w:r>
      <w:r>
        <w:t xml:space="preserve">ISO/IEC/IEEE 12207:2017 — Procesos de Acuerdo (Adquisición y Suministro)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Aviso académico:</w:t>
      </w:r>
      <w:r>
        <w:t xml:space="preserve"> </w:t>
      </w:r>
      <w:r>
        <w:t xml:space="preserve">Este documento fue elaborado exclusivamente con fines académicos para la asignatura Calidad de Software. No constituye un contrato real ni acredita una relación jurídica con ninguna entidad pública o privada. Los nombres, identificaciones, cargos, direcciones, correos, valores y demás datos contractuales incluidos son ficticios, referenciales o simulados.</w:t>
      </w:r>
    </w:p>
    <w:bookmarkEnd w:id="20"/>
    <w:bookmarkStart w:id="21" w:name="tabla-de-contenidos"/>
    <w:p>
      <w:pPr>
        <w:pStyle w:val="Heading2"/>
      </w:pPr>
      <w:r>
        <w:t xml:space="preserve">Tabla de contenidos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92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Identificación de las partes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completos de Cliente y Proveedor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Cláusula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del contrato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Cláusula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 de los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Cláusula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Entregables y plazos de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Cláusula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y condiciones de pago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Cláusula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Responsabilidades del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Cláusula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Responsabilidades del Proveedor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Cláusula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Criterios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Cláusula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Propiedad intelectual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Cláusula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cambios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Cláusula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Garantías y soporte post-entrega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Cláusula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Confidencialidad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Cláusula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Penalidades por incumplimiento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Cláusula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Terminación anticipada del contrato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Cláusula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Resolución de disputas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Cláusula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aplicable y jurisdicción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Cláusula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Disposiciones generales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Cláusula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 del contrato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Representantes legales y testigos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identificación-de-las-partes"/>
    <w:p>
      <w:pPr>
        <w:pStyle w:val="Heading2"/>
      </w:pPr>
      <w:r>
        <w:t xml:space="preserve">Identificación de las partes</w:t>
      </w:r>
    </w:p>
    <w:p>
      <w:pPr>
        <w:pStyle w:val="FirstParagraph"/>
      </w:pPr>
      <w:r>
        <w:t xml:space="preserve">El presente contrato se celebra entre:</w:t>
      </w:r>
    </w:p>
    <w:p>
      <w:pPr>
        <w:pStyle w:val="BodyText"/>
      </w:pPr>
      <w:r>
        <w:rPr>
          <w:bCs/>
          <w:b/>
        </w:rPr>
        <w:t xml:space="preserve">EL CLIENTE (Adquiriente):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64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Secretaría de Medio Ambiente y Desarrollo Sostenible de Medellín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890.980.716-1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Domicilio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Carrera 52 No. 42-29, Centro Administrativo La Alpujarra, Medellín, Antioquia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Representante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Carlos Andrés Mejía Restrepo – Secretario de Medio Ambiente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Correo de contacto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secretaria.medioambiente@medellin.gov.co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adelante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El Cliente</w:t>
            </w:r>
            <w:r>
              <w:rPr>
                <w:bCs/>
                <w:b/>
              </w:rP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EL PROVEEDOR (Suministrador):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64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09 – WasteTrack Development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Universidad Nacional de Colombia – Sede Medellín, Facultad de Minas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Domicilio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Cra. 65 No. 59A-110, Bloque M8, Medellín, Antioquia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Jerson Patiño – Jefe de Proyecto del Grupo 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Correo de contacto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grupo09.calidad@unal.edu.co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adelante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El Proveedor</w:t>
            </w:r>
            <w:r>
              <w:rPr>
                <w:bCs/>
                <w:b/>
              </w:rP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Preámbulo:</w:t>
      </w:r>
      <w:r>
        <w:t xml:space="preserve"> </w:t>
      </w:r>
      <w:r>
        <w:t xml:space="preserve">El Cliente ha identificado la necesidad de contar con un sistema digital de gestión de residuos urbanos que optimice las rutas de recolección, facilite la participación ciudadana y provea herramientas de análisis para las autoridades locales. El Proveedor ha presentado una propuesta técnica y económica que satisface dicha necesidad. Ambas partes, actuando de buena fe, convienen en celebrar el presente contrato de desarrollo de software.</w:t>
      </w:r>
    </w:p>
    <w:p>
      <w:r>
        <w:pict>
          <v:rect style="width:0;height:1.5pt" o:hralign="center" o:hrstd="t" o:hr="t"/>
        </w:pict>
      </w:r>
    </w:p>
    <w:bookmarkEnd w:id="22"/>
    <w:bookmarkStart w:id="23" w:name="cláusula-1-objeto-del-contrato"/>
    <w:p>
      <w:pPr>
        <w:pStyle w:val="Heading2"/>
      </w:pPr>
      <w:r>
        <w:t xml:space="preserve">Cláusula 1 – Objeto del contrato</w:t>
      </w:r>
    </w:p>
    <w:p>
      <w:pPr>
        <w:pStyle w:val="FirstParagraph"/>
      </w:pPr>
      <w:r>
        <w:t xml:space="preserve">El Proveedor se compromete a diseñar, desarrollar, probar e implementar el sistema denominado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WasteTrack</w:t>
      </w:r>
      <w:r>
        <w:rPr>
          <w:bCs/>
          <w:b/>
        </w:rPr>
        <w:t xml:space="preserve">”</w:t>
      </w:r>
      <w:r>
        <w:t xml:space="preserve">, una plataforma digital compuesta por una aplicación web y una aplicación móvil multiplataforma (Android e iOS), destinada a la gestión integral de residuos urbanos en la ciudad de Medellín. El sistema deberá integrar a ciudadanos, administradores de residuos y autoridades locales, conforme a las especificaciones detalladas en el</w:t>
      </w:r>
      <w:r>
        <w:t xml:space="preserve"> </w:t>
      </w:r>
      <w:r>
        <w:rPr>
          <w:bCs/>
          <w:b/>
        </w:rPr>
        <w:t xml:space="preserve">Anexo 1 – Especificaciones Técnicas y Requisitos del Sistema</w:t>
      </w:r>
      <w:r>
        <w:t xml:space="preserve">, adjunto e incorporado a este contrato.</w:t>
      </w:r>
    </w:p>
    <w:p>
      <w:pPr>
        <w:pStyle w:val="BodyText"/>
      </w:pPr>
      <w:r>
        <w:t xml:space="preserve">El presente contrato se rige bajo las disposiciones del</w:t>
      </w:r>
      <w:r>
        <w:t xml:space="preserve"> </w:t>
      </w:r>
      <w:r>
        <w:rPr>
          <w:bCs/>
          <w:b/>
        </w:rPr>
        <w:t xml:space="preserve">Proceso de Adquisición</w:t>
      </w:r>
      <w:r>
        <w:t xml:space="preserve"> </w:t>
      </w:r>
      <w:r>
        <w:t xml:space="preserve">y el</w:t>
      </w:r>
      <w:r>
        <w:t xml:space="preserve"> </w:t>
      </w:r>
      <w:r>
        <w:rPr>
          <w:bCs/>
          <w:b/>
        </w:rPr>
        <w:t xml:space="preserve">Proceso de Suministro</w:t>
      </w:r>
      <w:r>
        <w:t xml:space="preserve"> </w:t>
      </w:r>
      <w:r>
        <w:t xml:space="preserve">definidos en la norma</w:t>
      </w:r>
      <w:r>
        <w:t xml:space="preserve"> </w:t>
      </w:r>
      <w:r>
        <w:rPr>
          <w:bCs/>
          <w:b/>
        </w:rPr>
        <w:t xml:space="preserve">ISO/IEC/IEEE 12207:2017</w:t>
      </w:r>
      <w:r>
        <w:t xml:space="preserve">, sección 6.1 y 6.2 respectivamente, que gobiernan las responsabilidades y obligaciones de cada parte durante todo el ciclo de vida del acuerdo.</w:t>
      </w:r>
    </w:p>
    <w:p>
      <w:r>
        <w:pict>
          <v:rect style="width:0;height:1.5pt" o:hralign="center" o:hrstd="t" o:hr="t"/>
        </w:pict>
      </w:r>
    </w:p>
    <w:bookmarkEnd w:id="23"/>
    <w:bookmarkStart w:id="27" w:name="cláusula-2-alcance-de-los-servicios"/>
    <w:p>
      <w:pPr>
        <w:pStyle w:val="Heading2"/>
      </w:pPr>
      <w:r>
        <w:t xml:space="preserve">Cláusula 2 – Alcance de los servicios</w:t>
      </w:r>
    </w:p>
    <w:p>
      <w:pPr>
        <w:pStyle w:val="FirstParagraph"/>
      </w:pPr>
      <w:r>
        <w:t xml:space="preserve">El Proveedor realizará las siguientes actividades y entregará los siguientes módulos funcionales:</w:t>
      </w:r>
    </w:p>
    <w:bookmarkStart w:id="24" w:name="actividades-incluidas-en-el-contrato"/>
    <w:p>
      <w:pPr>
        <w:pStyle w:val="Heading3"/>
      </w:pPr>
      <w:r>
        <w:t xml:space="preserve">2.1 Actividades incluidas en el contrato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01"/>
        <w:gridCol w:w="54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Análisis y 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Levantamiento de requisitos funcionales y no funcionales; revisión con el Cliente; documento de especificación de requisitos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 del sistema; diseño de base de datos; wireframes y mockups de interfaz de usuario validados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Programación del backend (Node.js + Express), frontend web (React 18+) y aplicación móvil (React Native); integración con servicios externos (OAuth 2.0, AWS S3, FCM)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unitarias (cobertura ≥ 80 %), pruebas de integración, pruebas de rendimiento y pruebas de usabilidad con usuarios reales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Despliegue del sistema en infraestructura cloud; configuración de CI/CD; puesta en marcha en ciudad piloto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de capacitación de 4 horas a administradores y autoridades locales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Soporte post-entrega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Soporte técnico gratuito por 3 meses posteriores a la entrega final</w:t>
            </w:r>
          </w:p>
        </w:tc>
      </w:tr>
    </w:tbl>
    <w:bookmarkEnd w:id="24"/>
    <w:bookmarkStart w:id="25" w:name="módulos-funcionales-contratados"/>
    <w:p>
      <w:pPr>
        <w:pStyle w:val="Heading3"/>
      </w:pPr>
      <w:r>
        <w:t xml:space="preserve">2.2 Módulos funcionales contratados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3028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Autenticación y perfiles de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Registro, inicio de sesión OAuth 2.0, gestión de perfiles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 de necesidad de recolección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ciudadano con foto y geolocalización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Notificaciones en tiempo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notifications (FCM) y notificaciones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Módulo de información de reciclaje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 educativo sobre separación y reciclaje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rutas de recolección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de rutas, validación de conflictos, optimización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Estadísticas en tiempo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operacional para administradores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Panel de análisis histórico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analítico avanzado para autoridades locales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REST base + autenticación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Infraestructura de backend y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Integración, despliegue y estabilización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Configuración, integración técnica, despliegue y estabilización del 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115 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Equivalente a la línea base aprobada del proyecto y a 169 Puntos de Función Ajustados</w:t>
            </w:r>
          </w:p>
        </w:tc>
      </w:tr>
    </w:tbl>
    <w:bookmarkEnd w:id="25"/>
    <w:bookmarkStart w:id="26" w:name="actividades-excluidas-del-alcance"/>
    <w:p>
      <w:pPr>
        <w:pStyle w:val="Heading3"/>
      </w:pPr>
      <w:r>
        <w:t xml:space="preserve">2.3 Actividades excluidas del alcance</w:t>
      </w:r>
    </w:p>
    <w:p>
      <w:pPr>
        <w:numPr>
          <w:ilvl w:val="0"/>
          <w:numId w:val="1001"/>
        </w:numPr>
        <w:pStyle w:val="Compact"/>
      </w:pPr>
      <w:r>
        <w:t xml:space="preserve">Gestión de residuos industriales o rurales.</w:t>
      </w:r>
    </w:p>
    <w:p>
      <w:pPr>
        <w:numPr>
          <w:ilvl w:val="0"/>
          <w:numId w:val="1001"/>
        </w:numPr>
        <w:pStyle w:val="Compact"/>
      </w:pPr>
      <w:r>
        <w:t xml:space="preserve">Integración con sistemas de terceros distintos a los mencionados en el Anexo 1.</w:t>
      </w:r>
    </w:p>
    <w:p>
      <w:pPr>
        <w:numPr>
          <w:ilvl w:val="0"/>
          <w:numId w:val="1001"/>
        </w:numPr>
        <w:pStyle w:val="Compact"/>
      </w:pPr>
      <w:r>
        <w:t xml:space="preserve">Desarrollo de funcionalidades no especificadas en el presente contrato sin adenda autorizada.</w:t>
      </w:r>
    </w:p>
    <w:p>
      <w:pPr>
        <w:numPr>
          <w:ilvl w:val="0"/>
          <w:numId w:val="1001"/>
        </w:numPr>
        <w:pStyle w:val="Compact"/>
      </w:pPr>
      <w:r>
        <w:t xml:space="preserve">Suministro de hardware o dispositivos de usuario final.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5614f153ac801dee47c3e3d6b30bb3ea110b893"/>
    <w:p>
      <w:pPr>
        <w:pStyle w:val="Heading2"/>
      </w:pPr>
      <w:r>
        <w:t xml:space="preserve">Cláusula 3 – Entregables y plazos de entrega</w:t>
      </w:r>
    </w:p>
    <w:p>
      <w:pPr>
        <w:pStyle w:val="FirstParagraph"/>
      </w:pPr>
      <w:r>
        <w:t xml:space="preserve">El Proveedor entregará los siguientes productos conforme al calendario establecido: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5"/>
        <w:gridCol w:w="1485"/>
        <w:gridCol w:w="1608"/>
        <w:gridCol w:w="1732"/>
        <w:gridCol w:w="25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de 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funcionales, no funcionales y de calidad completos y aprobados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de enero de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Aprobación escrita del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Prototipos UI/UX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Wireframes y mockups validados con al menos 5 usuarios representativos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de febrero de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Aprobación escrita del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Alfa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funcional + módulo ciudadanos desplegado en ambiente 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de marzo de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 suite de pruebas de integración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completo con todos los módulos en ambiente 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de abril de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 pruebas funcionales y de usabilidad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 pruebas unitarias, integración, rendimiento y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de mayo de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Entregado en formato .pdf o 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desplegado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 en producción en ciudad piloto, con datos reales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de junio de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 todos los criterios de aceptación (Cláusula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técnica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usuario, manual de administrador, documento de arquitectura y PMP actualizado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de junio de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Entregado junto con E6</w:t>
            </w:r>
          </w:p>
        </w:tc>
      </w:tr>
    </w:tbl>
    <w:p>
      <w:pPr>
        <w:pStyle w:val="BodyText"/>
      </w:pPr>
      <w:r>
        <w:t xml:space="preserve">El Proveedor notificará al Cliente con al menos</w:t>
      </w:r>
      <w:r>
        <w:t xml:space="preserve"> </w:t>
      </w:r>
      <w:r>
        <w:rPr>
          <w:bCs/>
          <w:b/>
        </w:rPr>
        <w:t xml:space="preserve">5 días hábiles de anticipación</w:t>
      </w:r>
      <w:r>
        <w:t xml:space="preserve"> </w:t>
      </w:r>
      <w:r>
        <w:t xml:space="preserve">ante la eventualidad de un retraso justificado. Los retrasos no notificados activarán las penalidades establecidas en la Cláusula 12.</w:t>
      </w:r>
    </w:p>
    <w:p>
      <w:r>
        <w:pict>
          <v:rect style="width:0;height:1.5pt" o:hralign="center" o:hrstd="t" o:hr="t"/>
        </w:pict>
      </w:r>
    </w:p>
    <w:bookmarkEnd w:id="28"/>
    <w:bookmarkStart w:id="32" w:name="cláusula-4-precio-y-condiciones-de-pago"/>
    <w:p>
      <w:pPr>
        <w:pStyle w:val="Heading2"/>
      </w:pPr>
      <w:r>
        <w:t xml:space="preserve">Cláusula 4 – Precio y condiciones de pago</w:t>
      </w:r>
    </w:p>
    <w:bookmarkStart w:id="29" w:name="valor-total-del-contrato"/>
    <w:p>
      <w:pPr>
        <w:pStyle w:val="Heading3"/>
      </w:pPr>
      <w:r>
        <w:t xml:space="preserve">4.1 Valor total del contrato</w:t>
      </w:r>
    </w:p>
    <w:p>
      <w:pPr>
        <w:pStyle w:val="FirstParagraph"/>
      </w:pPr>
      <w:r>
        <w:t xml:space="preserve">El valor total acordado por la prestación de los servicios descritos en este contrato es de</w:t>
      </w:r>
      <w:r>
        <w:t xml:space="preserve"> </w:t>
      </w:r>
      <w:r>
        <w:rPr>
          <w:bCs/>
          <w:b/>
        </w:rPr>
        <w:t xml:space="preserve">COP $87.000.000</w:t>
      </w:r>
      <w:r>
        <w:t xml:space="preserve"> </w:t>
      </w:r>
      <w:r>
        <w:t xml:space="preserve">(ochenta y siete millones de pesos colombianos), equivalentes aproximadamente a</w:t>
      </w:r>
      <w:r>
        <w:t xml:space="preserve"> </w:t>
      </w:r>
      <w:r>
        <w:rPr>
          <w:bCs/>
          <w:b/>
        </w:rPr>
        <w:t xml:space="preserve">USD $21.750</w:t>
      </w:r>
      <w:r>
        <w:t xml:space="preserve"> </w:t>
      </w:r>
      <w:r>
        <w:t xml:space="preserve">a la tasa de cambio de referencia del día de la firma, conforme al esfuerzo estimado de</w:t>
      </w:r>
      <w:r>
        <w:t xml:space="preserve"> </w:t>
      </w:r>
      <w:r>
        <w:rPr>
          <w:bCs/>
          <w:b/>
        </w:rPr>
        <w:t xml:space="preserve">2.175 horas</w:t>
      </w:r>
      <w:r>
        <w:t xml:space="preserve"> </w:t>
      </w:r>
      <w:r>
        <w:t xml:space="preserve">a una tarifa de $40.000 COP/hora.</w:t>
      </w:r>
    </w:p>
    <w:p>
      <w:pPr>
        <w:pStyle w:val="BlockText"/>
      </w:pPr>
      <w:r>
        <w:rPr>
          <w:iCs/>
          <w:i/>
        </w:rPr>
        <w:t xml:space="preserve">Nota de cálculo:</w:t>
      </w:r>
      <w:r>
        <w:t xml:space="preserve"> </w:t>
      </w:r>
      <w:r>
        <w:t xml:space="preserve">La estimación de esfuerzo fue derivada mediante Análisis de Puntos de Función (FPA, resultado: 2.028 h) y Puntos de Caso de Uso (UCP, resultado: 2.322 h), con un promedio ponderado de 2.175 h (diferencia &lt; 15 %, rango de convergencia aceptable). El presupuesto adicional de infraestructura cloud es asumido en su totalidad por el Proveedor y está incluido en el valor total.</w:t>
      </w:r>
    </w:p>
    <w:p>
      <w:pPr>
        <w:pStyle w:val="BlockText"/>
      </w:pPr>
      <w:r>
        <w:rPr>
          <w:bCs/>
          <w:b/>
        </w:rPr>
        <w:t xml:space="preserve">Aclaración sobre la naturaleza académica y económica:</w:t>
      </w:r>
      <w:r>
        <w:t xml:space="preserve"> </w:t>
      </w:r>
      <w:r>
        <w:t xml:space="preserve">el valor contractual de COP $87.000.000 representa una valoración comercial simulada del esfuerzo profesional correspondiente a 2.175 horas de trabajo, calculadas con una tarifa referencial de COP $40.000 por hora. El presupuesto operativo académico indicado en el Plan de Gestión del Proyecto corresponde únicamente a desembolsos previstos para infraestructura, servicios cloud, herramientas y otros recursos del ejercicio universitario; no incluye el valor completo de la mano de obra, que se registra como costo de oportunidad.</w:t>
      </w:r>
    </w:p>
    <w:bookmarkEnd w:id="29"/>
    <w:bookmarkStart w:id="30" w:name="calendario-de-pagos"/>
    <w:p>
      <w:pPr>
        <w:pStyle w:val="Heading3"/>
      </w:pPr>
      <w:r>
        <w:t xml:space="preserve">4.2 Calendario de pagos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2970"/>
        <w:gridCol w:w="1815"/>
        <w:gridCol w:w="21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Condición de 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Porcentaje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(COP)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Pago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 firma del contrato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$17.400.000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Pago fase diseño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y aprobación de E1 y 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$17.400.000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Pago fase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y aprobación de 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$21.750.000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Pago fase 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y aprobación de 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$17.400.000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y aprobación de E6 y E7, incluyendo cumplimiento de todos los criterios de aceptación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$13.050.000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$87.000.000</w:t>
            </w:r>
          </w:p>
        </w:tc>
      </w:tr>
    </w:tbl>
    <w:bookmarkEnd w:id="30"/>
    <w:bookmarkStart w:id="31" w:name="condiciones-de-pago"/>
    <w:p>
      <w:pPr>
        <w:pStyle w:val="Heading3"/>
      </w:pPr>
      <w:r>
        <w:t xml:space="preserve">4.3 Condiciones de pago</w:t>
      </w:r>
    </w:p>
    <w:p>
      <w:pPr>
        <w:numPr>
          <w:ilvl w:val="0"/>
          <w:numId w:val="1002"/>
        </w:numPr>
        <w:pStyle w:val="Compact"/>
      </w:pPr>
      <w:r>
        <w:t xml:space="preserve">Los pagos se realizarán mediante</w:t>
      </w:r>
      <w:r>
        <w:t xml:space="preserve"> </w:t>
      </w:r>
      <w:r>
        <w:rPr>
          <w:bCs/>
          <w:b/>
        </w:rPr>
        <w:t xml:space="preserve">transferencia bancaria</w:t>
      </w:r>
      <w:r>
        <w:t xml:space="preserve"> </w:t>
      </w:r>
      <w:r>
        <w:t xml:space="preserve">a la cuenta del Proveedor, dentro de los</w:t>
      </w:r>
      <w:r>
        <w:t xml:space="preserve"> </w:t>
      </w:r>
      <w:r>
        <w:rPr>
          <w:bCs/>
          <w:b/>
        </w:rPr>
        <w:t xml:space="preserve">15 días hábiles</w:t>
      </w:r>
      <w:r>
        <w:t xml:space="preserve"> </w:t>
      </w:r>
      <w:r>
        <w:t xml:space="preserve">siguientes a la recepción de la factura y del acta de aceptación del entregable correspondiente.</w:t>
      </w:r>
    </w:p>
    <w:p>
      <w:pPr>
        <w:numPr>
          <w:ilvl w:val="0"/>
          <w:numId w:val="1002"/>
        </w:numPr>
        <w:pStyle w:val="Compact"/>
      </w:pPr>
      <w:r>
        <w:t xml:space="preserve">Cada factura deberá estar respaldada por el</w:t>
      </w:r>
      <w:r>
        <w:t xml:space="preserve"> </w:t>
      </w:r>
      <w:r>
        <w:rPr>
          <w:bCs/>
          <w:b/>
        </w:rPr>
        <w:t xml:space="preserve">acta de aceptación</w:t>
      </w:r>
      <w:r>
        <w:t xml:space="preserve"> </w:t>
      </w:r>
      <w:r>
        <w:t xml:space="preserve">firmada por el representante del Cliente.</w:t>
      </w:r>
    </w:p>
    <w:p>
      <w:pPr>
        <w:numPr>
          <w:ilvl w:val="0"/>
          <w:numId w:val="1002"/>
        </w:numPr>
        <w:pStyle w:val="Compact"/>
      </w:pPr>
      <w:r>
        <w:t xml:space="preserve">El Cliente no podrá retener pagos por razones ajenas al cumplimiento de los criterios de aceptación establecidos.</w:t>
      </w:r>
    </w:p>
    <w:p>
      <w:pPr>
        <w:numPr>
          <w:ilvl w:val="0"/>
          <w:numId w:val="1002"/>
        </w:numPr>
        <w:pStyle w:val="Compact"/>
      </w:pPr>
      <w:r>
        <w:t xml:space="preserve">En caso de mora en el pago, se aplicará una tasa de interés del</w:t>
      </w:r>
      <w:r>
        <w:t xml:space="preserve"> </w:t>
      </w:r>
      <w:r>
        <w:rPr>
          <w:bCs/>
          <w:b/>
        </w:rPr>
        <w:t xml:space="preserve">0,5 % mensual</w:t>
      </w:r>
      <w:r>
        <w:t xml:space="preserve"> </w:t>
      </w:r>
      <w:r>
        <w:t xml:space="preserve">sobre el valor adeudado.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láusula-5-responsabilidades-del-cliente"/>
    <w:p>
      <w:pPr>
        <w:pStyle w:val="Heading2"/>
      </w:pPr>
      <w:r>
        <w:t xml:space="preserve">Cláusula 5 – Responsabilidades del Cliente</w:t>
      </w:r>
    </w:p>
    <w:p>
      <w:pPr>
        <w:pStyle w:val="FirstParagraph"/>
      </w:pPr>
      <w:r>
        <w:t xml:space="preserve">El Cliente se compromete a: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Suministrar información:</w:t>
      </w:r>
      <w:r>
        <w:t xml:space="preserve"> </w:t>
      </w:r>
      <w:r>
        <w:t xml:space="preserve">Proveer al Proveedor los datos geográficos de rutas actuales de recolección, la información organizacional y los contactos de los usuarios clave (administradores y autoridades) en un plazo máximo de</w:t>
      </w:r>
      <w:r>
        <w:t xml:space="preserve"> </w:t>
      </w:r>
      <w:r>
        <w:rPr>
          <w:bCs/>
          <w:b/>
        </w:rPr>
        <w:t xml:space="preserve">10 días hábiles</w:t>
      </w:r>
      <w:r>
        <w:t xml:space="preserve"> </w:t>
      </w:r>
      <w:r>
        <w:t xml:space="preserve">a partir de la firma del contrato.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Designar representante:</w:t>
      </w:r>
      <w:r>
        <w:t xml:space="preserve"> </w:t>
      </w:r>
      <w:r>
        <w:t xml:space="preserve">Nombrar un representante técnico con autoridad para aprobar entregables, revisar prototipos y validar requisitos. El representante designado es:</w:t>
      </w:r>
      <w:r>
        <w:t xml:space="preserve"> </w:t>
      </w:r>
      <w:r>
        <w:rPr>
          <w:bCs/>
          <w:b/>
        </w:rPr>
        <w:t xml:space="preserve">[Nombre del representante técnico del Cliente]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Participar en validaciones:</w:t>
      </w:r>
      <w:r>
        <w:t xml:space="preserve"> </w:t>
      </w:r>
      <w:r>
        <w:t xml:space="preserve">Asistir a las sesiones de revisión de prototipos, demostraciones de release y pruebas de usabilidad, en las fechas acordadas con el Proveedor.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Responder en tiempo:</w:t>
      </w:r>
      <w:r>
        <w:t xml:space="preserve"> </w:t>
      </w:r>
      <w:r>
        <w:t xml:space="preserve">Emitir aprobaciones o rechazos de entregables en un plazo máximo de</w:t>
      </w:r>
      <w:r>
        <w:t xml:space="preserve"> </w:t>
      </w:r>
      <w:r>
        <w:rPr>
          <w:bCs/>
          <w:b/>
        </w:rPr>
        <w:t xml:space="preserve">5 días hábiles</w:t>
      </w:r>
      <w:r>
        <w:t xml:space="preserve"> </w:t>
      </w:r>
      <w:r>
        <w:t xml:space="preserve">tras la recepción formal del entregable.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Proveer entorno de pruebas:</w:t>
      </w:r>
      <w:r>
        <w:t xml:space="preserve"> </w:t>
      </w:r>
      <w:r>
        <w:t xml:space="preserve">Facilitar acceso a usuarios reales de prueba para las pruebas de usabilidad de los releases Alfa y Beta.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Pagar conforme a calendario:</w:t>
      </w:r>
      <w:r>
        <w:t xml:space="preserve"> </w:t>
      </w:r>
      <w:r>
        <w:t xml:space="preserve">Cumplir el calendario de pagos de la Cláusula 4, sin demoras injustificadas.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Gestionar cambios formalmente:</w:t>
      </w:r>
      <w:r>
        <w:t xml:space="preserve"> </w:t>
      </w:r>
      <w:r>
        <w:t xml:space="preserve">Solicitar cambios de alcance exclusivamente a través del procedimiento de Gestión de Cambios descrito en la Cláusula 9.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divulgar información del Proveedor:</w:t>
      </w:r>
      <w:r>
        <w:t xml:space="preserve"> </w:t>
      </w:r>
      <w:r>
        <w:t xml:space="preserve">Mantener confidencialidad sobre los métodos, herramientas y procesos de desarrollo del Proveedor durante y después del contrato.</w:t>
      </w:r>
    </w:p>
    <w:p>
      <w:r>
        <w:pict>
          <v:rect style="width:0;height:1.5pt" o:hralign="center" o:hrstd="t" o:hr="t"/>
        </w:pict>
      </w:r>
    </w:p>
    <w:bookmarkEnd w:id="33"/>
    <w:bookmarkStart w:id="34" w:name="X5941c5e52c518a77816efc60898d728f12ecded"/>
    <w:p>
      <w:pPr>
        <w:pStyle w:val="Heading2"/>
      </w:pPr>
      <w:r>
        <w:t xml:space="preserve">Cláusula 6 – Responsabilidades del Proveedor</w:t>
      </w:r>
    </w:p>
    <w:p>
      <w:pPr>
        <w:pStyle w:val="FirstParagraph"/>
      </w:pPr>
      <w:r>
        <w:t xml:space="preserve">El Proveedor se compromete a: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Ejecutar conforme al plan:</w:t>
      </w:r>
      <w:r>
        <w:t xml:space="preserve"> </w:t>
      </w:r>
      <w:r>
        <w:t xml:space="preserve">Desarrollar el sistema WasteTrack según el Plan de Gestión de Proyecto (PMP-WT-2025-v2.0) y las especificaciones del Anexo 1.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Cumplir los plazos:</w:t>
      </w:r>
      <w:r>
        <w:t xml:space="preserve"> </w:t>
      </w:r>
      <w:r>
        <w:t xml:space="preserve">Entregar cada hito en las fechas establecidas en la Cláusula 3, notificando con anticipación cualquier desviación justificada.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Mantener calidad:</w:t>
      </w:r>
      <w:r>
        <w:t xml:space="preserve"> </w:t>
      </w:r>
      <w:r>
        <w:t xml:space="preserve">Asegurar que el sistema cumpla los criterios de aceptación definidos en la Cláusula 7 antes de cada entrega formal.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Reportar avances:</w:t>
      </w:r>
      <w:r>
        <w:t xml:space="preserve"> </w:t>
      </w:r>
      <w:r>
        <w:t xml:space="preserve">Presentar informes de progreso quincenales al representante técnico del Cliente, incluyendo métricas de velocidad del equipo, porcentaje de avance por módulo y estado de riesgos.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Gestionar defectos:</w:t>
      </w:r>
      <w:r>
        <w:t xml:space="preserve"> </w:t>
      </w:r>
      <w:r>
        <w:t xml:space="preserve">Registrar, priorizar y corregir los defectos identificados durante las pruebas. Los defectos críticos (impiden funcionalidad principal) deben corregirse en un plazo máximo de</w:t>
      </w:r>
      <w:r>
        <w:t xml:space="preserve"> </w:t>
      </w:r>
      <w:r>
        <w:rPr>
          <w:bCs/>
          <w:b/>
        </w:rPr>
        <w:t xml:space="preserve">5 días hábiles</w:t>
      </w:r>
      <w:r>
        <w:t xml:space="preserve"> </w:t>
      </w:r>
      <w:r>
        <w:t xml:space="preserve">tras su reporte.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Aplicar control de calidad interno:</w:t>
      </w:r>
      <w:r>
        <w:t xml:space="preserve"> </w:t>
      </w:r>
      <w:r>
        <w:t xml:space="preserve">Ejecutar revisiones de código (Pull Requests con mínimo 1 aprobador), análisis estático (ESLint + Prettier), y pruebas automatizadas antes de cada entrega.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Documentar el sistema:</w:t>
      </w:r>
      <w:r>
        <w:t xml:space="preserve"> </w:t>
      </w:r>
      <w:r>
        <w:t xml:space="preserve">Entregar documentación técnica completa (arquitectura, API, manuales de usuario y administrador) como parte de los entregables E5, E6 y E7.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Capacitar al Cliente:</w:t>
      </w:r>
      <w:r>
        <w:t xml:space="preserve"> </w:t>
      </w:r>
      <w:r>
        <w:t xml:space="preserve">Realizar una sesión de capacitación de 4 horas dirigida a los administradores y autoridades locales designados por el Cliente.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Dar soporte post-entrega:</w:t>
      </w:r>
      <w:r>
        <w:t xml:space="preserve"> </w:t>
      </w:r>
      <w:r>
        <w:t xml:space="preserve">Prestar soporte técnico gratuito durante 3 meses después de la entrega final (E6), conforme a la Cláusula 10.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Proteger la confidencialidad:</w:t>
      </w:r>
      <w:r>
        <w:t xml:space="preserve"> </w:t>
      </w:r>
      <w:r>
        <w:t xml:space="preserve">Mantener reserva sobre toda la información del Cliente a la que tenga acceso durante la ejecución del contrato.</w:t>
      </w:r>
    </w:p>
    <w:p>
      <w:r>
        <w:pict>
          <v:rect style="width:0;height:1.5pt" o:hralign="center" o:hrstd="t" o:hr="t"/>
        </w:pict>
      </w:r>
    </w:p>
    <w:bookmarkEnd w:id="34"/>
    <w:bookmarkStart w:id="40" w:name="cláusula-7-criterios-de-aceptación"/>
    <w:p>
      <w:pPr>
        <w:pStyle w:val="Heading2"/>
      </w:pPr>
      <w:r>
        <w:t xml:space="preserve">Cláusula 7 – Criterios de aceptación</w:t>
      </w:r>
    </w:p>
    <w:p>
      <w:pPr>
        <w:pStyle w:val="FirstParagraph"/>
      </w:pPr>
      <w:r>
        <w:t xml:space="preserve">El sistema WasteTrack será formalmente aceptado cuando cumpla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los criterios siguientes:</w:t>
      </w:r>
    </w:p>
    <w:bookmarkStart w:id="35" w:name="criterios-funcionales"/>
    <w:p>
      <w:pPr>
        <w:pStyle w:val="Heading3"/>
      </w:pPr>
      <w:r>
        <w:t xml:space="preserve">7.1 Criterios funcionales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00"/>
        <w:gridCol w:w="5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Condición de cumplimiento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Todos los módulos funcionales contratados deben estar operativos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Verificado mediante ejecución de los casos de prueba de aceptación definidos en el Anexo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tres tipos de usuario (ciudadano, administrador, autoridad) deben poder realizar sus flujos principales sin errores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defectos críticos abiertos en el momento de la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 reglas de negocio de gestión de rutas deben cumplirse sin excepción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Verificado mediante ejecución de casos de prueba BN-PE, BN-VL, BN-TD del módulo Gestión de Rutas</w:t>
            </w:r>
          </w:p>
        </w:tc>
      </w:tr>
    </w:tbl>
    <w:bookmarkEnd w:id="35"/>
    <w:bookmarkStart w:id="36" w:name="X0cff58ee5472dcc7be0ec61ee85a556110daa25"/>
    <w:p>
      <w:pPr>
        <w:pStyle w:val="Heading3"/>
      </w:pPr>
      <w:r>
        <w:t xml:space="preserve">7.2 Criterios de calidad técnica (ISO/IEC 25010)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5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respuesta para consultas y notificaciones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 segundos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carga de pantalla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 segundos en condiciones estándar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99 % (medido en ambiente de producción durante 30 días post-despliegue)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de pruebas unitarias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80 % (verificado mediante reporte de Jest/Istanbul)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Defectos críticos abiertos en entrega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Defectos mayores abiertos en entrega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 (con plan de corrección acordado)</w:t>
            </w:r>
          </w:p>
        </w:tc>
      </w:tr>
    </w:tbl>
    <w:bookmarkEnd w:id="36"/>
    <w:bookmarkStart w:id="37" w:name="criterios-de-usabilidad"/>
    <w:p>
      <w:pPr>
        <w:pStyle w:val="Heading3"/>
      </w:pPr>
      <w:r>
        <w:t xml:space="preserve">7.3 Criterios de usabilidad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5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Satisfacción de usuarios en encuesta post-prueba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85 % de evaluación positiva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promedio para completar tarea principal (crear reporte)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 minutos para usuario sin entrenamiento</w:t>
            </w:r>
          </w:p>
        </w:tc>
      </w:tr>
    </w:tbl>
    <w:bookmarkEnd w:id="37"/>
    <w:bookmarkStart w:id="38" w:name="X72d31d5e33a305ffa2ead16d94d90a75cba3a3f"/>
    <w:p>
      <w:pPr>
        <w:pStyle w:val="Heading3"/>
      </w:pPr>
      <w:r>
        <w:t xml:space="preserve">7.4 Trazabilidad de criterios de aceptación con casos de prueba</w:t>
      </w:r>
    </w:p>
    <w:p>
      <w:pPr>
        <w:pStyle w:val="FirstParagraph"/>
      </w:pPr>
      <w:r>
        <w:t xml:space="preserve">Los criterios de aceptación funcional (§7.1) están respaldados por el</w:t>
      </w:r>
      <w:r>
        <w:t xml:space="preserve"> </w:t>
      </w:r>
      <w:r>
        <w:rPr>
          <w:bCs/>
          <w:b/>
        </w:rPr>
        <w:t xml:space="preserve">Plan de Pruebas de Aceptación</w:t>
      </w:r>
      <w:r>
        <w:t xml:space="preserve"> </w:t>
      </w:r>
      <w:r>
        <w:t xml:space="preserve">contenido en el Anexo 2, el cual incluye 34 casos de prueba formalmente documentados para el módulo más complejo del sistema (Gestión de Rutas de Recolección, RF-04). La siguiente tabla muestra la correspondencia entre criterios contractuales, requisitos y pruebas: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53"/>
        <w:gridCol w:w="1476"/>
        <w:gridCol w:w="34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 contractual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de prueba asociados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Módulos funcionales operativos sin defectos críticos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RF-01 a RF-06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BN-PE-01 (caso nominal), CB-CS-01, CB-CD-06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Reglas de negocio de validación de 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BN-PE-02, BN-PE-03, BN-VL-01 a BN-VL-04, CB-CC-01, CB-CC-02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Reglas de negocio de validación de capacidad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BN-PE-04, BN-PE-05, BN-VL-05 a BN-VL-08, CB-CC-03, CB-CC-04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Reglas de negocio de validación de horario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BN-PE-06, CB-CC-05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Reglas de negocio de días de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BN-PE-07, CB-CD-04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de solapamiento de rutas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BN-TD-01 a BN-TD-04, CB-CS-03, CB-CD-05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Notificaciones push al crear/modificar 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BN-PE-01, CB-CS-01, CB-CD-06</w:t>
            </w:r>
          </w:p>
        </w:tc>
      </w:tr>
    </w:tbl>
    <w:p>
      <w:pPr>
        <w:pStyle w:val="BodyText"/>
      </w:pPr>
      <w:r>
        <w:t xml:space="preserve">Esta trazabilidad garantiza que los criterios de aceptación del contrato sean verificables mediante pruebas objetivas, conforme a las buenas prácticas del Proceso de Suministro de ISO/IEC/IEEE 12207:2017 (§6.2.5 — verificación y aceptación).</w:t>
      </w:r>
    </w:p>
    <w:bookmarkEnd w:id="38"/>
    <w:bookmarkStart w:id="39" w:name="proceso-de-aceptación"/>
    <w:p>
      <w:pPr>
        <w:pStyle w:val="Heading3"/>
      </w:pPr>
      <w:r>
        <w:t xml:space="preserve">7.5 Proceso de aceptación</w:t>
      </w:r>
    </w:p>
    <w:p>
      <w:pPr>
        <w:numPr>
          <w:ilvl w:val="0"/>
          <w:numId w:val="1005"/>
        </w:numPr>
        <w:pStyle w:val="Compact"/>
      </w:pPr>
      <w:r>
        <w:t xml:space="preserve">El Proveedor entrega el artefacto y notifica formalmente al Cliente.</w:t>
      </w:r>
    </w:p>
    <w:p>
      <w:pPr>
        <w:numPr>
          <w:ilvl w:val="0"/>
          <w:numId w:val="1005"/>
        </w:numPr>
        <w:pStyle w:val="Compact"/>
      </w:pPr>
      <w:r>
        <w:t xml:space="preserve">El Cliente dispone de</w:t>
      </w:r>
      <w:r>
        <w:t xml:space="preserve"> </w:t>
      </w:r>
      <w:r>
        <w:rPr>
          <w:bCs/>
          <w:b/>
        </w:rPr>
        <w:t xml:space="preserve">5 días hábiles</w:t>
      </w:r>
      <w:r>
        <w:t xml:space="preserve"> </w:t>
      </w:r>
      <w:r>
        <w:t xml:space="preserve">para realizar la revisión.</w:t>
      </w:r>
    </w:p>
    <w:p>
      <w:pPr>
        <w:numPr>
          <w:ilvl w:val="0"/>
          <w:numId w:val="1005"/>
        </w:numPr>
        <w:pStyle w:val="Compact"/>
      </w:pPr>
      <w:r>
        <w:t xml:space="preserve">Si el artefacto cumple todos los criterios aplicables, el Cliente firma el</w:t>
      </w:r>
      <w:r>
        <w:t xml:space="preserve"> </w:t>
      </w:r>
      <w:r>
        <w:rPr>
          <w:bCs/>
          <w:b/>
        </w:rPr>
        <w:t xml:space="preserve">Acta de Aceptación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Si no cumple, el Cliente emite un</w:t>
      </w:r>
      <w:r>
        <w:t xml:space="preserve"> </w:t>
      </w:r>
      <w:r>
        <w:rPr>
          <w:bCs/>
          <w:b/>
        </w:rPr>
        <w:t xml:space="preserve">Informe de Rechazos</w:t>
      </w:r>
      <w:r>
        <w:t xml:space="preserve"> </w:t>
      </w:r>
      <w:r>
        <w:t xml:space="preserve">con los defectos específicos.</w:t>
      </w:r>
    </w:p>
    <w:p>
      <w:pPr>
        <w:numPr>
          <w:ilvl w:val="0"/>
          <w:numId w:val="1005"/>
        </w:numPr>
        <w:pStyle w:val="Compact"/>
      </w:pPr>
      <w:r>
        <w:t xml:space="preserve">El Proveedor corrige y reenvía en un plazo máximo de</w:t>
      </w:r>
      <w:r>
        <w:t xml:space="preserve"> </w:t>
      </w:r>
      <w:r>
        <w:rPr>
          <w:bCs/>
          <w:b/>
        </w:rPr>
        <w:t xml:space="preserve">7 días hábiles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Se repite el ciclo hasta la aceptación o hasta activarse las cláusulas de incumplimiento.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láusula-8-propiedad-intelectual"/>
    <w:p>
      <w:pPr>
        <w:pStyle w:val="Heading2"/>
      </w:pPr>
      <w:r>
        <w:t xml:space="preserve">Cláusula 8 – Propiedad intelectual</w:t>
      </w:r>
    </w:p>
    <w:p>
      <w:pPr>
        <w:numPr>
          <w:ilvl w:val="0"/>
          <w:numId w:val="1006"/>
        </w:numPr>
        <w:pStyle w:val="Compact"/>
      </w:pPr>
      <w:r>
        <w:t xml:space="preserve">El Cliente será el</w:t>
      </w:r>
      <w:r>
        <w:t xml:space="preserve"> </w:t>
      </w:r>
      <w:r>
        <w:rPr>
          <w:bCs/>
          <w:b/>
        </w:rPr>
        <w:t xml:space="preserve">propietario exclusivo</w:t>
      </w:r>
      <w:r>
        <w:t xml:space="preserve"> </w:t>
      </w:r>
      <w:r>
        <w:t xml:space="preserve">de todos los derechos de propiedad intelectual sobre el sistema WasteTrack desarrollado bajo este contrato, incluidos derechos de autor, código fuente, bases de datos, documentación técnica, diseños de interfaz y cualquier otro producto derivado.</w:t>
      </w:r>
    </w:p>
    <w:p>
      <w:pPr>
        <w:numPr>
          <w:ilvl w:val="0"/>
          <w:numId w:val="1006"/>
        </w:numPr>
        <w:pStyle w:val="Compact"/>
      </w:pPr>
      <w:r>
        <w:t xml:space="preserve">La transferencia de los derechos al Cliente se perfeccionará con la firma del</w:t>
      </w:r>
      <w:r>
        <w:t xml:space="preserve"> </w:t>
      </w:r>
      <w:r>
        <w:rPr>
          <w:bCs/>
          <w:b/>
        </w:rPr>
        <w:t xml:space="preserve">Acta de Aceptación Final</w:t>
      </w:r>
      <w:r>
        <w:t xml:space="preserve"> </w:t>
      </w:r>
      <w:r>
        <w:t xml:space="preserve">(E6) y el recibo del pago final.</w:t>
      </w:r>
    </w:p>
    <w:p>
      <w:pPr>
        <w:numPr>
          <w:ilvl w:val="0"/>
          <w:numId w:val="1006"/>
        </w:numPr>
        <w:pStyle w:val="Compact"/>
      </w:pPr>
      <w:r>
        <w:t xml:space="preserve">El Proveedor conserva el derecho de mencionar el proyecto WasteTrack en su portafolio académico y publicaciones científicas, previa autorización escrita del Cliente.</w:t>
      </w:r>
    </w:p>
    <w:p>
      <w:pPr>
        <w:numPr>
          <w:ilvl w:val="0"/>
          <w:numId w:val="1006"/>
        </w:numPr>
        <w:pStyle w:val="Compact"/>
      </w:pPr>
      <w:r>
        <w:t xml:space="preserve">Los</w:t>
      </w:r>
      <w:r>
        <w:t xml:space="preserve"> </w:t>
      </w:r>
      <w:r>
        <w:rPr>
          <w:bCs/>
          <w:b/>
        </w:rPr>
        <w:t xml:space="preserve">componentes de código abierto</w:t>
      </w:r>
      <w:r>
        <w:t xml:space="preserve"> </w:t>
      </w:r>
      <w:r>
        <w:t xml:space="preserve">(librerías open source) utilizados en el desarrollo se rigen por sus respectivas licencias (MIT, Apache 2.0, etc.), las cuales el Proveedor declara en el</w:t>
      </w:r>
      <w:r>
        <w:t xml:space="preserve"> </w:t>
      </w:r>
      <w:r>
        <w:rPr>
          <w:bCs/>
          <w:b/>
        </w:rPr>
        <w:t xml:space="preserve">Anexo 3 – Inventario de Dependencias de Terceros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Queda expresamente prohibido al Proveedor utilizar el código fuente del sistema WasteTrack para otros proyectos o clientes sin autorización expresa del Cliente.</w:t>
      </w:r>
    </w:p>
    <w:p>
      <w:r>
        <w:pict>
          <v:rect style="width:0;height:1.5pt" o:hralign="center" o:hrstd="t" o:hr="t"/>
        </w:pict>
      </w:r>
    </w:p>
    <w:bookmarkEnd w:id="41"/>
    <w:bookmarkStart w:id="44" w:name="cláusula-9-gestión-de-cambios"/>
    <w:p>
      <w:pPr>
        <w:pStyle w:val="Heading2"/>
      </w:pPr>
      <w:r>
        <w:t xml:space="preserve">Cláusula 9 – Gestión de cambios</w:t>
      </w:r>
    </w:p>
    <w:p>
      <w:pPr>
        <w:pStyle w:val="FirstParagraph"/>
      </w:pPr>
      <w:r>
        <w:t xml:space="preserve">Todo cambio al alcance, cronograma, presupuesto o requisitos del sistema deberá tramitarse mediante el siguiente procedimiento formal, alineado con el</w:t>
      </w:r>
      <w:r>
        <w:t xml:space="preserve"> </w:t>
      </w:r>
      <w:r>
        <w:rPr>
          <w:bCs/>
          <w:b/>
        </w:rPr>
        <w:t xml:space="preserve">Proceso de Suministro de ISO/IEC/IEEE 12207:2017</w:t>
      </w:r>
      <w:r>
        <w:t xml:space="preserve">:</w:t>
      </w:r>
    </w:p>
    <w:bookmarkStart w:id="42" w:name="procedimiento-de-solicitud-de-cambio"/>
    <w:p>
      <w:pPr>
        <w:pStyle w:val="Heading3"/>
      </w:pPr>
      <w:r>
        <w:t xml:space="preserve">9.1 Procedimiento de solicitud de cambio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4"/>
        <w:gridCol w:w="2354"/>
        <w:gridCol w:w="2782"/>
        <w:gridCol w:w="14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Emisión de la</w:t>
            </w:r>
            <w:r>
              <w:t xml:space="preserve"> </w:t>
            </w:r>
            <w:r>
              <w:rPr>
                <w:bCs/>
                <w:b/>
              </w:rPr>
              <w:t xml:space="preserve">Solicitud de Cambio (SC)</w:t>
            </w:r>
            <w:r>
              <w:t xml:space="preserve"> </w:t>
            </w:r>
            <w:r>
              <w:t xml:space="preserve">documentada con descripción, justificación e impacto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solicitante (Cliente o Proveedor)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cualquier momento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 impacto en alcance, costo, cronograma y riesgos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días hábiles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Presentación del análisis al Cliente con opciones de 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días hábiles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Aprobación o rechazo formal de la Solicitud de 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días hábiles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Emisión de</w:t>
            </w:r>
            <w:r>
              <w:t xml:space="preserve"> </w:t>
            </w:r>
            <w:r>
              <w:rPr>
                <w:bCs/>
                <w:b/>
              </w:rPr>
              <w:t xml:space="preserve">Adenda al Contrato</w:t>
            </w:r>
            <w:r>
              <w:t xml:space="preserve"> </w:t>
            </w:r>
            <w:r>
              <w:t xml:space="preserve">si el cambio implica modificación de precio o 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Ambas partes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 iniciar la implementación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y seguimiento del cambio 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al plan de implementación acordado</w:t>
            </w:r>
          </w:p>
        </w:tc>
      </w:tr>
    </w:tbl>
    <w:bookmarkEnd w:id="42"/>
    <w:bookmarkStart w:id="43" w:name="principios-de-gestión-de-cambios"/>
    <w:p>
      <w:pPr>
        <w:pStyle w:val="Heading3"/>
      </w:pPr>
      <w:r>
        <w:t xml:space="preserve">9.2 Principios de gestión de cambios</w:t>
      </w:r>
    </w:p>
    <w:p>
      <w:pPr>
        <w:numPr>
          <w:ilvl w:val="0"/>
          <w:numId w:val="1007"/>
        </w:numPr>
        <w:pStyle w:val="Compact"/>
      </w:pPr>
      <w:r>
        <w:t xml:space="preserve">Ningún cambio se implementará sin aprobación escrita del Cliente.</w:t>
      </w:r>
    </w:p>
    <w:p>
      <w:pPr>
        <w:numPr>
          <w:ilvl w:val="0"/>
          <w:numId w:val="1007"/>
        </w:numPr>
        <w:pStyle w:val="Compact"/>
      </w:pPr>
      <w:r>
        <w:t xml:space="preserve">Los cambios de alcance significativos (que incrementen el esfuerzo en más del 10 %) requerirán adenda contractual.</w:t>
      </w:r>
    </w:p>
    <w:p>
      <w:pPr>
        <w:numPr>
          <w:ilvl w:val="0"/>
          <w:numId w:val="1007"/>
        </w:numPr>
        <w:pStyle w:val="Compact"/>
      </w:pPr>
      <w:r>
        <w:t xml:space="preserve">El Proveedor no está obligado a implementar cambios de alcance sin la compensación económica correspondiente.</w:t>
      </w:r>
    </w:p>
    <w:p>
      <w:pPr>
        <w:numPr>
          <w:ilvl w:val="0"/>
          <w:numId w:val="1007"/>
        </w:numPr>
        <w:pStyle w:val="Compact"/>
      </w:pPr>
      <w:r>
        <w:t xml:space="preserve">El registro de todas las solicitudes de cambio (aprobadas o rechazadas) se mantendrá en el</w:t>
      </w:r>
      <w:r>
        <w:t xml:space="preserve"> </w:t>
      </w:r>
      <w:r>
        <w:rPr>
          <w:bCs/>
          <w:b/>
        </w:rPr>
        <w:t xml:space="preserve">Registro de Control de Cambios</w:t>
      </w:r>
      <w:r>
        <w:t xml:space="preserve">, disponible para auditoría por ambas partes.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Xd8ebd5de9954b32daa26ce1c4a5100a2526e15b"/>
    <w:p>
      <w:pPr>
        <w:pStyle w:val="Heading2"/>
      </w:pPr>
      <w:r>
        <w:t xml:space="preserve">Cláusula 10 – Garantías y soporte post-entrega</w:t>
      </w:r>
    </w:p>
    <w:bookmarkStart w:id="45" w:name="período-de-garantía"/>
    <w:p>
      <w:pPr>
        <w:pStyle w:val="Heading3"/>
      </w:pPr>
      <w:r>
        <w:t xml:space="preserve">10.1 Período de garantía</w:t>
      </w:r>
    </w:p>
    <w:p>
      <w:pPr>
        <w:pStyle w:val="FirstParagraph"/>
      </w:pPr>
      <w:r>
        <w:t xml:space="preserve">El Proveedor garantiza que el sistema WasteTrack estará libre de defectos que impidan su correcto funcionamiento conforme a las especificaciones, durante un período de</w:t>
      </w:r>
      <w:r>
        <w:t xml:space="preserve"> </w:t>
      </w:r>
      <w:r>
        <w:rPr>
          <w:bCs/>
          <w:b/>
        </w:rPr>
        <w:t xml:space="preserve">6 meses</w:t>
      </w:r>
      <w:r>
        <w:t xml:space="preserve"> </w:t>
      </w:r>
      <w:r>
        <w:t xml:space="preserve">contados a partir de la firma del Acta de Aceptación Final (E6).</w:t>
      </w:r>
    </w:p>
    <w:bookmarkEnd w:id="45"/>
    <w:bookmarkStart w:id="46" w:name="cobertura-de-la-garantía"/>
    <w:p>
      <w:pPr>
        <w:pStyle w:val="Heading3"/>
      </w:pPr>
      <w:r>
        <w:t xml:space="preserve">10.2 Cobertura de la garantía</w:t>
      </w:r>
    </w:p>
    <w:p>
      <w:pPr>
        <w:pStyle w:val="FirstParagraph"/>
      </w:pPr>
      <w:r>
        <w:t xml:space="preserve">Durante el período de garantía, el Proveedor se compromete a:</w:t>
      </w:r>
    </w:p>
    <w:p>
      <w:pPr>
        <w:numPr>
          <w:ilvl w:val="0"/>
          <w:numId w:val="1008"/>
        </w:numPr>
        <w:pStyle w:val="Compact"/>
      </w:pPr>
      <w:r>
        <w:t xml:space="preserve">Corregir sin costo adicional todos los defectos que impidan el funcionamiento de las funcionalidades contratadas.</w:t>
      </w:r>
    </w:p>
    <w:p>
      <w:pPr>
        <w:numPr>
          <w:ilvl w:val="0"/>
          <w:numId w:val="1008"/>
        </w:numPr>
        <w:pStyle w:val="Compact"/>
      </w:pPr>
      <w:r>
        <w:t xml:space="preserve">Atender reportes de defectos en los plazos definidos según su severidad: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560"/>
        <w:gridCol w:w="2520"/>
        <w:gridCol w:w="2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de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de resolución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Impide funcionalidad principal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horas hábiles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horas hábiles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Afecta significativamente funcionalidad sin workaround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horas hábiles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días hábiles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 estético o de usabilidad menor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horas hábiles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días hábiles</w:t>
            </w:r>
          </w:p>
        </w:tc>
      </w:tr>
    </w:tbl>
    <w:bookmarkEnd w:id="46"/>
    <w:bookmarkStart w:id="47" w:name="exclusiones-de-garantía"/>
    <w:p>
      <w:pPr>
        <w:pStyle w:val="Heading3"/>
      </w:pPr>
      <w:r>
        <w:t xml:space="preserve">10.3 Exclusiones de garantía</w:t>
      </w:r>
    </w:p>
    <w:p>
      <w:pPr>
        <w:pStyle w:val="FirstParagraph"/>
      </w:pPr>
      <w:r>
        <w:t xml:space="preserve">La garantía no cubre:</w:t>
      </w:r>
    </w:p>
    <w:p>
      <w:pPr>
        <w:numPr>
          <w:ilvl w:val="0"/>
          <w:numId w:val="1009"/>
        </w:numPr>
        <w:pStyle w:val="Compact"/>
      </w:pPr>
      <w:r>
        <w:t xml:space="preserve">Defectos causados por modificaciones no autorizadas al código fuente realizadas por el Cliente.</w:t>
      </w:r>
    </w:p>
    <w:p>
      <w:pPr>
        <w:numPr>
          <w:ilvl w:val="0"/>
          <w:numId w:val="1009"/>
        </w:numPr>
        <w:pStyle w:val="Compact"/>
      </w:pPr>
      <w:r>
        <w:t xml:space="preserve">Problemas derivados de fallas en la infraestructura de terceros (AWS, OAuth providers, FCM).</w:t>
      </w:r>
    </w:p>
    <w:p>
      <w:pPr>
        <w:numPr>
          <w:ilvl w:val="0"/>
          <w:numId w:val="1009"/>
        </w:numPr>
        <w:pStyle w:val="Compact"/>
      </w:pPr>
      <w:r>
        <w:t xml:space="preserve">Cambios de funcionalidad solicitados después de la aceptación final (requieren nuevo contrato o adenda).</w:t>
      </w:r>
    </w:p>
    <w:bookmarkEnd w:id="47"/>
    <w:bookmarkStart w:id="48" w:name="soporte-técnico"/>
    <w:p>
      <w:pPr>
        <w:pStyle w:val="Heading3"/>
      </w:pPr>
      <w:r>
        <w:t xml:space="preserve">10.4 Soporte técnico</w:t>
      </w:r>
    </w:p>
    <w:p>
      <w:pPr>
        <w:pStyle w:val="FirstParagraph"/>
      </w:pPr>
      <w:r>
        <w:t xml:space="preserve">Los primeros</w:t>
      </w:r>
      <w:r>
        <w:t xml:space="preserve"> </w:t>
      </w:r>
      <w:r>
        <w:rPr>
          <w:bCs/>
          <w:b/>
        </w:rPr>
        <w:t xml:space="preserve">3 meses</w:t>
      </w:r>
      <w:r>
        <w:t xml:space="preserve"> </w:t>
      </w:r>
      <w:r>
        <w:t xml:space="preserve">posteriores a la entrega final, el Proveedor prestará soporte técnico sin costo adicional, incluyendo:</w:t>
      </w:r>
    </w:p>
    <w:p>
      <w:pPr>
        <w:numPr>
          <w:ilvl w:val="0"/>
          <w:numId w:val="1010"/>
        </w:numPr>
        <w:pStyle w:val="Compact"/>
      </w:pPr>
      <w:r>
        <w:t xml:space="preserve">Atención de consultas técnicas de administradores del sistema.</w:t>
      </w:r>
    </w:p>
    <w:p>
      <w:pPr>
        <w:numPr>
          <w:ilvl w:val="0"/>
          <w:numId w:val="1010"/>
        </w:numPr>
        <w:pStyle w:val="Compact"/>
      </w:pPr>
      <w:r>
        <w:t xml:space="preserve">Asistencia en la configuración de nuevos usuarios.</w:t>
      </w:r>
    </w:p>
    <w:p>
      <w:pPr>
        <w:numPr>
          <w:ilvl w:val="0"/>
          <w:numId w:val="1010"/>
        </w:numPr>
        <w:pStyle w:val="Compact"/>
      </w:pPr>
      <w:r>
        <w:t xml:space="preserve">Monitoreo conjunto del sistema en producción durante el primer mes.</w:t>
      </w:r>
    </w:p>
    <w:p>
      <w:pPr>
        <w:pStyle w:val="FirstParagraph"/>
      </w:pPr>
      <w:r>
        <w:t xml:space="preserve">A partir del cuarto mes, el Cliente podrá contratar un plan de soporte extendido mediante adenda separada.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láusula-11-confidencialidad"/>
    <w:p>
      <w:pPr>
        <w:pStyle w:val="Heading2"/>
      </w:pPr>
      <w:r>
        <w:t xml:space="preserve">Cláusula 11 – Confidencialidad</w:t>
      </w:r>
    </w:p>
    <w:p>
      <w:pPr>
        <w:numPr>
          <w:ilvl w:val="0"/>
          <w:numId w:val="1011"/>
        </w:numPr>
        <w:pStyle w:val="Compact"/>
      </w:pPr>
      <w:r>
        <w:t xml:space="preserve">Ambas partes se comprometen a tratar como</w:t>
      </w:r>
      <w:r>
        <w:t xml:space="preserve"> </w:t>
      </w:r>
      <w:r>
        <w:rPr>
          <w:bCs/>
          <w:b/>
        </w:rPr>
        <w:t xml:space="preserve">información confidencial</w:t>
      </w:r>
      <w:r>
        <w:t xml:space="preserve"> </w:t>
      </w:r>
      <w:r>
        <w:t xml:space="preserve">toda la información técnica, comercial, estratégica u organizacional a la que accedan con ocasión de este contrato.</w:t>
      </w:r>
    </w:p>
    <w:p>
      <w:pPr>
        <w:numPr>
          <w:ilvl w:val="0"/>
          <w:numId w:val="1011"/>
        </w:numPr>
        <w:pStyle w:val="Compact"/>
      </w:pPr>
      <w:r>
        <w:t xml:space="preserve">La información confidencial incluye, de manera enunciativa y no taxativa: código fuente, arquitectura del sistema, datos de usuarios, procesos internos del Cliente, datos de rutas de recolección, información financiera y cualquier dato personal al que se acceda.</w:t>
      </w:r>
    </w:p>
    <w:p>
      <w:pPr>
        <w:numPr>
          <w:ilvl w:val="0"/>
          <w:numId w:val="1011"/>
        </w:numPr>
        <w:pStyle w:val="Compact"/>
      </w:pPr>
      <w:r>
        <w:t xml:space="preserve">Las partes no podrán divulgar información confidencial a terceros sin autorización escrita de la parte afectada.</w:t>
      </w:r>
    </w:p>
    <w:p>
      <w:pPr>
        <w:numPr>
          <w:ilvl w:val="0"/>
          <w:numId w:val="1011"/>
        </w:numPr>
        <w:pStyle w:val="Compact"/>
      </w:pPr>
      <w:r>
        <w:t xml:space="preserve">Esta obligación de confidencialidad</w:t>
      </w:r>
      <w:r>
        <w:t xml:space="preserve"> </w:t>
      </w:r>
      <w:r>
        <w:rPr>
          <w:bCs/>
          <w:b/>
        </w:rPr>
        <w:t xml:space="preserve">persistirá por 5 años</w:t>
      </w:r>
      <w:r>
        <w:t xml:space="preserve"> </w:t>
      </w:r>
      <w:r>
        <w:t xml:space="preserve">después de la terminación del contrato.</w:t>
      </w:r>
    </w:p>
    <w:p>
      <w:pPr>
        <w:numPr>
          <w:ilvl w:val="0"/>
          <w:numId w:val="1011"/>
        </w:numPr>
        <w:pStyle w:val="Compact"/>
      </w:pPr>
      <w:r>
        <w:t xml:space="preserve">Se exceptúan de la confidencialidad: información de dominio público, información requerida por autoridad judicial o administrativa competente, e información que la parte receptora ya poseía antes de este contrato.</w:t>
      </w:r>
    </w:p>
    <w:p>
      <w:pPr>
        <w:numPr>
          <w:ilvl w:val="0"/>
          <w:numId w:val="1011"/>
        </w:numPr>
        <w:pStyle w:val="Compact"/>
      </w:pPr>
      <w:r>
        <w:t xml:space="preserve">El Proveedor implementará medidas técnicas de protección de datos conforme a la</w:t>
      </w:r>
      <w:r>
        <w:t xml:space="preserve"> </w:t>
      </w:r>
      <w:r>
        <w:rPr>
          <w:bCs/>
          <w:b/>
        </w:rPr>
        <w:t xml:space="preserve">Ley 1581 de 2012 (Colombia)</w:t>
      </w:r>
      <w:r>
        <w:t xml:space="preserve"> </w:t>
      </w:r>
      <w:r>
        <w:t xml:space="preserve">y sus decretos reglamentarios, para proteger los datos personales de los ciudadanos que se procesen a través del sistema.</w:t>
      </w:r>
    </w:p>
    <w:p>
      <w:r>
        <w:pict>
          <v:rect style="width:0;height:1.5pt" o:hralign="center" o:hrstd="t" o:hr="t"/>
        </w:pict>
      </w:r>
    </w:p>
    <w:bookmarkEnd w:id="50"/>
    <w:bookmarkStart w:id="51" w:name="X8f2aadde03dfb577465351265b37b846ace0559"/>
    <w:p>
      <w:pPr>
        <w:pStyle w:val="Heading2"/>
      </w:pPr>
      <w:r>
        <w:t xml:space="preserve">Cláusula 11A – Protección y tratamiento de datos personales</w:t>
      </w:r>
    </w:p>
    <w:p>
      <w:pPr>
        <w:pStyle w:val="FirstParagraph"/>
      </w:pPr>
      <w:r>
        <w:t xml:space="preserve">Las partes se comprometen a tratar los datos personales recolectados, almacenados o procesados por WasteTrack únicamente para las finalidades autorizadas dentro del proyecto.</w:t>
      </w:r>
    </w:p>
    <w:p>
      <w:pPr>
        <w:pStyle w:val="BodyText"/>
      </w:pPr>
      <w:r>
        <w:t xml:space="preserve">El Proveedor deberá:</w:t>
      </w:r>
    </w:p>
    <w:p>
      <w:pPr>
        <w:numPr>
          <w:ilvl w:val="0"/>
          <w:numId w:val="1012"/>
        </w:numPr>
        <w:pStyle w:val="Compact"/>
      </w:pPr>
      <w:r>
        <w:t xml:space="preserve">Implementar controles de acceso basados en roles.</w:t>
      </w:r>
    </w:p>
    <w:p>
      <w:pPr>
        <w:numPr>
          <w:ilvl w:val="0"/>
          <w:numId w:val="1012"/>
        </w:numPr>
        <w:pStyle w:val="Compact"/>
      </w:pPr>
      <w:r>
        <w:t xml:space="preserve">Aplicar cifrado a las comunicaciones y a la información sensible.</w:t>
      </w:r>
    </w:p>
    <w:p>
      <w:pPr>
        <w:numPr>
          <w:ilvl w:val="0"/>
          <w:numId w:val="1012"/>
        </w:numPr>
        <w:pStyle w:val="Compact"/>
      </w:pPr>
      <w:r>
        <w:t xml:space="preserve">Evitar el uso de datos personales para finalidades distintas de las autorizadas.</w:t>
      </w:r>
    </w:p>
    <w:p>
      <w:pPr>
        <w:numPr>
          <w:ilvl w:val="0"/>
          <w:numId w:val="1012"/>
        </w:numPr>
        <w:pStyle w:val="Compact"/>
      </w:pPr>
      <w:r>
        <w:t xml:space="preserve">Informar al Cliente sobre incidentes de seguridad que comprometan información.</w:t>
      </w:r>
    </w:p>
    <w:p>
      <w:pPr>
        <w:numPr>
          <w:ilvl w:val="0"/>
          <w:numId w:val="1012"/>
        </w:numPr>
        <w:pStyle w:val="Compact"/>
      </w:pPr>
      <w:r>
        <w:t xml:space="preserve">Eliminar o devolver los datos al finalizar el contrato, de acuerdo con las instrucciones del Cliente.</w:t>
      </w:r>
    </w:p>
    <w:p>
      <w:pPr>
        <w:numPr>
          <w:ilvl w:val="0"/>
          <w:numId w:val="1012"/>
        </w:numPr>
        <w:pStyle w:val="Compact"/>
      </w:pPr>
      <w:r>
        <w:t xml:space="preserve">Garantizar que el personal y los posibles subcontratistas mantengan la confidencialidad de la información.</w:t>
      </w:r>
    </w:p>
    <w:p>
      <w:pPr>
        <w:pStyle w:val="FirstParagraph"/>
      </w:pPr>
      <w:r>
        <w:t xml:space="preserve">El Cliente será responsable de definir las finalidades autorizadas del tratamiento y de proporcionar los avisos y autorizaciones correspondientes.</w:t>
      </w:r>
    </w:p>
    <w:p>
      <w:r>
        <w:pict>
          <v:rect style="width:0;height:1.5pt" o:hralign="center" o:hrstd="t" o:hr="t"/>
        </w:pict>
      </w:r>
    </w:p>
    <w:bookmarkEnd w:id="51"/>
    <w:bookmarkStart w:id="55" w:name="X8bd1ae519c2cd98fe8623088e4c642a71fec6b7"/>
    <w:p>
      <w:pPr>
        <w:pStyle w:val="Heading2"/>
      </w:pPr>
      <w:r>
        <w:t xml:space="preserve">Cláusula 12 – Penalidades por incumplimiento</w:t>
      </w:r>
    </w:p>
    <w:bookmarkStart w:id="52" w:name="penalidades-por-retraso-del-proveedor"/>
    <w:p>
      <w:pPr>
        <w:pStyle w:val="Heading3"/>
      </w:pPr>
      <w:r>
        <w:t xml:space="preserve">12.1 Penalidades por retraso del Proveedor</w:t>
      </w:r>
    </w:p>
    <w:p>
      <w:pPr>
        <w:pStyle w:val="FirstParagraph"/>
      </w:pPr>
      <w:r>
        <w:t xml:space="preserve">Si el Proveedor no cumple con las fechas de entrega establecidas en la Cláusula 3 sin causa justificada, el Cliente tendrá derecho a imponer: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97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Duración del retraso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a 5 días hábiles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0,5 % del valor del hito retrasado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a 15 días hábiles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1,0 % del valor del hito retrasado por cada semana adicional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Más de 30 días hábiles acumulados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Cliente podrá dar por terminado el contrato conforme a la Cláusula 13</w:t>
            </w:r>
          </w:p>
        </w:tc>
      </w:tr>
    </w:tbl>
    <w:p>
      <w:pPr>
        <w:pStyle w:val="BodyText"/>
      </w:pPr>
      <w:r>
        <w:t xml:space="preserve">El tope máximo de penalidades acumuladas no podrá exceder el</w:t>
      </w:r>
      <w:r>
        <w:t xml:space="preserve"> </w:t>
      </w:r>
      <w:r>
        <w:rPr>
          <w:bCs/>
          <w:b/>
        </w:rPr>
        <w:t xml:space="preserve">10 %</w:t>
      </w:r>
      <w:r>
        <w:t xml:space="preserve"> </w:t>
      </w:r>
      <w:r>
        <w:t xml:space="preserve">del valor total del contrato.</w:t>
      </w:r>
    </w:p>
    <w:bookmarkEnd w:id="52"/>
    <w:bookmarkStart w:id="53" w:name="X975ca6e4b363f2def01ec44eabfcde92d1b63c8"/>
    <w:p>
      <w:pPr>
        <w:pStyle w:val="Heading3"/>
      </w:pPr>
      <w:r>
        <w:t xml:space="preserve">12.2 Incumplimiento de criterios de aceptación</w:t>
      </w:r>
    </w:p>
    <w:p>
      <w:pPr>
        <w:pStyle w:val="FirstParagraph"/>
      </w:pPr>
      <w:r>
        <w:t xml:space="preserve">Si el sistema no cumple los criterios de aceptación de la Cláusula 7 tras</w:t>
      </w:r>
      <w:r>
        <w:t xml:space="preserve"> </w:t>
      </w:r>
      <w:r>
        <w:rPr>
          <w:bCs/>
          <w:b/>
        </w:rPr>
        <w:t xml:space="preserve">3 ciclos de revisión y corrección</w:t>
      </w:r>
      <w:r>
        <w:t xml:space="preserve"> </w:t>
      </w:r>
      <w:r>
        <w:t xml:space="preserve">para un mismo entregable, el Cliente podrá:</w:t>
      </w:r>
    </w:p>
    <w:p>
      <w:pPr>
        <w:numPr>
          <w:ilvl w:val="0"/>
          <w:numId w:val="1013"/>
        </w:numPr>
        <w:pStyle w:val="Compact"/>
      </w:pPr>
      <w:r>
        <w:t xml:space="preserve">Solicitar reducción del precio acordado para ese entregable, proporcional a los criterios no cumplidos.</w:t>
      </w:r>
    </w:p>
    <w:p>
      <w:pPr>
        <w:numPr>
          <w:ilvl w:val="0"/>
          <w:numId w:val="1013"/>
        </w:numPr>
        <w:pStyle w:val="Compact"/>
      </w:pPr>
      <w:r>
        <w:t xml:space="preserve">Contratar a un tercero para completar la funcionalidad faltante, con cargo al Proveedor.</w:t>
      </w:r>
    </w:p>
    <w:bookmarkEnd w:id="53"/>
    <w:bookmarkStart w:id="54" w:name="Xa0c3befaf700e07c86b5aad2a542ceb1a7baf8c"/>
    <w:p>
      <w:pPr>
        <w:pStyle w:val="Heading3"/>
      </w:pPr>
      <w:r>
        <w:t xml:space="preserve">12.3 Penalidades por mora en el pago del Cliente</w:t>
      </w:r>
    </w:p>
    <w:p>
      <w:pPr>
        <w:pStyle w:val="FirstParagraph"/>
      </w:pPr>
      <w:r>
        <w:t xml:space="preserve">Si el Cliente incurre en mora en el pago de cualquier factura, se aplicará una tasa de interés del</w:t>
      </w:r>
      <w:r>
        <w:t xml:space="preserve"> </w:t>
      </w:r>
      <w:r>
        <w:rPr>
          <w:bCs/>
          <w:b/>
        </w:rPr>
        <w:t xml:space="preserve">0,5 % mensual</w:t>
      </w:r>
      <w:r>
        <w:t xml:space="preserve"> </w:t>
      </w:r>
      <w:r>
        <w:t xml:space="preserve">sobre el saldo adeudado, conforme a lo establecido en la Cláusula 4.3.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X5cabf95a0f840289b66292a26613da819d16bc7"/>
    <w:p>
      <w:pPr>
        <w:pStyle w:val="Heading2"/>
      </w:pPr>
      <w:r>
        <w:t xml:space="preserve">Cláusula 13 – Terminación anticipada del contrato</w:t>
      </w:r>
    </w:p>
    <w:bookmarkStart w:id="56" w:name="X60810c39debf88650c0944a8d49be3fee8502c0"/>
    <w:p>
      <w:pPr>
        <w:pStyle w:val="Heading3"/>
      </w:pPr>
      <w:r>
        <w:t xml:space="preserve">13.1 Terminación por incumplimiento del Proveedor</w:t>
      </w:r>
    </w:p>
    <w:p>
      <w:pPr>
        <w:pStyle w:val="FirstParagraph"/>
      </w:pPr>
      <w:r>
        <w:t xml:space="preserve">El Cliente podrá dar por terminado el contrato anticipadamente si:</w:t>
      </w:r>
    </w:p>
    <w:p>
      <w:pPr>
        <w:numPr>
          <w:ilvl w:val="0"/>
          <w:numId w:val="1014"/>
        </w:numPr>
        <w:pStyle w:val="Compact"/>
      </w:pPr>
      <w:r>
        <w:t xml:space="preserve">El Proveedor acumula más de</w:t>
      </w:r>
      <w:r>
        <w:t xml:space="preserve"> </w:t>
      </w:r>
      <w:r>
        <w:rPr>
          <w:bCs/>
          <w:b/>
        </w:rPr>
        <w:t xml:space="preserve">30 días hábiles</w:t>
      </w:r>
      <w:r>
        <w:t xml:space="preserve"> </w:t>
      </w:r>
      <w:r>
        <w:t xml:space="preserve">de retraso en un mismo entregable sin causa justificada.</w:t>
      </w:r>
    </w:p>
    <w:p>
      <w:pPr>
        <w:numPr>
          <w:ilvl w:val="0"/>
          <w:numId w:val="1014"/>
        </w:numPr>
        <w:pStyle w:val="Compact"/>
      </w:pPr>
      <w:r>
        <w:t xml:space="preserve">El Proveedor incumple obligaciones esenciales (confidencialidad, propiedad intelectual) de forma grave e irreparable.</w:t>
      </w:r>
    </w:p>
    <w:p>
      <w:pPr>
        <w:numPr>
          <w:ilvl w:val="0"/>
          <w:numId w:val="1014"/>
        </w:numPr>
        <w:pStyle w:val="Compact"/>
      </w:pPr>
      <w:r>
        <w:t xml:space="preserve">El Proveedor entra en proceso de liquidación o se declara insolvente.</w:t>
      </w:r>
    </w:p>
    <w:p>
      <w:pPr>
        <w:pStyle w:val="FirstParagraph"/>
      </w:pPr>
      <w:r>
        <w:t xml:space="preserve">En este caso, el Cliente pagará únicamente el valor de los servicios efectivamente prestados y aceptados hasta la fecha de terminación.</w:t>
      </w:r>
    </w:p>
    <w:bookmarkEnd w:id="56"/>
    <w:bookmarkStart w:id="57" w:name="terminación-por-conveniencia-del-cliente"/>
    <w:p>
      <w:pPr>
        <w:pStyle w:val="Heading3"/>
      </w:pPr>
      <w:r>
        <w:t xml:space="preserve">13.2 Terminación por conveniencia del Cliente</w:t>
      </w:r>
    </w:p>
    <w:p>
      <w:pPr>
        <w:pStyle w:val="FirstParagraph"/>
      </w:pPr>
      <w:r>
        <w:t xml:space="preserve">El Cliente podrá terminar el contrato por razones de conveniencia, notificando al Proveedor con al menos</w:t>
      </w:r>
      <w:r>
        <w:t xml:space="preserve"> </w:t>
      </w:r>
      <w:r>
        <w:rPr>
          <w:bCs/>
          <w:b/>
        </w:rPr>
        <w:t xml:space="preserve">15 días hábiles</w:t>
      </w:r>
      <w:r>
        <w:t xml:space="preserve"> </w:t>
      </w:r>
      <w:r>
        <w:t xml:space="preserve">de antelación. En este caso, el Cliente pagará:</w:t>
      </w:r>
    </w:p>
    <w:p>
      <w:pPr>
        <w:numPr>
          <w:ilvl w:val="0"/>
          <w:numId w:val="1015"/>
        </w:numPr>
        <w:pStyle w:val="Compact"/>
      </w:pPr>
      <w:r>
        <w:t xml:space="preserve">El valor de todos los entregables aceptados hasta la fecha.</w:t>
      </w:r>
    </w:p>
    <w:p>
      <w:pPr>
        <w:numPr>
          <w:ilvl w:val="0"/>
          <w:numId w:val="1015"/>
        </w:numPr>
        <w:pStyle w:val="Compact"/>
      </w:pPr>
      <w:r>
        <w:t xml:space="preserve">Una compensación equivalente al</w:t>
      </w:r>
      <w:r>
        <w:t xml:space="preserve"> </w:t>
      </w:r>
      <w:r>
        <w:rPr>
          <w:bCs/>
          <w:b/>
        </w:rPr>
        <w:t xml:space="preserve">10 %</w:t>
      </w:r>
      <w:r>
        <w:t xml:space="preserve"> </w:t>
      </w:r>
      <w:r>
        <w:t xml:space="preserve">del valor de los entregables no iniciados, como reconocimiento de los costos de preparación del Proveedor.</w:t>
      </w:r>
    </w:p>
    <w:bookmarkEnd w:id="57"/>
    <w:bookmarkStart w:id="58" w:name="terminación-por-mutuo-acuerdo"/>
    <w:p>
      <w:pPr>
        <w:pStyle w:val="Heading3"/>
      </w:pPr>
      <w:r>
        <w:t xml:space="preserve">13.3 Terminación por mutuo acuerdo</w:t>
      </w:r>
    </w:p>
    <w:p>
      <w:pPr>
        <w:pStyle w:val="FirstParagraph"/>
      </w:pPr>
      <w:r>
        <w:t xml:space="preserve">Las partes podrán acordar la terminación anticipada del contrato mediante documento escrito firmado por ambas, definiendo conjuntamente las condiciones económicas y las obligaciones pendientes.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cláusula-14-resolución-de-disputas"/>
    <w:p>
      <w:pPr>
        <w:pStyle w:val="Heading2"/>
      </w:pPr>
      <w:r>
        <w:t xml:space="preserve">Cláusula 14 – Resolución de disputas</w:t>
      </w:r>
    </w:p>
    <w:p>
      <w:pPr>
        <w:numPr>
          <w:ilvl w:val="0"/>
          <w:numId w:val="1016"/>
        </w:numPr>
        <w:pStyle w:val="Compact"/>
      </w:pPr>
      <w:r>
        <w:t xml:space="preserve">Cualquier controversia derivada de este contrato será resuelta inicialmente mediante</w:t>
      </w:r>
      <w:r>
        <w:t xml:space="preserve"> </w:t>
      </w:r>
      <w:r>
        <w:rPr>
          <w:bCs/>
          <w:b/>
        </w:rPr>
        <w:t xml:space="preserve">negociación directa</w:t>
      </w:r>
      <w:r>
        <w:t xml:space="preserve"> </w:t>
      </w:r>
      <w:r>
        <w:t xml:space="preserve">entre los representantes de las partes, en un plazo máximo de</w:t>
      </w:r>
      <w:r>
        <w:t xml:space="preserve"> </w:t>
      </w:r>
      <w:r>
        <w:rPr>
          <w:bCs/>
          <w:b/>
        </w:rPr>
        <w:t xml:space="preserve">15 días hábiles</w:t>
      </w:r>
      <w:r>
        <w:t xml:space="preserve"> </w:t>
      </w:r>
      <w:r>
        <w:t xml:space="preserve">tras la manifestación del desacuerdo.</w:t>
      </w:r>
    </w:p>
    <w:p>
      <w:pPr>
        <w:numPr>
          <w:ilvl w:val="0"/>
          <w:numId w:val="1016"/>
        </w:numPr>
        <w:pStyle w:val="Compact"/>
      </w:pPr>
      <w:r>
        <w:t xml:space="preserve">Si la negociación directa no produce acuerdo, las partes acudirán a un proceso de</w:t>
      </w:r>
      <w:r>
        <w:t xml:space="preserve"> </w:t>
      </w:r>
      <w:r>
        <w:rPr>
          <w:bCs/>
          <w:b/>
        </w:rPr>
        <w:t xml:space="preserve">mediación</w:t>
      </w:r>
      <w:r>
        <w:t xml:space="preserve"> </w:t>
      </w:r>
      <w:r>
        <w:t xml:space="preserve">ante el Centro de Conciliación, Arbitraje y Amigable Composición de la Cámara de Comercio de Medellín.</w:t>
      </w:r>
    </w:p>
    <w:p>
      <w:pPr>
        <w:numPr>
          <w:ilvl w:val="0"/>
          <w:numId w:val="1016"/>
        </w:numPr>
        <w:pStyle w:val="Compact"/>
      </w:pPr>
      <w:r>
        <w:t xml:space="preserve">Si la mediación fracasa, las disputas serán resueltas mediante</w:t>
      </w:r>
      <w:r>
        <w:t xml:space="preserve"> </w:t>
      </w:r>
      <w:r>
        <w:rPr>
          <w:bCs/>
          <w:b/>
        </w:rPr>
        <w:t xml:space="preserve">arbitraje</w:t>
      </w:r>
      <w:r>
        <w:t xml:space="preserve"> </w:t>
      </w:r>
      <w:r>
        <w:t xml:space="preserve">conforme a las reglas de la Cámara de Comercio de Medellín, con sede en Medellín, Colombia.</w:t>
      </w:r>
    </w:p>
    <w:p>
      <w:pPr>
        <w:numPr>
          <w:ilvl w:val="0"/>
          <w:numId w:val="1016"/>
        </w:numPr>
        <w:pStyle w:val="Compact"/>
      </w:pPr>
      <w:r>
        <w:t xml:space="preserve">Durante el proceso de resolución de disputas, ambas partes continuarán cumpliendo sus obligaciones contractuales en la medida de lo posible.</w:t>
      </w:r>
    </w:p>
    <w:p>
      <w:r>
        <w:pict>
          <v:rect style="width:0;height:1.5pt" o:hralign="center" o:hrstd="t" o:hr="t"/>
        </w:pict>
      </w:r>
    </w:p>
    <w:bookmarkEnd w:id="60"/>
    <w:bookmarkStart w:id="61" w:name="cláusula-15-ley-aplicable-y-jurisdicción"/>
    <w:p>
      <w:pPr>
        <w:pStyle w:val="Heading2"/>
      </w:pPr>
      <w:r>
        <w:t xml:space="preserve">Cláusula 15 – Ley aplicable y jurisdicción</w:t>
      </w:r>
    </w:p>
    <w:p>
      <w:pPr>
        <w:pStyle w:val="FirstParagraph"/>
      </w:pPr>
      <w:r>
        <w:t xml:space="preserve">Este contrato se regirá e interpretará de acuerdo con las leyes de la</w:t>
      </w:r>
      <w:r>
        <w:t xml:space="preserve"> </w:t>
      </w:r>
      <w:r>
        <w:rPr>
          <w:bCs/>
          <w:b/>
        </w:rPr>
        <w:t xml:space="preserve">República de Colombia</w:t>
      </w:r>
      <w:r>
        <w:t xml:space="preserve">, incluyendo el Código Civil, el Código de Comercio y la normativa vigente en materia de protección de datos personales (Ley 1581 de 2012) y derechos de autor (Ley 23 de 1982 y sus modificaciones). Para todos los efectos, las partes se someten a la jurisdicción de los jueces y tribunales de la ciudad de</w:t>
      </w:r>
      <w:r>
        <w:t xml:space="preserve"> </w:t>
      </w:r>
      <w:r>
        <w:rPr>
          <w:bCs/>
          <w:b/>
        </w:rPr>
        <w:t xml:space="preserve">Medellín, Antioquia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Start w:id="67" w:name="cláusula-16-disposiciones-generales"/>
    <w:p>
      <w:pPr>
        <w:pStyle w:val="Heading2"/>
      </w:pPr>
      <w:r>
        <w:t xml:space="preserve">Cláusula 16 – Disposiciones generales</w:t>
      </w:r>
    </w:p>
    <w:bookmarkStart w:id="62" w:name="modificaciones-al-contrato"/>
    <w:p>
      <w:pPr>
        <w:pStyle w:val="Heading3"/>
      </w:pPr>
      <w:r>
        <w:t xml:space="preserve">16.1 Modificaciones al contrato</w:t>
      </w:r>
    </w:p>
    <w:p>
      <w:pPr>
        <w:pStyle w:val="FirstParagraph"/>
      </w:pPr>
      <w:r>
        <w:t xml:space="preserve">Cualquier modificación al presente contrato deberá constar por escrito, estar firmada por los representantes autorizados de ambas partes y ser incorporada como adenda numerada. Las modificaciones verbales o por correo electrónico no producirán efectos jurídicos.</w:t>
      </w:r>
    </w:p>
    <w:bookmarkEnd w:id="62"/>
    <w:bookmarkStart w:id="63" w:name="independencia-de-cláusulas"/>
    <w:p>
      <w:pPr>
        <w:pStyle w:val="Heading3"/>
      </w:pPr>
      <w:r>
        <w:t xml:space="preserve">16.2 Independencia de cláusulas</w:t>
      </w:r>
    </w:p>
    <w:p>
      <w:pPr>
        <w:pStyle w:val="FirstParagraph"/>
      </w:pPr>
      <w:r>
        <w:t xml:space="preserve">Si alguna de las cláusulas de este contrato es declarada nula o inaplicable por autoridad competente, las demás cláusulas continuarán vigentes y producirán sus efectos jurídicos plenos.</w:t>
      </w:r>
    </w:p>
    <w:bookmarkEnd w:id="63"/>
    <w:bookmarkStart w:id="64" w:name="documentos-que-integran-el-contrato"/>
    <w:p>
      <w:pPr>
        <w:pStyle w:val="Heading3"/>
      </w:pPr>
      <w:r>
        <w:t xml:space="preserve">16.3 Documentos que integran el contrato</w:t>
      </w:r>
    </w:p>
    <w:p>
      <w:pPr>
        <w:pStyle w:val="FirstParagraph"/>
      </w:pPr>
      <w:r>
        <w:t xml:space="preserve">Los siguientes documentos forman parte integral de este contrato: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80"/>
        <w:gridCol w:w="48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Anexo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Especificaciones Técnicas y Requisitos del Sistema WasteTrack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Pruebas de Aceptación (Casos de Prueba – Módulo Gestión de Rutas)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de Dependencias de Terceros y sus licencias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Gestión de Proyecto (PMP-WT-2025-v2.0)</w:t>
            </w:r>
          </w:p>
        </w:tc>
      </w:tr>
    </w:tbl>
    <w:p>
      <w:pPr>
        <w:pStyle w:val="BodyText"/>
      </w:pPr>
      <w:r>
        <w:t xml:space="preserve">En caso de conflicto entre el cuerpo del contrato y sus anexos, prevalece el cuerpo del contrato.</w:t>
      </w:r>
    </w:p>
    <w:bookmarkEnd w:id="64"/>
    <w:bookmarkStart w:id="65" w:name="Xa1437be98c387909dde1aff5fd1fe5ef2e7befc"/>
    <w:p>
      <w:pPr>
        <w:pStyle w:val="Heading3"/>
      </w:pPr>
      <w:r>
        <w:t xml:space="preserve">16.4 Relación con la norma ISO/IEC/IEEE 12207:2017</w:t>
      </w:r>
    </w:p>
    <w:p>
      <w:pPr>
        <w:pStyle w:val="FirstParagraph"/>
      </w:pPr>
      <w:r>
        <w:t xml:space="preserve">El presente contrato formaliza la relación entre el</w:t>
      </w:r>
      <w:r>
        <w:t xml:space="preserve"> </w:t>
      </w:r>
      <w:r>
        <w:rPr>
          <w:bCs/>
          <w:b/>
        </w:rPr>
        <w:t xml:space="preserve">Proceso de Adquisición</w:t>
      </w:r>
      <w:r>
        <w:t xml:space="preserve"> </w:t>
      </w:r>
      <w:r>
        <w:t xml:space="preserve">(ejecutado por El Cliente) y el</w:t>
      </w:r>
      <w:r>
        <w:t xml:space="preserve"> </w:t>
      </w:r>
      <w:r>
        <w:rPr>
          <w:bCs/>
          <w:b/>
        </w:rPr>
        <w:t xml:space="preserve">Proceso de Suministro</w:t>
      </w:r>
      <w:r>
        <w:t xml:space="preserve"> </w:t>
      </w:r>
      <w:r>
        <w:t xml:space="preserve">(ejecutado por El Proveedor) conforme a la norma ISO/IEC/IEEE 12207:2017. Ambas partes reconocen que sus responsabilidades, el ciclo de entrega, los criterios de aceptación y el cierre del contrato son coherentes con las actividades y resultados esperados por dicha norma.</w:t>
      </w:r>
    </w:p>
    <w:bookmarkEnd w:id="65"/>
    <w:bookmarkStart w:id="66" w:name="comunicaciones-formales"/>
    <w:p>
      <w:pPr>
        <w:pStyle w:val="Heading3"/>
      </w:pPr>
      <w:r>
        <w:t xml:space="preserve">16.5 Comunicaciones formales</w:t>
      </w:r>
    </w:p>
    <w:p>
      <w:pPr>
        <w:pStyle w:val="FirstParagraph"/>
      </w:pPr>
      <w:r>
        <w:t xml:space="preserve">Todas las comunicaciones formales (aprobaciones, rechazos, solicitudes de cambio, notificaciones de incumplimiento) deberán realizarse por escrito dirigidas a: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Para el Cliente:</w:t>
      </w:r>
      <w:r>
        <w:t xml:space="preserve"> </w:t>
      </w:r>
      <w:r>
        <w:t xml:space="preserve">secretaria.medioambiente@medellin.gov.co — Dr. Carlos Andrés Mejía Restrepo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Para el Proveedor:</w:t>
      </w:r>
      <w:r>
        <w:t xml:space="preserve"> </w:t>
      </w:r>
      <w:r>
        <w:t xml:space="preserve">grupo09.calidad@unal.edu.co — Jefe de Proyecto Grupo 09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cláusula-17-cierre-del-contrato"/>
    <w:p>
      <w:pPr>
        <w:pStyle w:val="Heading2"/>
      </w:pPr>
      <w:r>
        <w:t xml:space="preserve">Cláusula 17 – Cierre del contrato</w:t>
      </w:r>
    </w:p>
    <w:p>
      <w:pPr>
        <w:pStyle w:val="FirstParagraph"/>
      </w:pPr>
      <w:r>
        <w:t xml:space="preserve">El contrato se considerará formalmente cerrado cuando:</w:t>
      </w:r>
    </w:p>
    <w:p>
      <w:pPr>
        <w:numPr>
          <w:ilvl w:val="0"/>
          <w:numId w:val="1018"/>
        </w:numPr>
        <w:pStyle w:val="Compact"/>
      </w:pPr>
      <w:r>
        <w:t xml:space="preserve">El Cliente haya firmado el</w:t>
      </w:r>
      <w:r>
        <w:t xml:space="preserve"> </w:t>
      </w:r>
      <w:r>
        <w:rPr>
          <w:bCs/>
          <w:b/>
        </w:rPr>
        <w:t xml:space="preserve">Acta de Aceptación Final</w:t>
      </w:r>
      <w:r>
        <w:t xml:space="preserve"> </w:t>
      </w:r>
      <w:r>
        <w:t xml:space="preserve">del sistema WasteTrack en producción (E6 + E7).</w:t>
      </w:r>
    </w:p>
    <w:p>
      <w:pPr>
        <w:numPr>
          <w:ilvl w:val="0"/>
          <w:numId w:val="1018"/>
        </w:numPr>
        <w:pStyle w:val="Compact"/>
      </w:pPr>
      <w:r>
        <w:t xml:space="preserve">El Proveedor haya transferido al Cliente todos los artefactos contratados: código fuente completo en repositorio, documentación técnica, credenciales de acceso a infraestructura y acta de transferencia de conocimiento.</w:t>
      </w:r>
    </w:p>
    <w:p>
      <w:pPr>
        <w:numPr>
          <w:ilvl w:val="0"/>
          <w:numId w:val="1018"/>
        </w:numPr>
        <w:pStyle w:val="Compact"/>
      </w:pPr>
      <w:r>
        <w:t xml:space="preserve">El Cliente haya realizado el pago final conforme a la Cláusula 4.</w:t>
      </w:r>
    </w:p>
    <w:p>
      <w:pPr>
        <w:numPr>
          <w:ilvl w:val="0"/>
          <w:numId w:val="1018"/>
        </w:numPr>
        <w:pStyle w:val="Compact"/>
      </w:pPr>
      <w:r>
        <w:t xml:space="preserve">Ambas partes hayan firmado el</w:t>
      </w:r>
      <w:r>
        <w:t xml:space="preserve"> </w:t>
      </w:r>
      <w:r>
        <w:rPr>
          <w:bCs/>
          <w:b/>
        </w:rPr>
        <w:t xml:space="preserve">Acta de Cierre de Contrato</w:t>
      </w:r>
      <w:r>
        <w:t xml:space="preserve">, documento que da por concluidas todas las obligaciones principales del presente acuerdo.</w:t>
      </w:r>
    </w:p>
    <w:p>
      <w:pPr>
        <w:numPr>
          <w:ilvl w:val="0"/>
          <w:numId w:val="1018"/>
        </w:numPr>
        <w:pStyle w:val="Compact"/>
      </w:pPr>
      <w:r>
        <w:t xml:space="preserve">El Proveedor haya entregado el informe de</w:t>
      </w:r>
      <w:r>
        <w:t xml:space="preserve"> </w:t>
      </w:r>
      <w:r>
        <w:rPr>
          <w:bCs/>
          <w:b/>
        </w:rPr>
        <w:t xml:space="preserve">lecciones aprendidas</w:t>
      </w:r>
      <w:r>
        <w:t xml:space="preserve">, conforme a las buenas prácticas del Proceso de Suministro de ISO/IEC/IEEE 12207:2017.</w:t>
      </w:r>
    </w:p>
    <w:p>
      <w:r>
        <w:pict>
          <v:rect style="width:0;height:1.5pt" o:hralign="center" o:hrstd="t" o:hr="t"/>
        </w:pict>
      </w:r>
    </w:p>
    <w:bookmarkEnd w:id="68"/>
    <w:bookmarkStart w:id="69" w:name="firmas"/>
    <w:p>
      <w:pPr>
        <w:pStyle w:val="Heading2"/>
      </w:pPr>
      <w:r>
        <w:t xml:space="preserve">Firmas</w:t>
      </w:r>
    </w:p>
    <w:p>
      <w:pPr>
        <w:pStyle w:val="FirstParagraph"/>
      </w:pPr>
      <w:r>
        <w:t xml:space="preserve">En constancia de haber leído, comprendido y aceptado todas las cláusulas del presente contrato, las partes firman en la ciudad de Medellín, Colombia, el día</w:t>
      </w:r>
      <w:r>
        <w:t xml:space="preserve"> </w:t>
      </w:r>
      <w:r>
        <w:rPr>
          <w:bCs/>
          <w:b/>
        </w:rPr>
        <w:t xml:space="preserve">02 de enero de 2026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POR EL CLIENTE: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64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 y 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Carlos Andrés Mejía Restrepo – Secretario de Medio Ambiente y Desarrollo Sostenible de Medellín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Huella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POR EL PROVEEDOR: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64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 y 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Jefe de Proyecto – Grupo 09, WasteTrack Development Team, Universidad Nacional de Colombia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Huella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testigos"/>
    <w:p>
      <w:pPr>
        <w:pStyle w:val="Heading2"/>
      </w:pPr>
      <w:r>
        <w:t xml:space="preserve">Testigos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Testigo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Testigo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Nombre: 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 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Documento: 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Documento: 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Firma: 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Firma: 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Contrato elaborado conforme a la norma ISO/IEC/IEEE 12207:2017 – Procesos de Acuerdo, en el marco del curso Calidad de Software 2025-2, Universidad Nacional de Colombia – Sede Medellín. Identificador: CONT-WT-2026-001.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2026-06-26T20:55:41Z</dcterms:created>
  <dcterms:modified xsi:type="dcterms:W3CDTF">2026-06-26T20:55:41Z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