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8C53"/>
          <w:sz w:val="60"/>
        </w:rPr>
        <w:t>FluxDash</w:t>
      </w:r>
      <w:r>
        <w:rPr>
          <w:b/>
          <w:sz w:val="60"/>
        </w:rPr>
        <w:t xml:space="preserve"> Software Documentation</w:t>
      </w:r>
    </w:p>
    <w:p>
      <w:pPr>
        <w:jc w:val="center"/>
      </w:pPr>
      <w:r>
        <w:rPr>
          <w:color w:val="58554F"/>
          <w:sz w:val="28"/>
        </w:rPr>
        <w:t>Version 1.0.0 | Teaching-Oriented Eddy Covariance Workflow App</w:t>
      </w:r>
    </w:p>
    <w:p/>
    <w:tbl>
      <w:tblPr>
        <w:tblStyle w:val="TableGrid"/>
        <w:tblW w:type="auto" w:w="0"/>
        <w:tblLook w:firstColumn="1" w:firstRow="1" w:lastColumn="0" w:lastRow="0" w:noHBand="0" w:noVBand="1" w:val="04A0"/>
      </w:tblPr>
      <w:tblGrid>
        <w:gridCol w:w="10224"/>
      </w:tblGrid>
      <w:tr>
        <w:tc>
          <w:tcPr>
            <w:tcW w:type="dxa" w:w="10224"/>
            <w:shd w:fill="E6F5EE"/>
          </w:tcPr>
          <w:p>
            <w:r/>
            <w:r>
              <w:rPr>
                <w:b/>
              </w:rPr>
              <w:t xml:space="preserve">Author and creator: </w:t>
            </w:r>
            <w:r>
              <w:rPr>
                <w:b w:val="0"/>
              </w:rPr>
              <w:t>Ife Familusi, Research Associate, Kentucky State University</w:t>
              <w:br/>
            </w:r>
            <w:r>
              <w:rPr>
                <w:b/>
              </w:rPr>
              <w:t xml:space="preserve">Contact: </w:t>
            </w:r>
            <w:r>
              <w:rPr>
                <w:b w:val="0"/>
              </w:rPr>
              <w:t>ife.familsui@kysu.edu</w:t>
              <w:br/>
            </w:r>
            <w:r>
              <w:rPr>
                <w:b/>
              </w:rPr>
              <w:t xml:space="preserve">Copyright: </w:t>
            </w:r>
            <w:r>
              <w:rPr>
                <w:b w:val="0"/>
              </w:rPr>
              <w:t>All rights reserved.</w:t>
              <w:br/>
            </w:r>
          </w:p>
          <w:p>
            <w:r>
              <w:t>FluxDash was created to help students and early-career professionals learn how to analyze eddy covariance flux datasets in a single guided environment.</w:t>
            </w:r>
          </w:p>
          <w:p>
            <w:r>
              <w:t>The software puts viewing, preprocessing, optional EddyPro processing, REddyProc gap filling and partitioning, footprint diagnostics, unit conversion, result visualization, and workflow documentation under one roof.</w:t>
            </w:r>
          </w:p>
        </w:tc>
      </w:tr>
    </w:tbl>
    <w:p/>
    <w:p>
      <w:pPr>
        <w:pStyle w:val="Heading2"/>
      </w:pPr>
      <w:r>
        <w:t>Intended users</w:t>
      </w:r>
    </w:p>
    <w:p>
      <w:pPr>
        <w:pStyle w:val="ListBullet"/>
      </w:pPr>
      <w:r>
        <w:t>Students learning eddy covariance data processing, flux partitioning, and interpretation.</w:t>
      </w:r>
    </w:p>
    <w:p>
      <w:pPr>
        <w:pStyle w:val="ListBullet"/>
      </w:pPr>
      <w:r>
        <w:t>Early-career professionals who need a structured introduction to flux analysis workflows.</w:t>
      </w:r>
    </w:p>
    <w:p>
      <w:pPr>
        <w:pStyle w:val="ListBullet"/>
      </w:pPr>
      <w:r>
        <w:t>Instructors who want a lab-friendly interface without making students manage every processing tool manually.</w:t>
      </w:r>
    </w:p>
    <w:p>
      <w:pPr>
        <w:pStyle w:val="ListBullet"/>
      </w:pPr>
      <w:r>
        <w:t>Researchers who want quick exploratory processing before validating final publication-grade outputs.</w:t>
      </w:r>
    </w:p>
    <w:p>
      <w:r>
        <w:br w:type="page"/>
      </w:r>
    </w:p>
    <w:p>
      <w:pPr>
        <w:pStyle w:val="Heading1"/>
      </w:pPr>
      <w:r>
        <w:t>1. What FluxDash Does</w:t>
      </w:r>
    </w:p>
    <w:p>
      <w:r>
        <w:t>FluxDash is a workflow-integration and teaching application for eddy covariance data. It does not hide the scientific decisions. Instead, it exposes the key choices in a structured form so users can understand how each decision affects the final NEE, GPP, Reco, ET, gap-filling, and footprint outputs.</w:t>
      </w:r>
    </w:p>
    <w:tbl>
      <w:tblPr>
        <w:tblStyle w:val="TableGrid"/>
        <w:tblW w:type="auto" w:w="0"/>
        <w:jc w:val="center"/>
        <w:tblLook w:firstColumn="1" w:firstRow="1" w:lastColumn="0" w:lastRow="0" w:noHBand="0" w:noVBand="1" w:val="04A0"/>
      </w:tblPr>
      <w:tblGrid>
        <w:gridCol w:w="3408"/>
        <w:gridCol w:w="3408"/>
        <w:gridCol w:w="3408"/>
      </w:tblGrid>
      <w:tr>
        <w:tc>
          <w:tcPr>
            <w:tcW w:type="dxa" w:w="1728"/>
            <w:shd w:fill="178C53"/>
            <w:vAlign w:val="center"/>
          </w:tcPr>
          <w:p>
            <w:r/>
            <w:r>
              <w:rPr>
                <w:b/>
                <w:color w:val="FFFFFF"/>
              </w:rPr>
              <w:t>Stage</w:t>
            </w:r>
          </w:p>
        </w:tc>
        <w:tc>
          <w:tcPr>
            <w:tcW w:type="dxa" w:w="3888"/>
            <w:shd w:fill="178C53"/>
            <w:vAlign w:val="center"/>
          </w:tcPr>
          <w:p>
            <w:r/>
            <w:r>
              <w:rPr>
                <w:b/>
                <w:color w:val="FFFFFF"/>
              </w:rPr>
              <w:t>Purpose</w:t>
            </w:r>
          </w:p>
        </w:tc>
        <w:tc>
          <w:tcPr>
            <w:tcW w:type="dxa" w:w="4896"/>
            <w:shd w:fill="178C53"/>
            <w:vAlign w:val="center"/>
          </w:tcPr>
          <w:p>
            <w:r/>
            <w:r>
              <w:rPr>
                <w:b/>
                <w:color w:val="FFFFFF"/>
              </w:rPr>
              <w:t>Main outputs</w:t>
            </w:r>
          </w:p>
        </w:tc>
      </w:tr>
      <w:tr>
        <w:tc>
          <w:tcPr>
            <w:tcW w:type="dxa" w:w="1728"/>
            <w:vAlign w:val="center"/>
          </w:tcPr>
          <w:p>
            <w:r/>
            <w:r>
              <w:rPr>
                <w:b w:val="0"/>
              </w:rPr>
              <w:t>View</w:t>
            </w:r>
          </w:p>
        </w:tc>
        <w:tc>
          <w:tcPr>
            <w:tcW w:type="dxa" w:w="3888"/>
            <w:vAlign w:val="center"/>
          </w:tcPr>
          <w:p>
            <w:r/>
            <w:r>
              <w:rPr>
                <w:b w:val="0"/>
              </w:rPr>
              <w:t>Scan a data folder, load EP-Summary or processed flux outputs, inspect variables and date ranges.</w:t>
            </w:r>
          </w:p>
        </w:tc>
        <w:tc>
          <w:tcPr>
            <w:tcW w:type="dxa" w:w="4896"/>
            <w:vAlign w:val="center"/>
          </w:tcPr>
          <w:p>
            <w:r/>
            <w:r>
              <w:rPr>
                <w:b w:val="0"/>
              </w:rPr>
              <w:t>Time series, scatter plots, quick KPIs, variable lists.</w:t>
            </w:r>
          </w:p>
        </w:tc>
      </w:tr>
      <w:tr>
        <w:tc>
          <w:tcPr>
            <w:tcW w:type="dxa" w:w="1728"/>
            <w:vAlign w:val="center"/>
          </w:tcPr>
          <w:p>
            <w:r/>
            <w:r>
              <w:rPr>
                <w:b w:val="0"/>
              </w:rPr>
              <w:t>Process</w:t>
            </w:r>
          </w:p>
        </w:tc>
        <w:tc>
          <w:tcPr>
            <w:tcW w:type="dxa" w:w="3888"/>
            <w:vAlign w:val="center"/>
          </w:tcPr>
          <w:p>
            <w:r/>
            <w:r>
              <w:rPr>
                <w:b w:val="0"/>
              </w:rPr>
              <w:t>Extract SmartFlux/EddyPro .ghg outputs, optionally run EddyPro, or use raw covariance fallback for older .ghg archives.</w:t>
            </w:r>
          </w:p>
        </w:tc>
        <w:tc>
          <w:tcPr>
            <w:tcW w:type="dxa" w:w="4896"/>
            <w:vAlign w:val="center"/>
          </w:tcPr>
          <w:p>
            <w:r/>
            <w:r>
              <w:rPr>
                <w:b w:val="0"/>
              </w:rPr>
              <w:t>fluxdash_processed.csv with flux, driver, QC, footprint, and prefilter flags.</w:t>
            </w:r>
          </w:p>
        </w:tc>
      </w:tr>
      <w:tr>
        <w:tc>
          <w:tcPr>
            <w:tcW w:type="dxa" w:w="1728"/>
            <w:vAlign w:val="center"/>
          </w:tcPr>
          <w:p>
            <w:r/>
            <w:r>
              <w:rPr>
                <w:b w:val="0"/>
              </w:rPr>
              <w:t>Pre-filter</w:t>
            </w:r>
          </w:p>
        </w:tc>
        <w:tc>
          <w:tcPr>
            <w:tcW w:type="dxa" w:w="3888"/>
            <w:vAlign w:val="center"/>
          </w:tcPr>
          <w:p>
            <w:r/>
            <w:r>
              <w:rPr>
                <w:b w:val="0"/>
              </w:rPr>
              <w:t>Convert missing-value codes and unrealistic values to NA before gap filling.</w:t>
            </w:r>
          </w:p>
        </w:tc>
        <w:tc>
          <w:tcPr>
            <w:tcW w:type="dxa" w:w="4896"/>
            <w:vAlign w:val="center"/>
          </w:tcPr>
          <w:p>
            <w:r/>
            <w:r>
              <w:rPr>
                <w:b w:val="0"/>
              </w:rPr>
              <w:t>Filtered NEE, LE, H, Rg/SW plus flag columns.</w:t>
            </w:r>
          </w:p>
        </w:tc>
      </w:tr>
      <w:tr>
        <w:tc>
          <w:tcPr>
            <w:tcW w:type="dxa" w:w="1728"/>
            <w:vAlign w:val="center"/>
          </w:tcPr>
          <w:p>
            <w:r/>
            <w:r>
              <w:rPr>
                <w:b w:val="0"/>
              </w:rPr>
              <w:t>Partition</w:t>
            </w:r>
          </w:p>
        </w:tc>
        <w:tc>
          <w:tcPr>
            <w:tcW w:type="dxa" w:w="3888"/>
            <w:vAlign w:val="center"/>
          </w:tcPr>
          <w:p>
            <w:r/>
            <w:r>
              <w:rPr>
                <w:b w:val="0"/>
              </w:rPr>
              <w:t>Run REddyProc for u* filtering, MDS gap filling, and NEE partitioning.</w:t>
            </w:r>
          </w:p>
        </w:tc>
        <w:tc>
          <w:tcPr>
            <w:tcW w:type="dxa" w:w="4896"/>
            <w:vAlign w:val="center"/>
          </w:tcPr>
          <w:p>
            <w:r/>
            <w:r>
              <w:rPr>
                <w:b w:val="0"/>
              </w:rPr>
              <w:t>Gap-filled NEE, GPP, Reco, u* threshold, gap diagnostics.</w:t>
            </w:r>
          </w:p>
        </w:tc>
      </w:tr>
      <w:tr>
        <w:tc>
          <w:tcPr>
            <w:tcW w:type="dxa" w:w="1728"/>
            <w:vAlign w:val="center"/>
          </w:tcPr>
          <w:p>
            <w:r/>
            <w:r>
              <w:rPr>
                <w:b w:val="0"/>
              </w:rPr>
              <w:t>Results</w:t>
            </w:r>
          </w:p>
        </w:tc>
        <w:tc>
          <w:tcPr>
            <w:tcW w:type="dxa" w:w="3888"/>
            <w:vAlign w:val="center"/>
          </w:tcPr>
          <w:p>
            <w:r/>
            <w:r>
              <w:rPr>
                <w:b w:val="0"/>
              </w:rPr>
              <w:t>Explore budgets, cumulative fluxes, response curves, footprint plots, and method diagnostics.</w:t>
            </w:r>
          </w:p>
        </w:tc>
        <w:tc>
          <w:tcPr>
            <w:tcW w:type="dxa" w:w="4896"/>
            <w:vAlign w:val="center"/>
          </w:tcPr>
          <w:p>
            <w:r/>
            <w:r>
              <w:rPr>
                <w:b w:val="0"/>
              </w:rPr>
              <w:t>Downloadable charts, tables, and manuscript-ready workflow logs.</w:t>
            </w:r>
          </w:p>
        </w:tc>
      </w:tr>
      <w:tr>
        <w:tc>
          <w:tcPr>
            <w:tcW w:type="dxa" w:w="1728"/>
            <w:vAlign w:val="center"/>
          </w:tcPr>
          <w:p>
            <w:r/>
            <w:r>
              <w:rPr>
                <w:b w:val="0"/>
              </w:rPr>
              <w:t>Save/Reload</w:t>
            </w:r>
          </w:p>
        </w:tc>
        <w:tc>
          <w:tcPr>
            <w:tcW w:type="dxa" w:w="3888"/>
            <w:vAlign w:val="center"/>
          </w:tcPr>
          <w:p>
            <w:r/>
            <w:r>
              <w:rPr>
                <w:b w:val="0"/>
              </w:rPr>
              <w:t>Save the working state and reopen a project later.</w:t>
            </w:r>
          </w:p>
        </w:tc>
        <w:tc>
          <w:tcPr>
            <w:tcW w:type="dxa" w:w="4896"/>
            <w:vAlign w:val="center"/>
          </w:tcPr>
          <w:p>
            <w:r/>
            <w:r>
              <w:rPr>
                <w:b w:val="0"/>
              </w:rPr>
              <w:t>.fluxdash.json project file.</w:t>
            </w:r>
          </w:p>
        </w:tc>
      </w:tr>
    </w:tbl>
    <w:p/>
    <w:p>
      <w:pPr>
        <w:pStyle w:val="Heading1"/>
      </w:pPr>
      <w:r>
        <w:t>2. Installation and Required Environments</w:t>
      </w:r>
    </w:p>
    <w:p>
      <w:pPr>
        <w:pStyle w:val="ListBullet"/>
      </w:pPr>
      <w:r>
        <w:t>Windows installer: distribute the built FluxDash Setup 1.0.0.exe to students.</w:t>
      </w:r>
    </w:p>
    <w:p>
      <w:pPr>
        <w:pStyle w:val="ListBullet"/>
      </w:pPr>
      <w:r>
        <w:t>Python 3: required for the built-in .ghg extraction and raw covariance fallback.</w:t>
      </w:r>
    </w:p>
    <w:p>
      <w:pPr>
        <w:pStyle w:val="ListBullet"/>
      </w:pPr>
      <w:r>
        <w:t>R: required for the Partition tab.</w:t>
      </w:r>
    </w:p>
    <w:p>
      <w:pPr>
        <w:pStyle w:val="ListBullet"/>
      </w:pPr>
      <w:r>
        <w:t>REddyProc R package: used for u* filtering, MDS gap filling, and flux partitioning.</w:t>
      </w:r>
    </w:p>
    <w:p>
      <w:pPr>
        <w:pStyle w:val="ListBullet"/>
      </w:pPr>
      <w:r>
        <w:t>EddyPro: optional. Use it only when site metadata and EddyPro file templates are configured correctly.</w:t>
      </w:r>
    </w:p>
    <w:p>
      <w:pPr>
        <w:pStyle w:val="Heading1"/>
      </w:pPr>
      <w:r>
        <w:t>3. Data Types Supported</w:t>
      </w:r>
    </w:p>
    <w:tbl>
      <w:tblPr>
        <w:tblStyle w:val="TableGrid"/>
        <w:tblW w:type="auto" w:w="0"/>
        <w:jc w:val="center"/>
        <w:tblLook w:firstColumn="1" w:firstRow="1" w:lastColumn="0" w:lastRow="0" w:noHBand="0" w:noVBand="1" w:val="04A0"/>
      </w:tblPr>
      <w:tblGrid>
        <w:gridCol w:w="3408"/>
        <w:gridCol w:w="3408"/>
        <w:gridCol w:w="3408"/>
      </w:tblGrid>
      <w:tr>
        <w:tc>
          <w:tcPr>
            <w:tcW w:type="dxa" w:w="2592"/>
            <w:shd w:fill="178C53"/>
            <w:vAlign w:val="center"/>
          </w:tcPr>
          <w:p>
            <w:r/>
            <w:r>
              <w:rPr>
                <w:b/>
                <w:color w:val="FFFFFF"/>
              </w:rPr>
              <w:t>Input type</w:t>
            </w:r>
          </w:p>
        </w:tc>
        <w:tc>
          <w:tcPr>
            <w:tcW w:type="dxa" w:w="3744"/>
            <w:shd w:fill="178C53"/>
            <w:vAlign w:val="center"/>
          </w:tcPr>
          <w:p>
            <w:r/>
            <w:r>
              <w:rPr>
                <w:b/>
                <w:color w:val="FFFFFF"/>
              </w:rPr>
              <w:t>How FluxDash uses it</w:t>
            </w:r>
          </w:p>
        </w:tc>
        <w:tc>
          <w:tcPr>
            <w:tcW w:type="dxa" w:w="4320"/>
            <w:shd w:fill="178C53"/>
            <w:vAlign w:val="center"/>
          </w:tcPr>
          <w:p>
            <w:r/>
            <w:r>
              <w:rPr>
                <w:b/>
                <w:color w:val="FFFFFF"/>
              </w:rPr>
              <w:t>Notes</w:t>
            </w:r>
          </w:p>
        </w:tc>
      </w:tr>
      <w:tr>
        <w:tc>
          <w:tcPr>
            <w:tcW w:type="dxa" w:w="2592"/>
            <w:vAlign w:val="center"/>
          </w:tcPr>
          <w:p>
            <w:r/>
            <w:r>
              <w:rPr>
                <w:b w:val="0"/>
              </w:rPr>
              <w:t>EP-Summary / processed CSV or TXT</w:t>
            </w:r>
          </w:p>
        </w:tc>
        <w:tc>
          <w:tcPr>
            <w:tcW w:type="dxa" w:w="3744"/>
            <w:vAlign w:val="center"/>
          </w:tcPr>
          <w:p>
            <w:r/>
            <w:r>
              <w:rPr>
                <w:b w:val="0"/>
              </w:rPr>
              <w:t>Loaded directly for View and can be used as a source for Partition.</w:t>
            </w:r>
          </w:p>
        </w:tc>
        <w:tc>
          <w:tcPr>
            <w:tcW w:type="dxa" w:w="4320"/>
            <w:vAlign w:val="center"/>
          </w:tcPr>
          <w:p>
            <w:r/>
            <w:r>
              <w:rPr>
                <w:b w:val="0"/>
              </w:rPr>
              <w:t>Fastest route when EddyPro outputs already exist.</w:t>
            </w:r>
          </w:p>
        </w:tc>
      </w:tr>
      <w:tr>
        <w:tc>
          <w:tcPr>
            <w:tcW w:type="dxa" w:w="2592"/>
            <w:vAlign w:val="center"/>
          </w:tcPr>
          <w:p>
            <w:r/>
            <w:r>
              <w:rPr>
                <w:b w:val="0"/>
              </w:rPr>
              <w:t>SmartFlux/EddyPro .ghg with embedded output</w:t>
            </w:r>
          </w:p>
        </w:tc>
        <w:tc>
          <w:tcPr>
            <w:tcW w:type="dxa" w:w="3744"/>
            <w:vAlign w:val="center"/>
          </w:tcPr>
          <w:p>
            <w:r/>
            <w:r>
              <w:rPr>
                <w:b w:val="0"/>
              </w:rPr>
              <w:t>Built-in extractor reads embedded full_output and biomet files.</w:t>
            </w:r>
          </w:p>
        </w:tc>
        <w:tc>
          <w:tcPr>
            <w:tcW w:type="dxa" w:w="4320"/>
            <w:vAlign w:val="center"/>
          </w:tcPr>
          <w:p>
            <w:r/>
            <w:r>
              <w:rPr>
                <w:b w:val="0"/>
              </w:rPr>
              <w:t>Good for newer SmartFlux files that already contain processed records.</w:t>
            </w:r>
          </w:p>
        </w:tc>
      </w:tr>
      <w:tr>
        <w:tc>
          <w:tcPr>
            <w:tcW w:type="dxa" w:w="2592"/>
            <w:vAlign w:val="center"/>
          </w:tcPr>
          <w:p>
            <w:r/>
            <w:r>
              <w:rPr>
                <w:b w:val="0"/>
              </w:rPr>
              <w:t>Older .ghg raw archives</w:t>
            </w:r>
          </w:p>
        </w:tc>
        <w:tc>
          <w:tcPr>
            <w:tcW w:type="dxa" w:w="3744"/>
            <w:vAlign w:val="center"/>
          </w:tcPr>
          <w:p>
            <w:r/>
            <w:r>
              <w:rPr>
                <w:b w:val="0"/>
              </w:rPr>
              <w:t>Raw covariance fallback reads high-frequency .data and biomet records.</w:t>
            </w:r>
          </w:p>
        </w:tc>
        <w:tc>
          <w:tcPr>
            <w:tcW w:type="dxa" w:w="4320"/>
            <w:vAlign w:val="center"/>
          </w:tcPr>
          <w:p>
            <w:r/>
            <w:r>
              <w:rPr>
                <w:b w:val="0"/>
              </w:rPr>
              <w:t>Teaching/exploratory fallback; validate against EddyPro for publication.</w:t>
            </w:r>
          </w:p>
        </w:tc>
      </w:tr>
      <w:tr>
        <w:tc>
          <w:tcPr>
            <w:tcW w:type="dxa" w:w="2592"/>
            <w:vAlign w:val="center"/>
          </w:tcPr>
          <w:p>
            <w:r/>
            <w:r>
              <w:rPr>
                <w:b w:val="0"/>
              </w:rPr>
              <w:t>Biomet .data files</w:t>
            </w:r>
          </w:p>
        </w:tc>
        <w:tc>
          <w:tcPr>
            <w:tcW w:type="dxa" w:w="3744"/>
            <w:vAlign w:val="center"/>
          </w:tcPr>
          <w:p>
            <w:r/>
            <w:r>
              <w:rPr>
                <w:b w:val="0"/>
              </w:rPr>
              <w:t>Used to merge radiation, temperature, RH/VPD, PPFD/PAR, and other drivers.</w:t>
            </w:r>
          </w:p>
        </w:tc>
        <w:tc>
          <w:tcPr>
            <w:tcW w:type="dxa" w:w="4320"/>
            <w:vAlign w:val="center"/>
          </w:tcPr>
          <w:p>
            <w:r/>
            <w:r>
              <w:rPr>
                <w:b w:val="0"/>
              </w:rPr>
              <w:t>Needed for reliable gap filling and response analyses.</w:t>
            </w:r>
          </w:p>
        </w:tc>
      </w:tr>
    </w:tbl>
    <w:p/>
    <w:p>
      <w:r>
        <w:br w:type="page"/>
      </w:r>
    </w:p>
    <w:p>
      <w:pPr>
        <w:pStyle w:val="Heading1"/>
      </w:pPr>
      <w:r>
        <w:t>4. Process Tab</w:t>
      </w:r>
    </w:p>
    <w:p>
      <w:r>
        <w:t>The Process tab converts raw or embedded .ghg information into a half-hourly flux table that can be handed to REddyProc. The default recommendation for class use is the built-in .ghg processor/extractor, because it avoids EddyPro file-template mismatch errors and works with SmartFlux files that already contain usable flux outputs.</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8C53"/>
            <w:vAlign w:val="center"/>
          </w:tcPr>
          <w:p>
            <w:r/>
            <w:r>
              <w:rPr>
                <w:b/>
                <w:color w:val="FFFFFF"/>
              </w:rPr>
              <w:t>Option</w:t>
            </w:r>
          </w:p>
        </w:tc>
        <w:tc>
          <w:tcPr>
            <w:tcW w:type="dxa" w:w="4032"/>
            <w:shd w:fill="178C53"/>
            <w:vAlign w:val="center"/>
          </w:tcPr>
          <w:p>
            <w:r/>
            <w:r>
              <w:rPr>
                <w:b/>
                <w:color w:val="FFFFFF"/>
              </w:rPr>
              <w:t>Meaning</w:t>
            </w:r>
          </w:p>
        </w:tc>
        <w:tc>
          <w:tcPr>
            <w:tcW w:type="dxa" w:w="4464"/>
            <w:shd w:fill="178C53"/>
            <w:vAlign w:val="center"/>
          </w:tcPr>
          <w:p>
            <w:r/>
            <w:r>
              <w:rPr>
                <w:b/>
                <w:color w:val="FFFFFF"/>
              </w:rPr>
              <w:t>Manuscript/log relevance</w:t>
            </w:r>
          </w:p>
        </w:tc>
      </w:tr>
      <w:tr>
        <w:tc>
          <w:tcPr>
            <w:tcW w:type="dxa" w:w="2160"/>
            <w:vAlign w:val="center"/>
          </w:tcPr>
          <w:p>
            <w:r/>
            <w:r>
              <w:rPr>
                <w:b w:val="0"/>
              </w:rPr>
              <w:t>Engine to use</w:t>
            </w:r>
          </w:p>
        </w:tc>
        <w:tc>
          <w:tcPr>
            <w:tcW w:type="dxa" w:w="4032"/>
            <w:vAlign w:val="center"/>
          </w:tcPr>
          <w:p>
            <w:r/>
            <w:r>
              <w:rPr>
                <w:b w:val="0"/>
              </w:rPr>
              <w:t>Built-in .ghg processor/extractor, EddyPro, or fallback behavior.</w:t>
            </w:r>
          </w:p>
        </w:tc>
        <w:tc>
          <w:tcPr>
            <w:tcW w:type="dxa" w:w="4464"/>
            <w:vAlign w:val="center"/>
          </w:tcPr>
          <w:p>
            <w:r/>
            <w:r>
              <w:rPr>
                <w:b w:val="0"/>
              </w:rPr>
              <w:t>State whether outputs came from EddyPro, SmartFlux embedded output, or raw covariance fallback.</w:t>
            </w:r>
          </w:p>
        </w:tc>
      </w:tr>
      <w:tr>
        <w:tc>
          <w:tcPr>
            <w:tcW w:type="dxa" w:w="2160"/>
            <w:vAlign w:val="center"/>
          </w:tcPr>
          <w:p>
            <w:r/>
            <w:r>
              <w:rPr>
                <w:b w:val="0"/>
              </w:rPr>
              <w:t>Averaging period</w:t>
            </w:r>
          </w:p>
        </w:tc>
        <w:tc>
          <w:tcPr>
            <w:tcW w:type="dxa" w:w="4032"/>
            <w:vAlign w:val="center"/>
          </w:tcPr>
          <w:p>
            <w:r/>
            <w:r>
              <w:rPr>
                <w:b w:val="0"/>
              </w:rPr>
              <w:t>Usually 30 minutes for EC flux processing.</w:t>
            </w:r>
          </w:p>
        </w:tc>
        <w:tc>
          <w:tcPr>
            <w:tcW w:type="dxa" w:w="4464"/>
            <w:vAlign w:val="center"/>
          </w:tcPr>
          <w:p>
            <w:r/>
            <w:r>
              <w:rPr>
                <w:b w:val="0"/>
              </w:rPr>
              <w:t>Needed for unit conversion from flux rates to period sums.</w:t>
            </w:r>
          </w:p>
        </w:tc>
      </w:tr>
      <w:tr>
        <w:tc>
          <w:tcPr>
            <w:tcW w:type="dxa" w:w="2160"/>
            <w:vAlign w:val="center"/>
          </w:tcPr>
          <w:p>
            <w:r/>
            <w:r>
              <w:rPr>
                <w:b w:val="0"/>
              </w:rPr>
              <w:t>Site metadata</w:t>
            </w:r>
          </w:p>
        </w:tc>
        <w:tc>
          <w:tcPr>
            <w:tcW w:type="dxa" w:w="4032"/>
            <w:vAlign w:val="center"/>
          </w:tcPr>
          <w:p>
            <w:r/>
            <w:r>
              <w:rPr>
                <w:b w:val="0"/>
              </w:rPr>
              <w:t>Latitude, longitude, altitude, measurement height, canopy height, roughness length.</w:t>
            </w:r>
          </w:p>
        </w:tc>
        <w:tc>
          <w:tcPr>
            <w:tcW w:type="dxa" w:w="4464"/>
            <w:vAlign w:val="center"/>
          </w:tcPr>
          <w:p>
            <w:r/>
            <w:r>
              <w:rPr>
                <w:b w:val="0"/>
              </w:rPr>
              <w:t>Supports partitioning, footprint interpretation, and reproducibility.</w:t>
            </w:r>
          </w:p>
        </w:tc>
      </w:tr>
      <w:tr>
        <w:tc>
          <w:tcPr>
            <w:tcW w:type="dxa" w:w="2160"/>
            <w:vAlign w:val="center"/>
          </w:tcPr>
          <w:p>
            <w:r/>
            <w:r>
              <w:rPr>
                <w:b w:val="0"/>
              </w:rPr>
              <w:t>Corrections</w:t>
            </w:r>
          </w:p>
        </w:tc>
        <w:tc>
          <w:tcPr>
            <w:tcW w:type="dxa" w:w="4032"/>
            <w:vAlign w:val="center"/>
          </w:tcPr>
          <w:p>
            <w:r/>
            <w:r>
              <w:rPr>
                <w:b w:val="0"/>
              </w:rPr>
              <w:t>WPL, spectral corrections, footprint estimation, tilt correction, QC scheme.</w:t>
            </w:r>
          </w:p>
        </w:tc>
        <w:tc>
          <w:tcPr>
            <w:tcW w:type="dxa" w:w="4464"/>
            <w:vAlign w:val="center"/>
          </w:tcPr>
          <w:p>
            <w:r/>
            <w:r>
              <w:rPr>
                <w:b w:val="0"/>
              </w:rPr>
              <w:t>Report correction and QC choices in methods.</w:t>
            </w:r>
          </w:p>
        </w:tc>
      </w:tr>
      <w:tr>
        <w:tc>
          <w:tcPr>
            <w:tcW w:type="dxa" w:w="2160"/>
            <w:vAlign w:val="center"/>
          </w:tcPr>
          <w:p>
            <w:r/>
            <w:r>
              <w:rPr>
                <w:b w:val="0"/>
              </w:rPr>
              <w:t>Output subfolder</w:t>
            </w:r>
          </w:p>
        </w:tc>
        <w:tc>
          <w:tcPr>
            <w:tcW w:type="dxa" w:w="4032"/>
            <w:vAlign w:val="center"/>
          </w:tcPr>
          <w:p>
            <w:r/>
            <w:r>
              <w:rPr>
                <w:b w:val="0"/>
              </w:rPr>
              <w:t>Where FluxDash writes fluxdash_processed.csv.</w:t>
            </w:r>
          </w:p>
        </w:tc>
        <w:tc>
          <w:tcPr>
            <w:tcW w:type="dxa" w:w="4464"/>
            <w:vAlign w:val="center"/>
          </w:tcPr>
          <w:p>
            <w:r/>
            <w:r>
              <w:rPr>
                <w:b w:val="0"/>
              </w:rPr>
              <w:t>Stored in workflow log and project file.</w:t>
            </w:r>
          </w:p>
        </w:tc>
      </w:tr>
    </w:tbl>
    <w:p/>
    <w:p>
      <w:pPr>
        <w:pStyle w:val="Heading1"/>
      </w:pPr>
      <w:r>
        <w:t>5. Pre-filtering Before Gap Filling</w:t>
      </w:r>
    </w:p>
    <w:p>
      <w:r>
        <w:t>Pre-filtering is applied before REddyProc gap filling so unrealistic spikes or missing-value codes do not enter the gap-filling and partitioning model. FluxDash keeps the timestamps and converts rejected values to NA by default so the half-hourly time grid remains regular.</w:t>
      </w:r>
    </w:p>
    <w:tbl>
      <w:tblPr>
        <w:tblStyle w:val="TableGrid"/>
        <w:tblW w:type="auto" w:w="0"/>
        <w:jc w:val="center"/>
        <w:tblLook w:firstColumn="1" w:firstRow="1" w:lastColumn="0" w:lastRow="0" w:noHBand="0" w:noVBand="1" w:val="04A0"/>
      </w:tblPr>
      <w:tblGrid>
        <w:gridCol w:w="3408"/>
        <w:gridCol w:w="3408"/>
        <w:gridCol w:w="3408"/>
      </w:tblGrid>
      <w:tr>
        <w:tc>
          <w:tcPr>
            <w:tcW w:type="dxa" w:w="2592"/>
            <w:shd w:fill="178C53"/>
            <w:vAlign w:val="center"/>
          </w:tcPr>
          <w:p>
            <w:r/>
            <w:r>
              <w:rPr>
                <w:b/>
                <w:color w:val="FFFFFF"/>
              </w:rPr>
              <w:t>Default filter</w:t>
            </w:r>
          </w:p>
        </w:tc>
        <w:tc>
          <w:tcPr>
            <w:tcW w:type="dxa" w:w="2448"/>
            <w:shd w:fill="178C53"/>
            <w:vAlign w:val="center"/>
          </w:tcPr>
          <w:p>
            <w:r/>
            <w:r>
              <w:rPr>
                <w:b/>
                <w:color w:val="FFFFFF"/>
              </w:rPr>
              <w:t>Default range</w:t>
            </w:r>
          </w:p>
        </w:tc>
        <w:tc>
          <w:tcPr>
            <w:tcW w:type="dxa" w:w="5760"/>
            <w:shd w:fill="178C53"/>
            <w:vAlign w:val="center"/>
          </w:tcPr>
          <w:p>
            <w:r/>
            <w:r>
              <w:rPr>
                <w:b/>
                <w:color w:val="FFFFFF"/>
              </w:rPr>
              <w:t>Reason</w:t>
            </w:r>
          </w:p>
        </w:tc>
      </w:tr>
      <w:tr>
        <w:tc>
          <w:tcPr>
            <w:tcW w:type="dxa" w:w="2592"/>
            <w:vAlign w:val="center"/>
          </w:tcPr>
          <w:p>
            <w:r/>
            <w:r>
              <w:rPr>
                <w:b w:val="0"/>
              </w:rPr>
              <w:t>NEE / CO2 flux</w:t>
            </w:r>
          </w:p>
        </w:tc>
        <w:tc>
          <w:tcPr>
            <w:tcW w:type="dxa" w:w="2448"/>
            <w:vAlign w:val="center"/>
          </w:tcPr>
          <w:p>
            <w:r/>
            <w:r>
              <w:rPr>
                <w:b w:val="0"/>
              </w:rPr>
              <w:t>-50 to +50 µmol m-2 s-1</w:t>
            </w:r>
          </w:p>
        </w:tc>
        <w:tc>
          <w:tcPr>
            <w:tcW w:type="dxa" w:w="5760"/>
            <w:vAlign w:val="center"/>
          </w:tcPr>
          <w:p>
            <w:r/>
            <w:r>
              <w:rPr>
                <w:b w:val="0"/>
              </w:rPr>
              <w:t>Removes extreme CO2 flux spikes before gap filling.</w:t>
            </w:r>
          </w:p>
        </w:tc>
      </w:tr>
      <w:tr>
        <w:tc>
          <w:tcPr>
            <w:tcW w:type="dxa" w:w="2592"/>
            <w:vAlign w:val="center"/>
          </w:tcPr>
          <w:p>
            <w:r/>
            <w:r>
              <w:rPr>
                <w:b w:val="0"/>
              </w:rPr>
              <w:t>Latent heat flux (LE)</w:t>
            </w:r>
          </w:p>
        </w:tc>
        <w:tc>
          <w:tcPr>
            <w:tcW w:type="dxa" w:w="2448"/>
            <w:vAlign w:val="center"/>
          </w:tcPr>
          <w:p>
            <w:r/>
            <w:r>
              <w:rPr>
                <w:b w:val="0"/>
              </w:rPr>
              <w:t>0 to 700 W m-2</w:t>
            </w:r>
          </w:p>
        </w:tc>
        <w:tc>
          <w:tcPr>
            <w:tcW w:type="dxa" w:w="5760"/>
            <w:vAlign w:val="center"/>
          </w:tcPr>
          <w:p>
            <w:r/>
            <w:r>
              <w:rPr>
                <w:b w:val="0"/>
              </w:rPr>
              <w:t>Removes physically unrealistic ET/LE values for most teaching datasets.</w:t>
            </w:r>
          </w:p>
        </w:tc>
      </w:tr>
      <w:tr>
        <w:tc>
          <w:tcPr>
            <w:tcW w:type="dxa" w:w="2592"/>
            <w:vAlign w:val="center"/>
          </w:tcPr>
          <w:p>
            <w:r/>
            <w:r>
              <w:rPr>
                <w:b w:val="0"/>
              </w:rPr>
              <w:t>Sensible heat flux (H)</w:t>
            </w:r>
          </w:p>
        </w:tc>
        <w:tc>
          <w:tcPr>
            <w:tcW w:type="dxa" w:w="2448"/>
            <w:vAlign w:val="center"/>
          </w:tcPr>
          <w:p>
            <w:r/>
            <w:r>
              <w:rPr>
                <w:b w:val="0"/>
              </w:rPr>
              <w:t>-100 to 700 W m-2</w:t>
            </w:r>
          </w:p>
        </w:tc>
        <w:tc>
          <w:tcPr>
            <w:tcW w:type="dxa" w:w="5760"/>
            <w:vAlign w:val="center"/>
          </w:tcPr>
          <w:p>
            <w:r/>
            <w:r>
              <w:rPr>
                <w:b w:val="0"/>
              </w:rPr>
              <w:t>Allows negative sensible heat while excluding large spikes.</w:t>
            </w:r>
          </w:p>
        </w:tc>
      </w:tr>
      <w:tr>
        <w:tc>
          <w:tcPr>
            <w:tcW w:type="dxa" w:w="2592"/>
            <w:vAlign w:val="center"/>
          </w:tcPr>
          <w:p>
            <w:r/>
            <w:r>
              <w:rPr>
                <w:b w:val="0"/>
              </w:rPr>
              <w:t>Radiation Rg/SW</w:t>
            </w:r>
          </w:p>
        </w:tc>
        <w:tc>
          <w:tcPr>
            <w:tcW w:type="dxa" w:w="2448"/>
            <w:vAlign w:val="center"/>
          </w:tcPr>
          <w:p>
            <w:r/>
            <w:r>
              <w:rPr>
                <w:b w:val="0"/>
              </w:rPr>
              <w:t>0 to 1600 W m-2</w:t>
            </w:r>
          </w:p>
        </w:tc>
        <w:tc>
          <w:tcPr>
            <w:tcW w:type="dxa" w:w="5760"/>
            <w:vAlign w:val="center"/>
          </w:tcPr>
          <w:p>
            <w:r/>
            <w:r>
              <w:rPr>
                <w:b w:val="0"/>
              </w:rPr>
              <w:t>Flags negative radiation and extreme shortwave values when enabled.</w:t>
            </w:r>
          </w:p>
        </w:tc>
      </w:tr>
      <w:tr>
        <w:tc>
          <w:tcPr>
            <w:tcW w:type="dxa" w:w="2592"/>
            <w:vAlign w:val="center"/>
          </w:tcPr>
          <w:p>
            <w:r/>
            <w:r>
              <w:rPr>
                <w:b w:val="0"/>
              </w:rPr>
              <w:t>Missing-value codes</w:t>
            </w:r>
          </w:p>
        </w:tc>
        <w:tc>
          <w:tcPr>
            <w:tcW w:type="dxa" w:w="2448"/>
            <w:vAlign w:val="center"/>
          </w:tcPr>
          <w:p>
            <w:r/>
            <w:r>
              <w:rPr>
                <w:b w:val="0"/>
              </w:rPr>
              <w:t>-9999, -99999</w:t>
            </w:r>
          </w:p>
        </w:tc>
        <w:tc>
          <w:tcPr>
            <w:tcW w:type="dxa" w:w="5760"/>
            <w:vAlign w:val="center"/>
          </w:tcPr>
          <w:p>
            <w:r/>
            <w:r>
              <w:rPr>
                <w:b w:val="0"/>
              </w:rPr>
              <w:t>Converted to NA before analysis.</w:t>
            </w:r>
          </w:p>
        </w:tc>
      </w:tr>
    </w:tbl>
    <w:p/>
    <w:p>
      <w:r>
        <w:t>Users may edit these ranges based on site type, instrument behavior, climate, and instructor guidance. The workflow log records the exact limits used.</w:t>
      </w:r>
    </w:p>
    <w:p>
      <w:r>
        <w:br w:type="page"/>
      </w:r>
    </w:p>
    <w:p>
      <w:pPr>
        <w:pStyle w:val="Heading1"/>
      </w:pPr>
      <w:r>
        <w:t>6. Partition Tab: Gap Filling and Flux Partitioning</w:t>
      </w:r>
    </w:p>
    <w:p>
      <w:r>
        <w:t>The Partition tab uses REddyProc to filter low-turbulence periods, gap-fill NEE, and partition NEE into GPP and ecosystem respiration. This is the core step that turns half-hourly flux data into interpretable carbon budgets.</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fill="178C53"/>
            <w:vAlign w:val="center"/>
          </w:tcPr>
          <w:p>
            <w:r/>
            <w:r>
              <w:rPr>
                <w:b/>
                <w:color w:val="FFFFFF"/>
              </w:rPr>
              <w:t>Choice</w:t>
            </w:r>
          </w:p>
        </w:tc>
        <w:tc>
          <w:tcPr>
            <w:tcW w:type="dxa" w:w="3456"/>
            <w:shd w:fill="178C53"/>
            <w:vAlign w:val="center"/>
          </w:tcPr>
          <w:p>
            <w:r/>
            <w:r>
              <w:rPr>
                <w:b/>
                <w:color w:val="FFFFFF"/>
              </w:rPr>
              <w:t>What it controls</w:t>
            </w:r>
          </w:p>
        </w:tc>
        <w:tc>
          <w:tcPr>
            <w:tcW w:type="dxa" w:w="4896"/>
            <w:shd w:fill="178C53"/>
            <w:vAlign w:val="center"/>
          </w:tcPr>
          <w:p>
            <w:r/>
            <w:r>
              <w:rPr>
                <w:b/>
                <w:color w:val="FFFFFF"/>
              </w:rPr>
              <w:t>Recommended reporting</w:t>
            </w:r>
          </w:p>
        </w:tc>
      </w:tr>
      <w:tr>
        <w:tc>
          <w:tcPr>
            <w:tcW w:type="dxa" w:w="2304"/>
            <w:vAlign w:val="center"/>
          </w:tcPr>
          <w:p>
            <w:r/>
            <w:r>
              <w:rPr>
                <w:b w:val="0"/>
              </w:rPr>
              <w:t>Partitioning method</w:t>
            </w:r>
          </w:p>
        </w:tc>
        <w:tc>
          <w:tcPr>
            <w:tcW w:type="dxa" w:w="3456"/>
            <w:vAlign w:val="center"/>
          </w:tcPr>
          <w:p>
            <w:r/>
            <w:r>
              <w:rPr>
                <w:b w:val="0"/>
              </w:rPr>
              <w:t>Nighttime/Reichstein, daytime/Lasslop, or both.</w:t>
            </w:r>
          </w:p>
        </w:tc>
        <w:tc>
          <w:tcPr>
            <w:tcW w:type="dxa" w:w="4896"/>
            <w:vAlign w:val="center"/>
          </w:tcPr>
          <w:p>
            <w:r/>
            <w:r>
              <w:rPr>
                <w:b w:val="0"/>
              </w:rPr>
              <w:t>State the method and whether final GPP/Reco came from nighttime, daytime, or comparison outputs.</w:t>
            </w:r>
          </w:p>
        </w:tc>
      </w:tr>
      <w:tr>
        <w:tc>
          <w:tcPr>
            <w:tcW w:type="dxa" w:w="2304"/>
            <w:vAlign w:val="center"/>
          </w:tcPr>
          <w:p>
            <w:r/>
            <w:r>
              <w:rPr>
                <w:b w:val="0"/>
              </w:rPr>
              <w:t>u* mode</w:t>
            </w:r>
          </w:p>
        </w:tc>
        <w:tc>
          <w:tcPr>
            <w:tcW w:type="dxa" w:w="3456"/>
            <w:vAlign w:val="center"/>
          </w:tcPr>
          <w:p>
            <w:r/>
            <w:r>
              <w:rPr>
                <w:b w:val="0"/>
              </w:rPr>
              <w:t>Auto-estimated bootstrapped threshold or manual threshold.</w:t>
            </w:r>
          </w:p>
        </w:tc>
        <w:tc>
          <w:tcPr>
            <w:tcW w:type="dxa" w:w="4896"/>
            <w:vAlign w:val="center"/>
          </w:tcPr>
          <w:p>
            <w:r/>
            <w:r>
              <w:rPr>
                <w:b w:val="0"/>
              </w:rPr>
              <w:t>Report u* threshold, confidence interval when available, and percentage removed.</w:t>
            </w:r>
          </w:p>
        </w:tc>
      </w:tr>
      <w:tr>
        <w:tc>
          <w:tcPr>
            <w:tcW w:type="dxa" w:w="2304"/>
            <w:vAlign w:val="center"/>
          </w:tcPr>
          <w:p>
            <w:r/>
            <w:r>
              <w:rPr>
                <w:b w:val="0"/>
              </w:rPr>
              <w:t>MDS gap filling</w:t>
            </w:r>
          </w:p>
        </w:tc>
        <w:tc>
          <w:tcPr>
            <w:tcW w:type="dxa" w:w="3456"/>
            <w:vAlign w:val="center"/>
          </w:tcPr>
          <w:p>
            <w:r/>
            <w:r>
              <w:rPr>
                <w:b w:val="0"/>
              </w:rPr>
              <w:t>REddyProc gap-fills missing NEE using meteorological drivers.</w:t>
            </w:r>
          </w:p>
        </w:tc>
        <w:tc>
          <w:tcPr>
            <w:tcW w:type="dxa" w:w="4896"/>
            <w:vAlign w:val="center"/>
          </w:tcPr>
          <w:p>
            <w:r/>
            <w:r>
              <w:rPr>
                <w:b w:val="0"/>
              </w:rPr>
              <w:t>Report method, software, gap fraction, and uncertainty where available.</w:t>
            </w:r>
          </w:p>
        </w:tc>
      </w:tr>
      <w:tr>
        <w:tc>
          <w:tcPr>
            <w:tcW w:type="dxa" w:w="2304"/>
            <w:vAlign w:val="center"/>
          </w:tcPr>
          <w:p>
            <w:r/>
            <w:r>
              <w:rPr>
                <w:b w:val="0"/>
              </w:rPr>
              <w:t>Latitude/longitude/time zone</w:t>
            </w:r>
          </w:p>
        </w:tc>
        <w:tc>
          <w:tcPr>
            <w:tcW w:type="dxa" w:w="3456"/>
            <w:vAlign w:val="center"/>
          </w:tcPr>
          <w:p>
            <w:r/>
            <w:r>
              <w:rPr>
                <w:b w:val="0"/>
              </w:rPr>
              <w:t>Used by REddyProc to define radiation/day-night context.</w:t>
            </w:r>
          </w:p>
        </w:tc>
        <w:tc>
          <w:tcPr>
            <w:tcW w:type="dxa" w:w="4896"/>
            <w:vAlign w:val="center"/>
          </w:tcPr>
          <w:p>
            <w:r/>
            <w:r>
              <w:rPr>
                <w:b w:val="0"/>
              </w:rPr>
              <w:t>Confirm site metadata and time zone in methods.</w:t>
            </w:r>
          </w:p>
        </w:tc>
      </w:tr>
      <w:tr>
        <w:tc>
          <w:tcPr>
            <w:tcW w:type="dxa" w:w="2304"/>
            <w:vAlign w:val="center"/>
          </w:tcPr>
          <w:p>
            <w:r/>
            <w:r>
              <w:rPr>
                <w:b w:val="0"/>
              </w:rPr>
              <w:t>Input CSV</w:t>
            </w:r>
          </w:p>
        </w:tc>
        <w:tc>
          <w:tcPr>
            <w:tcW w:type="dxa" w:w="3456"/>
            <w:vAlign w:val="center"/>
          </w:tcPr>
          <w:p>
            <w:r/>
            <w:r>
              <w:rPr>
                <w:b w:val="0"/>
              </w:rPr>
              <w:t>Usually the latest fluxdash_processed.csv.</w:t>
            </w:r>
          </w:p>
        </w:tc>
        <w:tc>
          <w:tcPr>
            <w:tcW w:type="dxa" w:w="4896"/>
            <w:vAlign w:val="center"/>
          </w:tcPr>
          <w:p>
            <w:r/>
            <w:r>
              <w:rPr>
                <w:b w:val="0"/>
              </w:rPr>
              <w:t>Recorded in the workflow log.</w:t>
            </w:r>
          </w:p>
        </w:tc>
      </w:tr>
    </w:tbl>
    <w:p/>
    <w:p>
      <w:pPr>
        <w:pStyle w:val="Heading1"/>
      </w:pPr>
      <w:r>
        <w:t>7. Results Tab</w:t>
      </w:r>
    </w:p>
    <w:p>
      <w:r>
        <w:t>The Results tab is designed as an interactive analysis explorer. Users select a preset, period range, grouping interval, statistic, unit conversion, and metric set. Charts and tables can be downloaded for reports or lab assignments.</w:t>
      </w:r>
    </w:p>
    <w:tbl>
      <w:tblPr>
        <w:tblStyle w:val="TableGrid"/>
        <w:tblW w:type="auto" w:w="0"/>
        <w:jc w:val="center"/>
        <w:tblLook w:firstColumn="1" w:firstRow="1" w:lastColumn="0" w:lastRow="0" w:noHBand="0" w:noVBand="1" w:val="04A0"/>
      </w:tblPr>
      <w:tblGrid>
        <w:gridCol w:w="3408"/>
        <w:gridCol w:w="3408"/>
        <w:gridCol w:w="3408"/>
      </w:tblGrid>
      <w:tr>
        <w:tc>
          <w:tcPr>
            <w:tcW w:type="dxa" w:w="2592"/>
            <w:shd w:fill="178C53"/>
            <w:vAlign w:val="center"/>
          </w:tcPr>
          <w:p>
            <w:r/>
            <w:r>
              <w:rPr>
                <w:b/>
                <w:color w:val="FFFFFF"/>
              </w:rPr>
              <w:t>Preset group</w:t>
            </w:r>
          </w:p>
        </w:tc>
        <w:tc>
          <w:tcPr>
            <w:tcW w:type="dxa" w:w="3456"/>
            <w:shd w:fill="178C53"/>
            <w:vAlign w:val="center"/>
          </w:tcPr>
          <w:p>
            <w:r/>
            <w:r>
              <w:rPr>
                <w:b/>
                <w:color w:val="FFFFFF"/>
              </w:rPr>
              <w:t>Examples</w:t>
            </w:r>
          </w:p>
        </w:tc>
        <w:tc>
          <w:tcPr>
            <w:tcW w:type="dxa" w:w="4608"/>
            <w:shd w:fill="178C53"/>
            <w:vAlign w:val="center"/>
          </w:tcPr>
          <w:p>
            <w:r/>
            <w:r>
              <w:rPr>
                <w:b/>
                <w:color w:val="FFFFFF"/>
              </w:rPr>
              <w:t>Use</w:t>
            </w:r>
          </w:p>
        </w:tc>
      </w:tr>
      <w:tr>
        <w:tc>
          <w:tcPr>
            <w:tcW w:type="dxa" w:w="2592"/>
            <w:vAlign w:val="center"/>
          </w:tcPr>
          <w:p>
            <w:r/>
            <w:r>
              <w:rPr>
                <w:b w:val="0"/>
              </w:rPr>
              <w:t>Carbon budgets</w:t>
            </w:r>
          </w:p>
        </w:tc>
        <w:tc>
          <w:tcPr>
            <w:tcW w:type="dxa" w:w="3456"/>
            <w:vAlign w:val="center"/>
          </w:tcPr>
          <w:p>
            <w:r/>
            <w:r>
              <w:rPr>
                <w:b w:val="0"/>
              </w:rPr>
              <w:t>Cumulative NEE/GPP/Reco, source/sink, NEP, CUE.</w:t>
            </w:r>
          </w:p>
        </w:tc>
        <w:tc>
          <w:tcPr>
            <w:tcW w:type="dxa" w:w="4608"/>
            <w:vAlign w:val="center"/>
          </w:tcPr>
          <w:p>
            <w:r/>
            <w:r>
              <w:rPr>
                <w:b w:val="0"/>
              </w:rPr>
              <w:t>Annual/monthly/daily budgets and source-sink interpretation.</w:t>
            </w:r>
          </w:p>
        </w:tc>
      </w:tr>
      <w:tr>
        <w:tc>
          <w:tcPr>
            <w:tcW w:type="dxa" w:w="2592"/>
            <w:vAlign w:val="center"/>
          </w:tcPr>
          <w:p>
            <w:r/>
            <w:r>
              <w:rPr>
                <w:b w:val="0"/>
              </w:rPr>
              <w:t>Energy and water</w:t>
            </w:r>
          </w:p>
        </w:tc>
        <w:tc>
          <w:tcPr>
            <w:tcW w:type="dxa" w:w="3456"/>
            <w:vAlign w:val="center"/>
          </w:tcPr>
          <w:p>
            <w:r/>
            <w:r>
              <w:rPr>
                <w:b w:val="0"/>
              </w:rPr>
              <w:t>LE, H, ET, Bowen ratio, EBC, WUE.</w:t>
            </w:r>
          </w:p>
        </w:tc>
        <w:tc>
          <w:tcPr>
            <w:tcW w:type="dxa" w:w="4608"/>
            <w:vAlign w:val="center"/>
          </w:tcPr>
          <w:p>
            <w:r/>
            <w:r>
              <w:rPr>
                <w:b w:val="0"/>
              </w:rPr>
              <w:t>Water-cycle and energy-balance interpretation.</w:t>
            </w:r>
          </w:p>
        </w:tc>
      </w:tr>
      <w:tr>
        <w:tc>
          <w:tcPr>
            <w:tcW w:type="dxa" w:w="2592"/>
            <w:vAlign w:val="center"/>
          </w:tcPr>
          <w:p>
            <w:r/>
            <w:r>
              <w:rPr>
                <w:b w:val="0"/>
              </w:rPr>
              <w:t>Diagnostics</w:t>
            </w:r>
          </w:p>
        </w:tc>
        <w:tc>
          <w:tcPr>
            <w:tcW w:type="dxa" w:w="3456"/>
            <w:vAlign w:val="center"/>
          </w:tcPr>
          <w:p>
            <w:r/>
            <w:r>
              <w:rPr>
                <w:b w:val="0"/>
              </w:rPr>
              <w:t>Gap filling, u* threshold, method comparison.</w:t>
            </w:r>
          </w:p>
        </w:tc>
        <w:tc>
          <w:tcPr>
            <w:tcW w:type="dxa" w:w="4608"/>
            <w:vAlign w:val="center"/>
          </w:tcPr>
          <w:p>
            <w:r/>
            <w:r>
              <w:rPr>
                <w:b w:val="0"/>
              </w:rPr>
              <w:t>Evaluate data quality and processing effects.</w:t>
            </w:r>
          </w:p>
        </w:tc>
      </w:tr>
      <w:tr>
        <w:tc>
          <w:tcPr>
            <w:tcW w:type="dxa" w:w="2592"/>
            <w:vAlign w:val="center"/>
          </w:tcPr>
          <w:p>
            <w:r/>
            <w:r>
              <w:rPr>
                <w:b w:val="0"/>
              </w:rPr>
              <w:t>Driver responses</w:t>
            </w:r>
          </w:p>
        </w:tc>
        <w:tc>
          <w:tcPr>
            <w:tcW w:type="dxa" w:w="3456"/>
            <w:vAlign w:val="center"/>
          </w:tcPr>
          <w:p>
            <w:r/>
            <w:r>
              <w:rPr>
                <w:b w:val="0"/>
              </w:rPr>
              <w:t>Light response, VPD response, Q10 temperature response.</w:t>
            </w:r>
          </w:p>
        </w:tc>
        <w:tc>
          <w:tcPr>
            <w:tcW w:type="dxa" w:w="4608"/>
            <w:vAlign w:val="center"/>
          </w:tcPr>
          <w:p>
            <w:r/>
            <w:r>
              <w:rPr>
                <w:b w:val="0"/>
              </w:rPr>
              <w:t>Mechanistic interpretation for manuscripts and lab reports.</w:t>
            </w:r>
          </w:p>
        </w:tc>
      </w:tr>
      <w:tr>
        <w:tc>
          <w:tcPr>
            <w:tcW w:type="dxa" w:w="2592"/>
            <w:vAlign w:val="center"/>
          </w:tcPr>
          <w:p>
            <w:r/>
            <w:r>
              <w:rPr>
                <w:b w:val="0"/>
              </w:rPr>
              <w:t>Footprint</w:t>
            </w:r>
          </w:p>
        </w:tc>
        <w:tc>
          <w:tcPr>
            <w:tcW w:type="dxa" w:w="3456"/>
            <w:vAlign w:val="center"/>
          </w:tcPr>
          <w:p>
            <w:r/>
            <w:r>
              <w:rPr>
                <w:b w:val="0"/>
              </w:rPr>
              <w:t>Kljun/EddyPro contour climatology and source-distance point view.</w:t>
            </w:r>
          </w:p>
        </w:tc>
        <w:tc>
          <w:tcPr>
            <w:tcW w:type="dxa" w:w="4608"/>
            <w:vAlign w:val="center"/>
          </w:tcPr>
          <w:p>
            <w:r/>
            <w:r>
              <w:rPr>
                <w:b w:val="0"/>
              </w:rPr>
              <w:t>Assess site representativeness and fetch direction.</w:t>
            </w:r>
          </w:p>
        </w:tc>
      </w:tr>
    </w:tbl>
    <w:p/>
    <w:p>
      <w:pPr>
        <w:pStyle w:val="Heading1"/>
      </w:pPr>
      <w:r>
        <w:t>8. Light-Response and Q10 Plots</w:t>
      </w:r>
    </w:p>
    <w:p>
      <w:r>
        <w:t>FluxDash v1.0 allows users to plot NEE or GPP against SW/Rg, PAR, or PPFD. Users can show raw points, binned means, fitted curves, and fitted equations. For NEE light response, the displayed model is rectangular-hyperbola style:</w:t>
      </w:r>
    </w:p>
    <w:p>
      <w:r>
        <w:t>NEE = Rd - (GPPmax × I) / (K + I)</w:t>
      </w:r>
    </w:p>
    <w:p>
      <w:r>
        <w:t>For GPP light saturation, the displayed model is:</w:t>
      </w:r>
    </w:p>
    <w:p>
      <w:r>
        <w:t>GPP = (GPPmax × I) / (K + I)</w:t>
      </w:r>
    </w:p>
    <w:p>
      <w:r>
        <w:t>For temperature sensitivity, FluxDash fits the log-linear form Reco = exp(a + bT) and reports Q10 = exp(10b). These fits are intended for teaching and screening; publication-quality analyses should be reviewed against accepted EC modeling practice and site-specific assumptions.</w:t>
      </w:r>
    </w:p>
    <w:p>
      <w:pPr>
        <w:pStyle w:val="Heading1"/>
      </w:pPr>
      <w:r>
        <w:t>9. Analysis-Level Outlier Handling</w:t>
      </w:r>
    </w:p>
    <w:p>
      <w:r>
        <w:t>The Results tab includes outlier tools for response plots. These filters affect the visualization and exported analysis table, not the underlying processed or partitioned file. They are useful when a response plot contains obvious driver artifacts, such as repeated radiation values that create a vertical cluster.</w:t>
      </w:r>
    </w:p>
    <w:tbl>
      <w:tblPr>
        <w:tblStyle w:val="TableGrid"/>
        <w:tblW w:type="auto" w:w="0"/>
        <w:jc w:val="center"/>
        <w:tblLook w:firstColumn="1" w:firstRow="1" w:lastColumn="0" w:lastRow="0" w:noHBand="0" w:noVBand="1" w:val="04A0"/>
      </w:tblPr>
      <w:tblGrid>
        <w:gridCol w:w="3408"/>
        <w:gridCol w:w="3408"/>
        <w:gridCol w:w="3408"/>
      </w:tblGrid>
      <w:tr>
        <w:tc>
          <w:tcPr>
            <w:tcW w:type="dxa" w:w="2880"/>
            <w:shd w:fill="178C53"/>
            <w:vAlign w:val="center"/>
          </w:tcPr>
          <w:p>
            <w:r/>
            <w:r>
              <w:rPr>
                <w:b/>
                <w:color w:val="FFFFFF"/>
              </w:rPr>
              <w:t>Outlier option</w:t>
            </w:r>
          </w:p>
        </w:tc>
        <w:tc>
          <w:tcPr>
            <w:tcW w:type="dxa" w:w="4032"/>
            <w:shd w:fill="178C53"/>
            <w:vAlign w:val="center"/>
          </w:tcPr>
          <w:p>
            <w:r/>
            <w:r>
              <w:rPr>
                <w:b/>
                <w:color w:val="FFFFFF"/>
              </w:rPr>
              <w:t>How it works</w:t>
            </w:r>
          </w:p>
        </w:tc>
        <w:tc>
          <w:tcPr>
            <w:tcW w:type="dxa" w:w="3744"/>
            <w:shd w:fill="178C53"/>
            <w:vAlign w:val="center"/>
          </w:tcPr>
          <w:p>
            <w:r/>
            <w:r>
              <w:rPr>
                <w:b/>
                <w:color w:val="FFFFFF"/>
              </w:rPr>
              <w:t>When to use</w:t>
            </w:r>
          </w:p>
        </w:tc>
      </w:tr>
      <w:tr>
        <w:tc>
          <w:tcPr>
            <w:tcW w:type="dxa" w:w="2880"/>
            <w:vAlign w:val="center"/>
          </w:tcPr>
          <w:p>
            <w:r/>
            <w:r>
              <w:rPr>
                <w:b w:val="0"/>
              </w:rPr>
              <w:t>No analysis outlier filter</w:t>
            </w:r>
          </w:p>
        </w:tc>
        <w:tc>
          <w:tcPr>
            <w:tcW w:type="dxa" w:w="4032"/>
            <w:vAlign w:val="center"/>
          </w:tcPr>
          <w:p>
            <w:r/>
            <w:r>
              <w:rPr>
                <w:b w:val="0"/>
              </w:rPr>
              <w:t>Plots all finite selected points.</w:t>
            </w:r>
          </w:p>
        </w:tc>
        <w:tc>
          <w:tcPr>
            <w:tcW w:type="dxa" w:w="3744"/>
            <w:vAlign w:val="center"/>
          </w:tcPr>
          <w:p>
            <w:r/>
            <w:r>
              <w:rPr>
                <w:b w:val="0"/>
              </w:rPr>
              <w:t>Default for transparency.</w:t>
            </w:r>
          </w:p>
        </w:tc>
      </w:tr>
      <w:tr>
        <w:tc>
          <w:tcPr>
            <w:tcW w:type="dxa" w:w="2880"/>
            <w:vAlign w:val="center"/>
          </w:tcPr>
          <w:p>
            <w:r/>
            <w:r>
              <w:rPr>
                <w:b w:val="0"/>
              </w:rPr>
              <w:t>Remove IQR outliers</w:t>
            </w:r>
          </w:p>
        </w:tc>
        <w:tc>
          <w:tcPr>
            <w:tcW w:type="dxa" w:w="4032"/>
            <w:vAlign w:val="center"/>
          </w:tcPr>
          <w:p>
            <w:r/>
            <w:r>
              <w:rPr>
                <w:b w:val="0"/>
              </w:rPr>
              <w:t>Removes points outside 1.5 × IQR limits in x/y.</w:t>
            </w:r>
          </w:p>
        </w:tc>
        <w:tc>
          <w:tcPr>
            <w:tcW w:type="dxa" w:w="3744"/>
            <w:vAlign w:val="center"/>
          </w:tcPr>
          <w:p>
            <w:r/>
            <w:r>
              <w:rPr>
                <w:b w:val="0"/>
              </w:rPr>
              <w:t>General exploratory cleanup.</w:t>
            </w:r>
          </w:p>
        </w:tc>
      </w:tr>
      <w:tr>
        <w:tc>
          <w:tcPr>
            <w:tcW w:type="dxa" w:w="2880"/>
            <w:vAlign w:val="center"/>
          </w:tcPr>
          <w:p>
            <w:r/>
            <w:r>
              <w:rPr>
                <w:b w:val="0"/>
              </w:rPr>
              <w:t>Trim x/y percentiles</w:t>
            </w:r>
          </w:p>
        </w:tc>
        <w:tc>
          <w:tcPr>
            <w:tcW w:type="dxa" w:w="4032"/>
            <w:vAlign w:val="center"/>
          </w:tcPr>
          <w:p>
            <w:r/>
            <w:r>
              <w:rPr>
                <w:b w:val="0"/>
              </w:rPr>
              <w:t>Removes extreme tails based on selected percent.</w:t>
            </w:r>
          </w:p>
        </w:tc>
        <w:tc>
          <w:tcPr>
            <w:tcW w:type="dxa" w:w="3744"/>
            <w:vAlign w:val="center"/>
          </w:tcPr>
          <w:p>
            <w:r/>
            <w:r>
              <w:rPr>
                <w:b w:val="0"/>
              </w:rPr>
              <w:t>When a few extremes dominate the axis.</w:t>
            </w:r>
          </w:p>
        </w:tc>
      </w:tr>
      <w:tr>
        <w:tc>
          <w:tcPr>
            <w:tcW w:type="dxa" w:w="2880"/>
            <w:vAlign w:val="center"/>
          </w:tcPr>
          <w:p>
            <w:r/>
            <w:r>
              <w:rPr>
                <w:b w:val="0"/>
              </w:rPr>
              <w:t>Manual x/y range</w:t>
            </w:r>
          </w:p>
        </w:tc>
        <w:tc>
          <w:tcPr>
            <w:tcW w:type="dxa" w:w="4032"/>
            <w:vAlign w:val="center"/>
          </w:tcPr>
          <w:p>
            <w:r/>
            <w:r>
              <w:rPr>
                <w:b w:val="0"/>
              </w:rPr>
              <w:t>Keeps only points within user-defined x and y ranges.</w:t>
            </w:r>
          </w:p>
        </w:tc>
        <w:tc>
          <w:tcPr>
            <w:tcW w:type="dxa" w:w="3744"/>
            <w:vAlign w:val="center"/>
          </w:tcPr>
          <w:p>
            <w:r/>
            <w:r>
              <w:rPr>
                <w:b w:val="0"/>
              </w:rPr>
              <w:t>When the instructor knows valid driver/flux bounds.</w:t>
            </w:r>
          </w:p>
        </w:tc>
      </w:tr>
      <w:tr>
        <w:tc>
          <w:tcPr>
            <w:tcW w:type="dxa" w:w="2880"/>
            <w:vAlign w:val="center"/>
          </w:tcPr>
          <w:p>
            <w:r/>
            <w:r>
              <w:rPr>
                <w:b w:val="0"/>
              </w:rPr>
              <w:t>Remove repeated x-spike clusters</w:t>
            </w:r>
          </w:p>
        </w:tc>
        <w:tc>
          <w:tcPr>
            <w:tcW w:type="dxa" w:w="4032"/>
            <w:vAlign w:val="center"/>
          </w:tcPr>
          <w:p>
            <w:r/>
            <w:r>
              <w:rPr>
                <w:b w:val="0"/>
              </w:rPr>
              <w:t>Removes heavily repeated x values using the selected tolerance.</w:t>
            </w:r>
          </w:p>
        </w:tc>
        <w:tc>
          <w:tcPr>
            <w:tcW w:type="dxa" w:w="3744"/>
            <w:vAlign w:val="center"/>
          </w:tcPr>
          <w:p>
            <w:r/>
            <w:r>
              <w:rPr>
                <w:b w:val="0"/>
              </w:rPr>
              <w:t>For suspicious vertical bands around one radiation/driver value.</w:t>
            </w:r>
          </w:p>
        </w:tc>
      </w:tr>
    </w:tbl>
    <w:p/>
    <w:p>
      <w:pPr>
        <w:pStyle w:val="Heading1"/>
      </w:pPr>
      <w:r>
        <w:t>10. Footprint Visualization</w:t>
      </w:r>
    </w:p>
    <w:p>
      <w:r>
        <w:t>FluxDash can visualize footprint source-distance outputs and Kljun/EddyPro percentile columns when they exist in the processed data. The contour explorer aggregates footprint percentile distances by wind direction and can overlay contours on an optional background image. This is a diagnostic visualization, not a full GIS georeferencing workflow.</w:t>
      </w:r>
    </w:p>
    <w:p>
      <w:pPr>
        <w:pStyle w:val="Heading1"/>
      </w:pPr>
      <w:r>
        <w:t>11. Save/Reload and Workflow Log</w:t>
      </w:r>
    </w:p>
    <w:p>
      <w:r>
        <w:t>Use Save project to create a .fluxdash.json file that stores folder paths, settings, selected variables, processing outputs, partitioning results, result controls, footprint background, and workflow events. Use Open project to continue later.</w:t>
      </w:r>
    </w:p>
    <w:p>
      <w:r>
        <w:t>The workflow log is designed for reproducibility. It records the user choices from processing through partitioning and results, including references supporting the selected methods. It can be exported as a text file and used when drafting a methods section or reviewing a student lab submission.</w:t>
      </w:r>
    </w:p>
    <w:p>
      <w:pPr>
        <w:pStyle w:val="Heading1"/>
      </w:pPr>
      <w:r>
        <w:t>12. Help Menu</w:t>
      </w:r>
    </w:p>
    <w:p>
      <w:pPr>
        <w:pStyle w:val="ListBullet"/>
      </w:pPr>
      <w:r>
        <w:t>Help &gt; About FluxDash opens the software purpose, author, copyright, and reference list.</w:t>
      </w:r>
    </w:p>
    <w:p>
      <w:pPr>
        <w:pStyle w:val="ListBullet"/>
      </w:pPr>
      <w:r>
        <w:t>Help &gt; Open Software Documentation (PDF) opens the bundled PDF copy of this document.</w:t>
      </w:r>
    </w:p>
    <w:p>
      <w:pPr>
        <w:pStyle w:val="ListBullet"/>
      </w:pPr>
      <w:r>
        <w:t>Help &gt; Open Software Documentation (Word) opens the editable DOCX copy of this document.</w:t>
      </w:r>
    </w:p>
    <w:p>
      <w:pPr>
        <w:pStyle w:val="Heading1"/>
      </w:pPr>
      <w:r>
        <w:t>13. Sign Conventions and Unit Notes</w:t>
      </w:r>
    </w:p>
    <w:p>
      <w:pPr>
        <w:pStyle w:val="ListBullet"/>
      </w:pPr>
      <w:r>
        <w:t>NEE follows the atmospheric convention: negative NEE means net ecosystem CO2 uptake/sink; positive NEE means net ecosystem CO2 release/source.</w:t>
      </w:r>
    </w:p>
    <w:p>
      <w:pPr>
        <w:pStyle w:val="ListBullet"/>
      </w:pPr>
      <w:r>
        <w:t>GPP and Reco are shown as positive magnitudes in most FluxDash result plots.</w:t>
      </w:r>
    </w:p>
    <w:p>
      <w:pPr>
        <w:pStyle w:val="ListBullet"/>
      </w:pPr>
      <w:r>
        <w:t>NEP is calculated as -NEE, so positive NEP indicates carbon gain from the ecosystem perspective.</w:t>
      </w:r>
    </w:p>
    <w:p>
      <w:pPr>
        <w:pStyle w:val="ListBullet"/>
      </w:pPr>
      <w:r>
        <w:t>Flux-rate to carbon-sum conversions use the selected time step, typically 1800 seconds for 30-minute data.</w:t>
      </w:r>
    </w:p>
    <w:p>
      <w:pPr>
        <w:pStyle w:val="ListBullet"/>
      </w:pPr>
      <w:r>
        <w:t>LE-to-ET conversion uses latent heat of vaporization approximated as 2.45 MJ kg-1.</w:t>
      </w:r>
    </w:p>
    <w:p>
      <w:pPr>
        <w:pStyle w:val="Heading1"/>
      </w:pPr>
      <w:r>
        <w:t>14. Known Limitations and Best Practices</w:t>
      </w:r>
    </w:p>
    <w:p>
      <w:pPr>
        <w:pStyle w:val="ListBullet"/>
      </w:pPr>
      <w:r>
        <w:t>Do not treat the raw covariance fallback as a complete EddyPro replacement for manuscripts.</w:t>
      </w:r>
    </w:p>
    <w:p>
      <w:pPr>
        <w:pStyle w:val="ListBullet"/>
      </w:pPr>
      <w:r>
        <w:t>Always review input units, time zone, measurement height, radiation drivers, VPD/Tair availability, and gap fractions.</w:t>
      </w:r>
    </w:p>
    <w:p>
      <w:pPr>
        <w:pStyle w:val="ListBullet"/>
      </w:pPr>
      <w:r>
        <w:t>Use pre-filtering carefully. Removing too much data can bias gap filling and annual budgets.</w:t>
      </w:r>
    </w:p>
    <w:p>
      <w:pPr>
        <w:pStyle w:val="ListBullet"/>
      </w:pPr>
      <w:r>
        <w:t>Outlier filters in the Results tab are for analysis visualization and table export only; they do not change the original partitioned CSV.</w:t>
      </w:r>
    </w:p>
    <w:p>
      <w:pPr>
        <w:pStyle w:val="ListBullet"/>
      </w:pPr>
      <w:r>
        <w:t>For publication, document instrument setup, correction methods, QC criteria, u* threshold method/value, gap-filling method, partitioning method, footprint model, annual budget uncertainty, and sign convention.</w:t>
      </w:r>
    </w:p>
    <w:p>
      <w:pPr>
        <w:pStyle w:val="Heading1"/>
      </w:pPr>
      <w:r>
        <w:t>15. Reference Library</w:t>
      </w:r>
    </w:p>
    <w:p>
      <w:pPr>
        <w:pStyle w:val="ListNumber"/>
      </w:pPr>
      <w:r>
        <w:t>Aubinet, M., Vesala, T., and Papale, D. (2012). Eddy Covariance: A Practical Guide to Measurement and Data Analysis. Springer.</w:t>
      </w:r>
    </w:p>
    <w:p>
      <w:pPr>
        <w:pStyle w:val="ListNumber"/>
      </w:pPr>
      <w:r>
        <w:t>Baldocchi, D. (2003). Assessing ecosystem carbon balance: problems and prospects of the eddy covariance technique. Global Change Biology.</w:t>
      </w:r>
    </w:p>
    <w:p>
      <w:pPr>
        <w:pStyle w:val="ListNumber"/>
      </w:pPr>
      <w:r>
        <w:t>Burba, G. (2013). Eddy Covariance Method for Scientific, Industrial, Agricultural, and Regulatory Applications.</w:t>
      </w:r>
    </w:p>
    <w:p>
      <w:pPr>
        <w:pStyle w:val="ListNumber"/>
      </w:pPr>
      <w:r>
        <w:t>Davidson, E. A., and Janssens, I. A. (2006). Temperature sensitivity of soil carbon decomposition and feedbacks to climate change. Nature.</w:t>
      </w:r>
    </w:p>
    <w:p>
      <w:pPr>
        <w:pStyle w:val="ListNumber"/>
      </w:pPr>
      <w:r>
        <w:t>Falge, E. et al. (2001). Gap filling strategies for defensible annual sums of net ecosystem exchange. Agricultural and Forest Meteorology.</w:t>
      </w:r>
    </w:p>
    <w:p>
      <w:pPr>
        <w:pStyle w:val="ListNumber"/>
      </w:pPr>
      <w:r>
        <w:t>Foken, T., and Wichura, B. (1996). Tools for quality assessment of surface-based flux measurements. Agricultural and Forest Meteorology.</w:t>
      </w:r>
    </w:p>
    <w:p>
      <w:pPr>
        <w:pStyle w:val="ListNumber"/>
      </w:pPr>
      <w:r>
        <w:t>Foken, T. (2008). The energy balance closure problem: an overview. Ecological Applications.</w:t>
      </w:r>
    </w:p>
    <w:p>
      <w:pPr>
        <w:pStyle w:val="ListNumber"/>
      </w:pPr>
      <w:r>
        <w:t>Kljun, N., Calanca, P., Rotach, M. W., and Schmid, H. P. (2015). A simple two-dimensional parameterisation for Flux Footprint Prediction (FFP). Geoscientific Model Development, 8, 3695-3713.</w:t>
      </w:r>
    </w:p>
    <w:p>
      <w:pPr>
        <w:pStyle w:val="ListNumber"/>
      </w:pPr>
      <w:r>
        <w:t>Kormann, R., and Meixner, F. X. (2001). An analytical footprint model for non-neutral stratification. Boundary-Layer Meteorology.</w:t>
      </w:r>
    </w:p>
    <w:p>
      <w:pPr>
        <w:pStyle w:val="ListNumber"/>
      </w:pPr>
      <w:r>
        <w:t>Lasslop, G. et al. (2010). Separation of net ecosystem exchange into assimilation and respiration using a light response curve approach. Global Change Biology.</w:t>
      </w:r>
    </w:p>
    <w:p>
      <w:pPr>
        <w:pStyle w:val="ListNumber"/>
      </w:pPr>
      <w:r>
        <w:t>LI-COR Biosciences. EddyPro 7 Software Operating Instructions and Eddy Covariance support documentation.</w:t>
      </w:r>
    </w:p>
    <w:p>
      <w:pPr>
        <w:pStyle w:val="ListNumber"/>
      </w:pPr>
      <w:r>
        <w:t>Lloyd, J., and Taylor, J. A. (1994). On the temperature dependence of soil respiration. Functional Ecology.</w:t>
      </w:r>
    </w:p>
    <w:p>
      <w:pPr>
        <w:pStyle w:val="ListNumber"/>
      </w:pPr>
      <w:r>
        <w:t>Massman, W. J. (2000, 2001). Spectral attenuation corrections for eddy covariance flux measurements. Boundary-Layer Meteorology.</w:t>
      </w:r>
    </w:p>
    <w:p>
      <w:pPr>
        <w:pStyle w:val="ListNumber"/>
      </w:pPr>
      <w:r>
        <w:t>Mauder, M., and Foken, T. (2011). Documentation and instruction manual of the eddy covariance software package TK3. Universität Bayreuth.</w:t>
      </w:r>
    </w:p>
    <w:p>
      <w:pPr>
        <w:pStyle w:val="ListNumber"/>
      </w:pPr>
      <w:r>
        <w:t>Moncrieff, J. B. et al. (1997). A system to measure surface fluxes of momentum, sensible heat, water vapor and carbon dioxide. Journal of Hydrology.</w:t>
      </w:r>
    </w:p>
    <w:p>
      <w:pPr>
        <w:pStyle w:val="ListNumber"/>
      </w:pPr>
      <w:r>
        <w:t>Papale, D. et al. (2006). Towards a standardized processing of net ecosystem exchange measured with eddy covariance technique. Biogeosciences.</w:t>
      </w:r>
    </w:p>
    <w:p>
      <w:pPr>
        <w:pStyle w:val="ListNumber"/>
      </w:pPr>
      <w:r>
        <w:t>Reichstein, M. et al. (2005). On the separation of net ecosystem exchange into assimilation and ecosystem respiration: review and improved algorithm. Global Change Biology.</w:t>
      </w:r>
    </w:p>
    <w:p>
      <w:pPr>
        <w:pStyle w:val="ListNumber"/>
      </w:pPr>
      <w:r>
        <w:t>REddyProc package documentation and Wutzler, T. et al. (2018). Basic and extensible post-processing of eddy covariance flux data with REddyProc. Biogeosciences.</w:t>
      </w:r>
    </w:p>
    <w:p>
      <w:pPr>
        <w:pStyle w:val="ListNumber"/>
      </w:pPr>
      <w:r>
        <w:t>Vickers, D., and Mahrt, L. (1997). Quality control and flux sampling problems for tower and aircraft data. Journal of Atmospheric and Oceanic Technology.</w:t>
      </w:r>
    </w:p>
    <w:p>
      <w:pPr>
        <w:pStyle w:val="ListNumber"/>
      </w:pPr>
      <w:r>
        <w:t>Webb, E. K., Pearman, G. I., and Leuning, R. (1980). Correction of flux measurements for density effects due to heat and water vapour transfer. Quarterly Journal of the Royal Meteorological Society.</w:t>
      </w:r>
    </w:p>
    <w:p>
      <w:pPr>
        <w:pStyle w:val="ListNumber"/>
      </w:pPr>
      <w:r>
        <w:t>Wilson, K. et al. (2002). Energy balance closure at FLUXNET sites. Agricultural and Forest Meteorology.</w:t>
      </w:r>
    </w:p>
    <w:p/>
    <w:p>
      <w:pPr>
        <w:pStyle w:val="Heading1"/>
      </w:pPr>
      <w:r>
        <w:t>FLUXNET/AmeriFlux CSV Dataset Support</w:t>
      </w:r>
    </w:p>
    <w:p>
      <w:r>
        <w:t>FluxDash v1.0 can now operate on standardized FLUXNET and AmeriFlux CSV datasets in addition to .ghg and EP-Summary files. This allows instructors to use public flux products for teaching when raw tower files are not available or when the goal is to focus on interpretation rather than raw high-frequency processing.</w:t>
      </w:r>
    </w:p>
    <w:p>
      <w:pPr>
        <w:pStyle w:val="Heading2"/>
      </w:pPr>
      <w:r>
        <w:t>Supported FLUXNET-style files</w:t>
      </w:r>
    </w:p>
    <w:p>
      <w:pPr>
        <w:pStyle w:val="ListBullet"/>
      </w:pPr>
      <w:r>
        <w:t>FULLSET_HH: half-hourly full data product. Preferred for detailed response curves, diel patterns, and cumulative budgets.</w:t>
      </w:r>
    </w:p>
    <w:p>
      <w:pPr>
        <w:pStyle w:val="ListBullet"/>
      </w:pPr>
      <w:r>
        <w:t>FULLSET_DD, FULLSET_WW, FULLSET_MM, FULLSET_YY: daily, weekly, monthly, and yearly products. Useful for temporal summaries and annual budget exercises.</w:t>
      </w:r>
    </w:p>
    <w:p>
      <w:pPr>
        <w:pStyle w:val="ListBullet"/>
      </w:pPr>
      <w:r>
        <w:t>ERA5_HH, ERA5_DD, ERA5_WW, ERA5_MM, ERA5_YY: meteorological driver products. Useful for climate-driver comparisons when direct tower variables are limited.</w:t>
      </w:r>
    </w:p>
    <w:p>
      <w:pPr>
        <w:pStyle w:val="ListBullet"/>
      </w:pPr>
      <w:r>
        <w:t>AUXNEE and AUXMETEO files: read as supporting metadata where available; the main Results Explorer uses FULLSET products first.</w:t>
      </w:r>
    </w:p>
    <w:p>
      <w:pPr>
        <w:pStyle w:val="Heading2"/>
      </w:pPr>
      <w:r>
        <w:t>Column mapping used by FluxDash</w:t>
      </w:r>
    </w:p>
    <w:tbl>
      <w:tblPr>
        <w:tblStyle w:val="TableGrid"/>
        <w:tblW w:type="auto" w:w="0"/>
        <w:tblLook w:firstColumn="1" w:firstRow="1" w:lastColumn="0" w:lastRow="0" w:noHBand="0" w:noVBand="1" w:val="04A0"/>
      </w:tblPr>
      <w:tblGrid>
        <w:gridCol w:w="3408"/>
        <w:gridCol w:w="3408"/>
        <w:gridCol w:w="3408"/>
      </w:tblGrid>
      <w:tr>
        <w:tc>
          <w:tcPr>
            <w:tcW w:type="dxa" w:w="3408"/>
          </w:tcPr>
          <w:p>
            <w:r>
              <w:t>FluxDash variable</w:t>
            </w:r>
          </w:p>
        </w:tc>
        <w:tc>
          <w:tcPr>
            <w:tcW w:type="dxa" w:w="3408"/>
          </w:tcPr>
          <w:p>
            <w:r>
              <w:t>Preferred FLUXNET/AmeriFlux columns</w:t>
            </w:r>
          </w:p>
        </w:tc>
        <w:tc>
          <w:tcPr>
            <w:tcW w:type="dxa" w:w="3408"/>
          </w:tcPr>
          <w:p>
            <w:r>
              <w:t>Notes</w:t>
            </w:r>
          </w:p>
        </w:tc>
      </w:tr>
      <w:tr>
        <w:tc>
          <w:tcPr>
            <w:tcW w:type="dxa" w:w="3408"/>
          </w:tcPr>
          <w:p>
            <w:r>
              <w:t>NEE / co2_flux</w:t>
            </w:r>
          </w:p>
        </w:tc>
        <w:tc>
          <w:tcPr>
            <w:tcW w:type="dxa" w:w="3408"/>
          </w:tcPr>
          <w:p>
            <w:r>
              <w:t>NEE_VUT_REF, NEE_CUT_REF, NEE_VUT_USTAR50, NEE_CUT_USTAR50</w:t>
            </w:r>
          </w:p>
        </w:tc>
        <w:tc>
          <w:tcPr>
            <w:tcW w:type="dxa" w:w="3408"/>
          </w:tcPr>
          <w:p>
            <w:r>
              <w:t>Atmospheric convention: negative values indicate ecosystem CO2 uptake.</w:t>
            </w:r>
          </w:p>
        </w:tc>
      </w:tr>
      <w:tr>
        <w:tc>
          <w:tcPr>
            <w:tcW w:type="dxa" w:w="3408"/>
          </w:tcPr>
          <w:p>
            <w:r>
              <w:t>GPP</w:t>
            </w:r>
          </w:p>
        </w:tc>
        <w:tc>
          <w:tcPr>
            <w:tcW w:type="dxa" w:w="3408"/>
          </w:tcPr>
          <w:p>
            <w:r>
              <w:t>GPP_NT_VUT_REF, GPP_DT_VUT_REF, GPP_NT/DT USTAR50 or MEAN variants</w:t>
            </w:r>
          </w:p>
        </w:tc>
        <w:tc>
          <w:tcPr>
            <w:tcW w:type="dxa" w:w="3408"/>
          </w:tcPr>
          <w:p>
            <w:r>
              <w:t>Shown as positive carbon uptake in Results.</w:t>
            </w:r>
          </w:p>
        </w:tc>
      </w:tr>
      <w:tr>
        <w:tc>
          <w:tcPr>
            <w:tcW w:type="dxa" w:w="3408"/>
          </w:tcPr>
          <w:p>
            <w:r>
              <w:t>Reco / RE</w:t>
            </w:r>
          </w:p>
        </w:tc>
        <w:tc>
          <w:tcPr>
            <w:tcW w:type="dxa" w:w="3408"/>
          </w:tcPr>
          <w:p>
            <w:r>
              <w:t>RECO_NT_VUT_REF, RECO_DT_VUT_REF, RECO_NT/DT USTAR50 or MEAN variants</w:t>
            </w:r>
          </w:p>
        </w:tc>
        <w:tc>
          <w:tcPr>
            <w:tcW w:type="dxa" w:w="3408"/>
          </w:tcPr>
          <w:p>
            <w:r>
              <w:t>Shown as positive ecosystem respiration.</w:t>
            </w:r>
          </w:p>
        </w:tc>
      </w:tr>
      <w:tr>
        <w:tc>
          <w:tcPr>
            <w:tcW w:type="dxa" w:w="3408"/>
          </w:tcPr>
          <w:p>
            <w:r>
              <w:t>LE</w:t>
            </w:r>
          </w:p>
        </w:tc>
        <w:tc>
          <w:tcPr>
            <w:tcW w:type="dxa" w:w="3408"/>
          </w:tcPr>
          <w:p>
            <w:r>
              <w:t>LE_F_MDS, LE_CORR, LE</w:t>
            </w:r>
          </w:p>
        </w:tc>
        <w:tc>
          <w:tcPr>
            <w:tcW w:type="dxa" w:w="3408"/>
          </w:tcPr>
          <w:p>
            <w:r>
              <w:t>Latent heat flux in W m-2.</w:t>
            </w:r>
          </w:p>
        </w:tc>
      </w:tr>
      <w:tr>
        <w:tc>
          <w:tcPr>
            <w:tcW w:type="dxa" w:w="3408"/>
          </w:tcPr>
          <w:p>
            <w:r>
              <w:t>H</w:t>
            </w:r>
          </w:p>
        </w:tc>
        <w:tc>
          <w:tcPr>
            <w:tcW w:type="dxa" w:w="3408"/>
          </w:tcPr>
          <w:p>
            <w:r>
              <w:t>H_F_MDS, H_CORR, H</w:t>
            </w:r>
          </w:p>
        </w:tc>
        <w:tc>
          <w:tcPr>
            <w:tcW w:type="dxa" w:w="3408"/>
          </w:tcPr>
          <w:p>
            <w:r>
              <w:t>Sensible heat flux in W m-2.</w:t>
            </w:r>
          </w:p>
        </w:tc>
      </w:tr>
      <w:tr>
        <w:tc>
          <w:tcPr>
            <w:tcW w:type="dxa" w:w="3408"/>
          </w:tcPr>
          <w:p>
            <w:r>
              <w:t>Radiation / Rg</w:t>
            </w:r>
          </w:p>
        </w:tc>
        <w:tc>
          <w:tcPr>
            <w:tcW w:type="dxa" w:w="3408"/>
          </w:tcPr>
          <w:p>
            <w:r>
              <w:t>SW_IN_F_MDS, SW_IN_F, SW_IN_ERA, SW_IN</w:t>
            </w:r>
          </w:p>
        </w:tc>
        <w:tc>
          <w:tcPr>
            <w:tcW w:type="dxa" w:w="3408"/>
          </w:tcPr>
          <w:p>
            <w:r>
              <w:t>Used for light-response analyses when PPFD/PAR is unavailable.</w:t>
            </w:r>
          </w:p>
        </w:tc>
      </w:tr>
      <w:tr>
        <w:tc>
          <w:tcPr>
            <w:tcW w:type="dxa" w:w="3408"/>
          </w:tcPr>
          <w:p>
            <w:r>
              <w:t>PPFD / PAR</w:t>
            </w:r>
          </w:p>
        </w:tc>
        <w:tc>
          <w:tcPr>
            <w:tcW w:type="dxa" w:w="3408"/>
          </w:tcPr>
          <w:p>
            <w:r>
              <w:t>PPFD_IN, PPFD</w:t>
            </w:r>
          </w:p>
        </w:tc>
        <w:tc>
          <w:tcPr>
            <w:tcW w:type="dxa" w:w="3408"/>
          </w:tcPr>
          <w:p>
            <w:r>
              <w:t>Preferred driver for photosynthetic light-response curves when present.</w:t>
            </w:r>
          </w:p>
        </w:tc>
      </w:tr>
      <w:tr>
        <w:tc>
          <w:tcPr>
            <w:tcW w:type="dxa" w:w="3408"/>
          </w:tcPr>
          <w:p>
            <w:r>
              <w:t>Tair</w:t>
            </w:r>
          </w:p>
        </w:tc>
        <w:tc>
          <w:tcPr>
            <w:tcW w:type="dxa" w:w="3408"/>
          </w:tcPr>
          <w:p>
            <w:r>
              <w:t>TA_F_MDS, TA_F, TA_ERA</w:t>
            </w:r>
          </w:p>
        </w:tc>
        <w:tc>
          <w:tcPr>
            <w:tcW w:type="dxa" w:w="3408"/>
          </w:tcPr>
          <w:p>
            <w:r>
              <w:t>Air temperature for Q10 and driver analyses.</w:t>
            </w:r>
          </w:p>
        </w:tc>
      </w:tr>
      <w:tr>
        <w:tc>
          <w:tcPr>
            <w:tcW w:type="dxa" w:w="3408"/>
          </w:tcPr>
          <w:p>
            <w:r>
              <w:t>VPD</w:t>
            </w:r>
          </w:p>
        </w:tc>
        <w:tc>
          <w:tcPr>
            <w:tcW w:type="dxa" w:w="3408"/>
          </w:tcPr>
          <w:p>
            <w:r>
              <w:t>VPD_F_MDS, VPD_F, VPD_ERA</w:t>
            </w:r>
          </w:p>
        </w:tc>
        <w:tc>
          <w:tcPr>
            <w:tcW w:type="dxa" w:w="3408"/>
          </w:tcPr>
          <w:p>
            <w:r>
              <w:t>Used for stomatal/VPD response plots.</w:t>
            </w:r>
          </w:p>
        </w:tc>
      </w:tr>
      <w:tr>
        <w:tc>
          <w:tcPr>
            <w:tcW w:type="dxa" w:w="3408"/>
          </w:tcPr>
          <w:p>
            <w:r>
              <w:t>u*</w:t>
            </w:r>
          </w:p>
        </w:tc>
        <w:tc>
          <w:tcPr>
            <w:tcW w:type="dxa" w:w="3408"/>
          </w:tcPr>
          <w:p>
            <w:r>
              <w:t>USTAR</w:t>
            </w:r>
          </w:p>
        </w:tc>
        <w:tc>
          <w:tcPr>
            <w:tcW w:type="dxa" w:w="3408"/>
          </w:tcPr>
          <w:p>
            <w:r>
              <w:t>Used as a turbulence diagnostic where available.</w:t>
            </w:r>
          </w:p>
        </w:tc>
      </w:tr>
    </w:tbl>
    <w:p>
      <w:pPr>
        <w:pStyle w:val="Heading2"/>
      </w:pPr>
      <w:r>
        <w:t>How FluxDash handles FLUXNET FULLSET data</w:t>
      </w:r>
    </w:p>
    <w:p>
      <w:pPr>
        <w:pStyle w:val="ListBullet"/>
      </w:pPr>
      <w:r>
        <w:t>When a FULLSET file is detected, FluxDash normalizes its standardized columns into the internal FluxDash names used in View, Partition, and Results.</w:t>
      </w:r>
    </w:p>
    <w:p>
      <w:pPr>
        <w:pStyle w:val="ListBullet"/>
      </w:pPr>
      <w:r>
        <w:t>Because FULLSET products already include gap-filled and partitioned variables, the Partition tab does not rerun REddyProc. Instead, it uses the standardized NEE, GPP, Reco, LE, H, radiation, temperature, VPD, and QC columns directly.</w:t>
      </w:r>
    </w:p>
    <w:p>
      <w:pPr>
        <w:pStyle w:val="ListBullet"/>
      </w:pPr>
      <w:r>
        <w:t>The workflow log records that FLUXNET/FULLSET products were used and includes references supporting the standardized FLUXNET/ONEFlux processing approach.</w:t>
      </w:r>
    </w:p>
    <w:p>
      <w:pPr>
        <w:pStyle w:val="ListBullet"/>
      </w:pPr>
      <w:r>
        <w:t>Students can still use Results Explorer tools such as cumulative carbon budgets, source/sink classification, seasonal patterns, light response, temperature response/Q10, VPD response, ET, WUE, CUE, and energy-balance diagnostics when the required columns are present.</w:t>
      </w:r>
    </w:p>
    <w:p>
      <w:pPr>
        <w:pStyle w:val="Heading2"/>
      </w:pPr>
      <w:r>
        <w:t>Teaching note</w:t>
      </w:r>
    </w:p>
    <w:p>
      <w:r>
        <w:t>FLUXNET data are ideal for teaching because they allow students to explore real flux products without first configuring raw high-frequency processing. However, instructors should explain that the pre-processing, u* filtering, gap filling, and partitioning have already been applied by the data-product pipeline. FluxDash therefore treats FLUXNET FULLSET files as standardized products rather than raw tower data.</w:t>
      </w:r>
    </w:p>
    <w:p>
      <w:pPr>
        <w:pStyle w:val="Heading2"/>
      </w:pPr>
      <w:r>
        <w:t>Additional references for FLUXNET support</w:t>
      </w:r>
    </w:p>
    <w:p>
      <w:pPr>
        <w:pStyle w:val="ListBullet"/>
      </w:pPr>
      <w:r>
        <w:t>Pastorello, G. et al. (2020). The FLUXNET2015 dataset and the ONEFlux processing pipeline for eddy covariance data. Scientific Data.</w:t>
      </w:r>
    </w:p>
    <w:p>
      <w:pPr>
        <w:pStyle w:val="ListBullet"/>
      </w:pPr>
      <w:r>
        <w:t>AmeriFlux Management Project. AmeriFlux BASE and FLUXNET data-product documentation.</w:t>
      </w:r>
    </w:p>
    <w:p>
      <w:pPr>
        <w:pStyle w:val="ListBullet"/>
      </w:pPr>
      <w:r>
        <w:t>Papale, D. et al. (2006). Towards a standardized processing of net ecosystem exchange measured with eddy covariance technique. Biogeosciences.</w:t>
      </w:r>
    </w:p>
    <w:p>
      <w:pPr>
        <w:pStyle w:val="ListBullet"/>
      </w:pPr>
      <w:r>
        <w:t>Reichstein, M. et al. (2005). On the separation of net ecosystem exchange into assimilation and ecosystem respiration. Global Change Biology.</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554F"/>
        <w:sz w:val="18"/>
      </w:rPr>
      <w:t>FluxDash v1.0.0 | Created by Ife Familusi |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eastAsia="Cambria"/>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eastAsia="Cambr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eastAsia="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eastAsia="Cambria"/>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