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ahoma" w:hAnsi="Tahoma" w:cs="Tahoma"/>
        </w:rPr>
        <w:id w:val="-1412002327"/>
        <w:docPartObj>
          <w:docPartGallery w:val="Cover Pages"/>
          <w:docPartUnique/>
        </w:docPartObj>
      </w:sdtPr>
      <w:sdtContent>
        <w:p w14:paraId="44895820" w14:textId="4DABE135" w:rsidR="003354C4" w:rsidRPr="007D6064" w:rsidRDefault="003354C4">
          <w:pPr>
            <w:rPr>
              <w:rFonts w:ascii="Tahoma" w:hAnsi="Tahoma" w:cs="Tahoma"/>
            </w:rPr>
          </w:pPr>
          <w:r w:rsidRPr="007D6064">
            <w:rPr>
              <w:rFonts w:ascii="Tahoma" w:hAnsi="Tahoma" w:cs="Tahoma"/>
              <w:noProof/>
            </w:rPr>
            <mc:AlternateContent>
              <mc:Choice Requires="wps">
                <w:drawing>
                  <wp:anchor distT="0" distB="0" distL="114300" distR="114300" simplePos="0" relativeHeight="251659264" behindDoc="1" locked="0" layoutInCell="1" allowOverlap="1" wp14:anchorId="6406A734" wp14:editId="708D6562">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635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3354C4" w14:paraId="499287D1" w14:textId="77777777">
                                  <w:trPr>
                                    <w:trHeight w:val="2376"/>
                                  </w:trPr>
                                  <w:tc>
                                    <w:tcPr>
                                      <w:tcW w:w="370" w:type="pct"/>
                                      <w:shd w:val="clear" w:color="auto" w:fill="90C226" w:themeFill="accent1"/>
                                    </w:tcPr>
                                    <w:p w14:paraId="45FE95C3" w14:textId="77777777" w:rsidR="003354C4" w:rsidRDefault="003354C4"/>
                                  </w:tc>
                                  <w:sdt>
                                    <w:sdtPr>
                                      <w:rPr>
                                        <w:rFonts w:asciiTheme="majorHAnsi" w:hAnsiTheme="majorHAnsi"/>
                                        <w:color w:val="FFFFFF" w:themeColor="background1"/>
                                        <w:sz w:val="96"/>
                                        <w:szCs w:val="96"/>
                                      </w:rPr>
                                      <w:alias w:val="Title"/>
                                      <w:tag w:val=""/>
                                      <w:id w:val="739824258"/>
                                      <w:placeholder>
                                        <w:docPart w:val="947E6522A2FA46B5B673E255BFF3B08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2C4237E" w14:textId="515D5852" w:rsidR="003354C4" w:rsidRDefault="003354C4">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APPLE INC.</w:t>
                                          </w:r>
                                        </w:p>
                                      </w:tc>
                                    </w:sdtContent>
                                  </w:sdt>
                                </w:tr>
                                <w:tr w:rsidR="003354C4" w14:paraId="2857CA0D" w14:textId="77777777">
                                  <w:trPr>
                                    <w:trHeight w:hRule="exact" w:val="648"/>
                                  </w:trPr>
                                  <w:tc>
                                    <w:tcPr>
                                      <w:tcW w:w="370" w:type="pct"/>
                                      <w:shd w:val="clear" w:color="auto" w:fill="90C226" w:themeFill="accent1"/>
                                    </w:tcPr>
                                    <w:p w14:paraId="15713E1C" w14:textId="77777777" w:rsidR="003354C4" w:rsidRDefault="003354C4"/>
                                  </w:tc>
                                  <w:tc>
                                    <w:tcPr>
                                      <w:tcW w:w="4630" w:type="pct"/>
                                      <w:shd w:val="clear" w:color="auto" w:fill="404040" w:themeFill="text1" w:themeFillTint="BF"/>
                                      <w:vAlign w:val="bottom"/>
                                    </w:tcPr>
                                    <w:p w14:paraId="34688234" w14:textId="77777777" w:rsidR="003354C4" w:rsidRDefault="003354C4">
                                      <w:pPr>
                                        <w:ind w:left="360" w:right="360"/>
                                        <w:rPr>
                                          <w:color w:val="FFFFFF" w:themeColor="background1"/>
                                          <w:sz w:val="28"/>
                                          <w:szCs w:val="28"/>
                                        </w:rPr>
                                      </w:pPr>
                                    </w:p>
                                  </w:tc>
                                </w:tr>
                                <w:tr w:rsidR="003354C4" w14:paraId="0E2059F4" w14:textId="77777777">
                                  <w:tc>
                                    <w:tcPr>
                                      <w:tcW w:w="370" w:type="pct"/>
                                      <w:shd w:val="clear" w:color="auto" w:fill="90C226" w:themeFill="accent1"/>
                                    </w:tcPr>
                                    <w:p w14:paraId="4AEF214D" w14:textId="77777777" w:rsidR="003354C4" w:rsidRDefault="003354C4"/>
                                  </w:tc>
                                  <w:tc>
                                    <w:tcPr>
                                      <w:tcW w:w="4630" w:type="pct"/>
                                      <w:shd w:val="clear" w:color="auto" w:fill="404040" w:themeFill="text1" w:themeFillTint="BF"/>
                                      <w:vAlign w:val="bottom"/>
                                    </w:tcPr>
                                    <w:p w14:paraId="52DD52E0" w14:textId="13B7D8BB" w:rsidR="003354C4"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86382B3FBBE0481492C36F77336C475F"/>
                                          </w:placeholder>
                                          <w:dataBinding w:prefixMappings="xmlns:ns0='http://purl.org/dc/elements/1.1/' xmlns:ns1='http://schemas.openxmlformats.org/package/2006/metadata/core-properties' " w:xpath="/ns1:coreProperties[1]/ns0:creator[1]" w:storeItemID="{6C3C8BC8-F283-45AE-878A-BAB7291924A1}"/>
                                          <w:text/>
                                        </w:sdtPr>
                                        <w:sdtContent>
                                          <w:r w:rsidR="003354C4">
                                            <w:rPr>
                                              <w:color w:val="FFFFFF" w:themeColor="background1"/>
                                              <w:sz w:val="28"/>
                                              <w:szCs w:val="28"/>
                                            </w:rPr>
                                            <w:t>Group 2</w:t>
                                          </w:r>
                                        </w:sdtContent>
                                      </w:sdt>
                                    </w:p>
                                    <w:sdt>
                                      <w:sdtPr>
                                        <w:rPr>
                                          <w:color w:val="FFFFFF" w:themeColor="background1"/>
                                          <w:sz w:val="28"/>
                                          <w:szCs w:val="28"/>
                                        </w:rPr>
                                        <w:alias w:val="Course title"/>
                                        <w:tag w:val=""/>
                                        <w:id w:val="-15923909"/>
                                        <w:placeholder>
                                          <w:docPart w:val="6041459CE57640469DEF465B30B7284C"/>
                                        </w:placeholder>
                                        <w:dataBinding w:prefixMappings="xmlns:ns0='http://purl.org/dc/elements/1.1/' xmlns:ns1='http://schemas.openxmlformats.org/package/2006/metadata/core-properties' " w:xpath="/ns1:coreProperties[1]/ns1:category[1]" w:storeItemID="{6C3C8BC8-F283-45AE-878A-BAB7291924A1}"/>
                                        <w:text/>
                                      </w:sdtPr>
                                      <w:sdtContent>
                                        <w:p w14:paraId="0FC1354B" w14:textId="51877EFD" w:rsidR="003354C4" w:rsidRDefault="003354C4">
                                          <w:pPr>
                                            <w:pStyle w:val="NoSpacing"/>
                                            <w:spacing w:line="288" w:lineRule="auto"/>
                                            <w:ind w:left="360" w:right="360"/>
                                            <w:rPr>
                                              <w:color w:val="FFFFFF" w:themeColor="background1"/>
                                              <w:sz w:val="28"/>
                                              <w:szCs w:val="28"/>
                                            </w:rPr>
                                          </w:pPr>
                                          <w:r>
                                            <w:rPr>
                                              <w:color w:val="FFFFFF" w:themeColor="background1"/>
                                              <w:sz w:val="28"/>
                                              <w:szCs w:val="28"/>
                                            </w:rPr>
                                            <w:t>Financial Analytics Project</w:t>
                                          </w:r>
                                        </w:p>
                                      </w:sdtContent>
                                    </w:sdt>
                                    <w:sdt>
                                      <w:sdtPr>
                                        <w:rPr>
                                          <w:color w:val="FFFFFF" w:themeColor="background1"/>
                                          <w:sz w:val="28"/>
                                          <w:szCs w:val="28"/>
                                        </w:rPr>
                                        <w:alias w:val="Date"/>
                                        <w:tag w:val=""/>
                                        <w:id w:val="748164578"/>
                                        <w:placeholder>
                                          <w:docPart w:val="FEBDA7AB3AA74DCB93E1DF8A22512AB1"/>
                                        </w:placeholder>
                                        <w:dataBinding w:prefixMappings="xmlns:ns0='http://schemas.microsoft.com/office/2006/coverPageProps' " w:xpath="/ns0:CoverPageProperties[1]/ns0:PublishDate[1]" w:storeItemID="{55AF091B-3C7A-41E3-B477-F2FDAA23CFDA}"/>
                                        <w:date w:fullDate="2024-04-01T00:00:00Z">
                                          <w:dateFormat w:val="M/d/yy"/>
                                          <w:lid w:val="en-US"/>
                                          <w:storeMappedDataAs w:val="dateTime"/>
                                          <w:calendar w:val="gregorian"/>
                                        </w:date>
                                      </w:sdtPr>
                                      <w:sdtContent>
                                        <w:p w14:paraId="02263087" w14:textId="74866E96" w:rsidR="003354C4" w:rsidRDefault="003354C4">
                                          <w:pPr>
                                            <w:pStyle w:val="NoSpacing"/>
                                            <w:spacing w:after="240" w:line="288" w:lineRule="auto"/>
                                            <w:ind w:left="360" w:right="360"/>
                                            <w:rPr>
                                              <w:color w:val="FFFFFF" w:themeColor="background1"/>
                                              <w:sz w:val="28"/>
                                              <w:szCs w:val="28"/>
                                            </w:rPr>
                                          </w:pPr>
                                          <w:r>
                                            <w:rPr>
                                              <w:color w:val="FFFFFF" w:themeColor="background1"/>
                                              <w:sz w:val="28"/>
                                              <w:szCs w:val="28"/>
                                            </w:rPr>
                                            <w:t>4/1/24</w:t>
                                          </w:r>
                                        </w:p>
                                      </w:sdtContent>
                                    </w:sdt>
                                  </w:tc>
                                </w:tr>
                              </w:tbl>
                              <w:p w14:paraId="0A278DE2" w14:textId="77777777" w:rsidR="003354C4" w:rsidRDefault="003354C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6406A73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3354C4" w14:paraId="499287D1" w14:textId="77777777">
                            <w:trPr>
                              <w:trHeight w:val="2376"/>
                            </w:trPr>
                            <w:tc>
                              <w:tcPr>
                                <w:tcW w:w="370" w:type="pct"/>
                                <w:shd w:val="clear" w:color="auto" w:fill="90C226" w:themeFill="accent1"/>
                              </w:tcPr>
                              <w:p w14:paraId="45FE95C3" w14:textId="77777777" w:rsidR="003354C4" w:rsidRDefault="003354C4"/>
                            </w:tc>
                            <w:sdt>
                              <w:sdtPr>
                                <w:rPr>
                                  <w:rFonts w:asciiTheme="majorHAnsi" w:hAnsiTheme="majorHAnsi"/>
                                  <w:color w:val="FFFFFF" w:themeColor="background1"/>
                                  <w:sz w:val="96"/>
                                  <w:szCs w:val="96"/>
                                </w:rPr>
                                <w:alias w:val="Title"/>
                                <w:tag w:val=""/>
                                <w:id w:val="739824258"/>
                                <w:placeholder>
                                  <w:docPart w:val="947E6522A2FA46B5B673E255BFF3B08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2C4237E" w14:textId="515D5852" w:rsidR="003354C4" w:rsidRDefault="003354C4">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APPLE INC.</w:t>
                                    </w:r>
                                  </w:p>
                                </w:tc>
                              </w:sdtContent>
                            </w:sdt>
                          </w:tr>
                          <w:tr w:rsidR="003354C4" w14:paraId="2857CA0D" w14:textId="77777777">
                            <w:trPr>
                              <w:trHeight w:hRule="exact" w:val="648"/>
                            </w:trPr>
                            <w:tc>
                              <w:tcPr>
                                <w:tcW w:w="370" w:type="pct"/>
                                <w:shd w:val="clear" w:color="auto" w:fill="90C226" w:themeFill="accent1"/>
                              </w:tcPr>
                              <w:p w14:paraId="15713E1C" w14:textId="77777777" w:rsidR="003354C4" w:rsidRDefault="003354C4"/>
                            </w:tc>
                            <w:tc>
                              <w:tcPr>
                                <w:tcW w:w="4630" w:type="pct"/>
                                <w:shd w:val="clear" w:color="auto" w:fill="404040" w:themeFill="text1" w:themeFillTint="BF"/>
                                <w:vAlign w:val="bottom"/>
                              </w:tcPr>
                              <w:p w14:paraId="34688234" w14:textId="77777777" w:rsidR="003354C4" w:rsidRDefault="003354C4">
                                <w:pPr>
                                  <w:ind w:left="360" w:right="360"/>
                                  <w:rPr>
                                    <w:color w:val="FFFFFF" w:themeColor="background1"/>
                                    <w:sz w:val="28"/>
                                    <w:szCs w:val="28"/>
                                  </w:rPr>
                                </w:pPr>
                              </w:p>
                            </w:tc>
                          </w:tr>
                          <w:tr w:rsidR="003354C4" w14:paraId="0E2059F4" w14:textId="77777777">
                            <w:tc>
                              <w:tcPr>
                                <w:tcW w:w="370" w:type="pct"/>
                                <w:shd w:val="clear" w:color="auto" w:fill="90C226" w:themeFill="accent1"/>
                              </w:tcPr>
                              <w:p w14:paraId="4AEF214D" w14:textId="77777777" w:rsidR="003354C4" w:rsidRDefault="003354C4"/>
                            </w:tc>
                            <w:tc>
                              <w:tcPr>
                                <w:tcW w:w="4630" w:type="pct"/>
                                <w:shd w:val="clear" w:color="auto" w:fill="404040" w:themeFill="text1" w:themeFillTint="BF"/>
                                <w:vAlign w:val="bottom"/>
                              </w:tcPr>
                              <w:p w14:paraId="52DD52E0" w14:textId="13B7D8BB" w:rsidR="003354C4"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86382B3FBBE0481492C36F77336C475F"/>
                                    </w:placeholder>
                                    <w:dataBinding w:prefixMappings="xmlns:ns0='http://purl.org/dc/elements/1.1/' xmlns:ns1='http://schemas.openxmlformats.org/package/2006/metadata/core-properties' " w:xpath="/ns1:coreProperties[1]/ns0:creator[1]" w:storeItemID="{6C3C8BC8-F283-45AE-878A-BAB7291924A1}"/>
                                    <w:text/>
                                  </w:sdtPr>
                                  <w:sdtContent>
                                    <w:r w:rsidR="003354C4">
                                      <w:rPr>
                                        <w:color w:val="FFFFFF" w:themeColor="background1"/>
                                        <w:sz w:val="28"/>
                                        <w:szCs w:val="28"/>
                                      </w:rPr>
                                      <w:t>Group 2</w:t>
                                    </w:r>
                                  </w:sdtContent>
                                </w:sdt>
                              </w:p>
                              <w:sdt>
                                <w:sdtPr>
                                  <w:rPr>
                                    <w:color w:val="FFFFFF" w:themeColor="background1"/>
                                    <w:sz w:val="28"/>
                                    <w:szCs w:val="28"/>
                                  </w:rPr>
                                  <w:alias w:val="Course title"/>
                                  <w:tag w:val=""/>
                                  <w:id w:val="-15923909"/>
                                  <w:placeholder>
                                    <w:docPart w:val="6041459CE57640469DEF465B30B7284C"/>
                                  </w:placeholder>
                                  <w:dataBinding w:prefixMappings="xmlns:ns0='http://purl.org/dc/elements/1.1/' xmlns:ns1='http://schemas.openxmlformats.org/package/2006/metadata/core-properties' " w:xpath="/ns1:coreProperties[1]/ns1:category[1]" w:storeItemID="{6C3C8BC8-F283-45AE-878A-BAB7291924A1}"/>
                                  <w:text/>
                                </w:sdtPr>
                                <w:sdtContent>
                                  <w:p w14:paraId="0FC1354B" w14:textId="51877EFD" w:rsidR="003354C4" w:rsidRDefault="003354C4">
                                    <w:pPr>
                                      <w:pStyle w:val="NoSpacing"/>
                                      <w:spacing w:line="288" w:lineRule="auto"/>
                                      <w:ind w:left="360" w:right="360"/>
                                      <w:rPr>
                                        <w:color w:val="FFFFFF" w:themeColor="background1"/>
                                        <w:sz w:val="28"/>
                                        <w:szCs w:val="28"/>
                                      </w:rPr>
                                    </w:pPr>
                                    <w:r>
                                      <w:rPr>
                                        <w:color w:val="FFFFFF" w:themeColor="background1"/>
                                        <w:sz w:val="28"/>
                                        <w:szCs w:val="28"/>
                                      </w:rPr>
                                      <w:t>Financial Analytics Project</w:t>
                                    </w:r>
                                  </w:p>
                                </w:sdtContent>
                              </w:sdt>
                              <w:sdt>
                                <w:sdtPr>
                                  <w:rPr>
                                    <w:color w:val="FFFFFF" w:themeColor="background1"/>
                                    <w:sz w:val="28"/>
                                    <w:szCs w:val="28"/>
                                  </w:rPr>
                                  <w:alias w:val="Date"/>
                                  <w:tag w:val=""/>
                                  <w:id w:val="748164578"/>
                                  <w:placeholder>
                                    <w:docPart w:val="FEBDA7AB3AA74DCB93E1DF8A22512AB1"/>
                                  </w:placeholder>
                                  <w:dataBinding w:prefixMappings="xmlns:ns0='http://schemas.microsoft.com/office/2006/coverPageProps' " w:xpath="/ns0:CoverPageProperties[1]/ns0:PublishDate[1]" w:storeItemID="{55AF091B-3C7A-41E3-B477-F2FDAA23CFDA}"/>
                                  <w:date w:fullDate="2024-04-01T00:00:00Z">
                                    <w:dateFormat w:val="M/d/yy"/>
                                    <w:lid w:val="en-US"/>
                                    <w:storeMappedDataAs w:val="dateTime"/>
                                    <w:calendar w:val="gregorian"/>
                                  </w:date>
                                </w:sdtPr>
                                <w:sdtContent>
                                  <w:p w14:paraId="02263087" w14:textId="74866E96" w:rsidR="003354C4" w:rsidRDefault="003354C4">
                                    <w:pPr>
                                      <w:pStyle w:val="NoSpacing"/>
                                      <w:spacing w:after="240" w:line="288" w:lineRule="auto"/>
                                      <w:ind w:left="360" w:right="360"/>
                                      <w:rPr>
                                        <w:color w:val="FFFFFF" w:themeColor="background1"/>
                                        <w:sz w:val="28"/>
                                        <w:szCs w:val="28"/>
                                      </w:rPr>
                                    </w:pPr>
                                    <w:r>
                                      <w:rPr>
                                        <w:color w:val="FFFFFF" w:themeColor="background1"/>
                                        <w:sz w:val="28"/>
                                        <w:szCs w:val="28"/>
                                      </w:rPr>
                                      <w:t>4/1/24</w:t>
                                    </w:r>
                                  </w:p>
                                </w:sdtContent>
                              </w:sdt>
                            </w:tc>
                          </w:tr>
                        </w:tbl>
                        <w:p w14:paraId="0A278DE2" w14:textId="77777777" w:rsidR="003354C4" w:rsidRDefault="003354C4"/>
                      </w:txbxContent>
                    </v:textbox>
                    <w10:wrap anchorx="page" anchory="page"/>
                  </v:shape>
                </w:pict>
              </mc:Fallback>
            </mc:AlternateContent>
          </w:r>
        </w:p>
        <w:p w14:paraId="1E60C598" w14:textId="515B5895" w:rsidR="003354C4" w:rsidRPr="007D6064" w:rsidRDefault="003354C4">
          <w:pPr>
            <w:rPr>
              <w:rFonts w:ascii="Tahoma" w:hAnsi="Tahoma" w:cs="Tahoma"/>
            </w:rPr>
          </w:pPr>
          <w:r w:rsidRPr="007D6064">
            <w:rPr>
              <w:rFonts w:ascii="Tahoma" w:hAnsi="Tahoma" w:cs="Tahoma"/>
            </w:rPr>
            <w:br w:type="page"/>
          </w:r>
        </w:p>
      </w:sdtContent>
    </w:sdt>
    <w:p w14:paraId="24878A5E" w14:textId="648F88C2" w:rsidR="003354C4" w:rsidRPr="007D6064" w:rsidRDefault="003354C4" w:rsidP="008E41FE">
      <w:pPr>
        <w:jc w:val="center"/>
        <w:rPr>
          <w:rFonts w:ascii="Tahoma" w:hAnsi="Tahoma" w:cs="Tahoma"/>
        </w:rPr>
      </w:pPr>
      <w:r w:rsidRPr="007D6064">
        <w:rPr>
          <w:rFonts w:ascii="Tahoma" w:hAnsi="Tahoma" w:cs="Tahoma"/>
        </w:rPr>
        <w:lastRenderedPageBreak/>
        <w:t>REPORT</w:t>
      </w:r>
    </w:p>
    <w:p w14:paraId="38A70CCE" w14:textId="77777777" w:rsidR="00675B60" w:rsidRPr="00675B60" w:rsidRDefault="00675B60" w:rsidP="00675B60">
      <w:pPr>
        <w:rPr>
          <w:rFonts w:ascii="Tahoma" w:hAnsi="Tahoma" w:cs="Tahoma"/>
          <w:b/>
          <w:bCs/>
        </w:rPr>
      </w:pPr>
      <w:r w:rsidRPr="00675B60">
        <w:rPr>
          <w:rFonts w:ascii="Tahoma" w:hAnsi="Tahoma" w:cs="Tahoma"/>
          <w:b/>
          <w:bCs/>
        </w:rPr>
        <w:t>Business Analysis of Apple Inc.</w:t>
      </w:r>
    </w:p>
    <w:p w14:paraId="7BA319FE" w14:textId="77777777" w:rsidR="00675B60" w:rsidRPr="00675B60" w:rsidRDefault="00675B60" w:rsidP="00675B60">
      <w:pPr>
        <w:rPr>
          <w:rFonts w:ascii="Tahoma" w:hAnsi="Tahoma" w:cs="Tahoma"/>
        </w:rPr>
      </w:pPr>
      <w:r w:rsidRPr="00675B60">
        <w:rPr>
          <w:rFonts w:ascii="Tahoma" w:hAnsi="Tahoma" w:cs="Tahoma"/>
        </w:rPr>
        <w:t>Apple Inc., founded in 1976 by Steve Jobs, Steve Wozniak, and Ronald Wayne, is a global technology powerhouse headquartered in Cupertino, California, United States. With a legacy of innovation and iconic products, Apple has revolutionized the consumer electronics industry and redefined the way people interact with technology.</w:t>
      </w:r>
    </w:p>
    <w:p w14:paraId="2205FCC3" w14:textId="77777777" w:rsidR="00F96CC7" w:rsidRDefault="00F96CC7" w:rsidP="00675B60">
      <w:pPr>
        <w:rPr>
          <w:rFonts w:ascii="Tahoma" w:hAnsi="Tahoma" w:cs="Tahoma"/>
          <w:b/>
          <w:bCs/>
        </w:rPr>
      </w:pPr>
    </w:p>
    <w:p w14:paraId="3B291957" w14:textId="020557CD" w:rsidR="00675B60" w:rsidRPr="00675B60" w:rsidRDefault="00675B60" w:rsidP="00675B60">
      <w:pPr>
        <w:rPr>
          <w:rFonts w:ascii="Tahoma" w:hAnsi="Tahoma" w:cs="Tahoma"/>
          <w:b/>
          <w:bCs/>
        </w:rPr>
      </w:pPr>
      <w:r w:rsidRPr="00675B60">
        <w:rPr>
          <w:rFonts w:ascii="Tahoma" w:hAnsi="Tahoma" w:cs="Tahoma"/>
          <w:b/>
          <w:bCs/>
        </w:rPr>
        <w:t>Current Operations</w:t>
      </w:r>
    </w:p>
    <w:p w14:paraId="32BDE005" w14:textId="77777777" w:rsidR="00675B60" w:rsidRPr="00675B60" w:rsidRDefault="00675B60" w:rsidP="00675B60">
      <w:pPr>
        <w:rPr>
          <w:rFonts w:ascii="Tahoma" w:hAnsi="Tahoma" w:cs="Tahoma"/>
        </w:rPr>
      </w:pPr>
      <w:r w:rsidRPr="00675B60">
        <w:rPr>
          <w:rFonts w:ascii="Tahoma" w:hAnsi="Tahoma" w:cs="Tahoma"/>
        </w:rPr>
        <w:t>Apple's operations encompass a wide range of products and services designed to enrich the lives of consumers worldwide:</w:t>
      </w:r>
    </w:p>
    <w:p w14:paraId="3947E93F" w14:textId="77777777" w:rsidR="00675B60" w:rsidRPr="00675B60" w:rsidRDefault="00675B60" w:rsidP="00675B60">
      <w:pPr>
        <w:numPr>
          <w:ilvl w:val="0"/>
          <w:numId w:val="1"/>
        </w:numPr>
        <w:rPr>
          <w:rFonts w:ascii="Tahoma" w:hAnsi="Tahoma" w:cs="Tahoma"/>
          <w:b/>
          <w:bCs/>
        </w:rPr>
      </w:pPr>
      <w:r w:rsidRPr="00675B60">
        <w:rPr>
          <w:rFonts w:ascii="Tahoma" w:hAnsi="Tahoma" w:cs="Tahoma"/>
          <w:b/>
          <w:bCs/>
        </w:rPr>
        <w:t>Hardware Products:</w:t>
      </w:r>
    </w:p>
    <w:p w14:paraId="16CBF007" w14:textId="77777777" w:rsidR="00675B60" w:rsidRPr="00675B60" w:rsidRDefault="00675B60" w:rsidP="00675B60">
      <w:pPr>
        <w:numPr>
          <w:ilvl w:val="1"/>
          <w:numId w:val="1"/>
        </w:numPr>
        <w:rPr>
          <w:rFonts w:ascii="Tahoma" w:hAnsi="Tahoma" w:cs="Tahoma"/>
        </w:rPr>
      </w:pPr>
      <w:r w:rsidRPr="00675B60">
        <w:rPr>
          <w:rFonts w:ascii="Tahoma" w:hAnsi="Tahoma" w:cs="Tahoma"/>
        </w:rPr>
        <w:t>Apple designs, manufactures, and markets a diverse portfolio of hardware products, including the iPhone, iPad, Mac, Apple Watch, and Apple TV.</w:t>
      </w:r>
    </w:p>
    <w:p w14:paraId="28C403BA" w14:textId="77777777" w:rsidR="00675B60" w:rsidRPr="00675B60" w:rsidRDefault="00675B60" w:rsidP="00675B60">
      <w:pPr>
        <w:numPr>
          <w:ilvl w:val="1"/>
          <w:numId w:val="1"/>
        </w:numPr>
        <w:rPr>
          <w:rFonts w:ascii="Tahoma" w:hAnsi="Tahoma" w:cs="Tahoma"/>
        </w:rPr>
      </w:pPr>
      <w:r w:rsidRPr="00675B60">
        <w:rPr>
          <w:rFonts w:ascii="Tahoma" w:hAnsi="Tahoma" w:cs="Tahoma"/>
        </w:rPr>
        <w:t>These devices are known for their sleek design, cutting-edge technology, and seamless integration across the Apple ecosystem.</w:t>
      </w:r>
    </w:p>
    <w:p w14:paraId="02CFBF7B" w14:textId="77777777" w:rsidR="00675B60" w:rsidRPr="00675B60" w:rsidRDefault="00675B60" w:rsidP="00675B60">
      <w:pPr>
        <w:numPr>
          <w:ilvl w:val="0"/>
          <w:numId w:val="1"/>
        </w:numPr>
        <w:rPr>
          <w:rFonts w:ascii="Tahoma" w:hAnsi="Tahoma" w:cs="Tahoma"/>
          <w:b/>
          <w:bCs/>
        </w:rPr>
      </w:pPr>
      <w:r w:rsidRPr="00675B60">
        <w:rPr>
          <w:rFonts w:ascii="Tahoma" w:hAnsi="Tahoma" w:cs="Tahoma"/>
          <w:b/>
          <w:bCs/>
        </w:rPr>
        <w:t>Services:</w:t>
      </w:r>
    </w:p>
    <w:p w14:paraId="76F17B0A" w14:textId="77777777" w:rsidR="00675B60" w:rsidRPr="00675B60" w:rsidRDefault="00675B60" w:rsidP="00675B60">
      <w:pPr>
        <w:numPr>
          <w:ilvl w:val="1"/>
          <w:numId w:val="1"/>
        </w:numPr>
        <w:rPr>
          <w:rFonts w:ascii="Tahoma" w:hAnsi="Tahoma" w:cs="Tahoma"/>
        </w:rPr>
      </w:pPr>
      <w:r w:rsidRPr="00675B60">
        <w:rPr>
          <w:rFonts w:ascii="Tahoma" w:hAnsi="Tahoma" w:cs="Tahoma"/>
        </w:rPr>
        <w:t>In addition to hardware, Apple offers a variety of services, such as iCloud, Apple Music, Apple Arcade, Apple TV+, and AppleCare.</w:t>
      </w:r>
    </w:p>
    <w:p w14:paraId="290A3908" w14:textId="77777777" w:rsidR="00675B60" w:rsidRPr="00675B60" w:rsidRDefault="00675B60" w:rsidP="00675B60">
      <w:pPr>
        <w:numPr>
          <w:ilvl w:val="1"/>
          <w:numId w:val="1"/>
        </w:numPr>
        <w:rPr>
          <w:rFonts w:ascii="Tahoma" w:hAnsi="Tahoma" w:cs="Tahoma"/>
        </w:rPr>
      </w:pPr>
      <w:r w:rsidRPr="00675B60">
        <w:rPr>
          <w:rFonts w:ascii="Tahoma" w:hAnsi="Tahoma" w:cs="Tahoma"/>
        </w:rPr>
        <w:t>These services provide users with access to digital content, cloud storage, and support services, enhancing the overall Apple experience.</w:t>
      </w:r>
    </w:p>
    <w:p w14:paraId="083A9ED5" w14:textId="77777777" w:rsidR="00675B60" w:rsidRPr="00675B60" w:rsidRDefault="00675B60" w:rsidP="00675B60">
      <w:pPr>
        <w:numPr>
          <w:ilvl w:val="0"/>
          <w:numId w:val="1"/>
        </w:numPr>
        <w:rPr>
          <w:rFonts w:ascii="Tahoma" w:hAnsi="Tahoma" w:cs="Tahoma"/>
          <w:b/>
          <w:bCs/>
        </w:rPr>
      </w:pPr>
      <w:r w:rsidRPr="00675B60">
        <w:rPr>
          <w:rFonts w:ascii="Tahoma" w:hAnsi="Tahoma" w:cs="Tahoma"/>
          <w:b/>
          <w:bCs/>
        </w:rPr>
        <w:t>Software Ecosystem:</w:t>
      </w:r>
    </w:p>
    <w:p w14:paraId="4BEC0A53" w14:textId="77777777" w:rsidR="00675B60" w:rsidRPr="00675B60" w:rsidRDefault="00675B60" w:rsidP="00675B60">
      <w:pPr>
        <w:numPr>
          <w:ilvl w:val="1"/>
          <w:numId w:val="1"/>
        </w:numPr>
        <w:rPr>
          <w:rFonts w:ascii="Tahoma" w:hAnsi="Tahoma" w:cs="Tahoma"/>
        </w:rPr>
      </w:pPr>
      <w:r w:rsidRPr="00675B60">
        <w:rPr>
          <w:rFonts w:ascii="Tahoma" w:hAnsi="Tahoma" w:cs="Tahoma"/>
        </w:rPr>
        <w:t xml:space="preserve">Apple's operating systems, including iOS, macOS, </w:t>
      </w:r>
      <w:proofErr w:type="spellStart"/>
      <w:r w:rsidRPr="00675B60">
        <w:rPr>
          <w:rFonts w:ascii="Tahoma" w:hAnsi="Tahoma" w:cs="Tahoma"/>
        </w:rPr>
        <w:t>watchOS</w:t>
      </w:r>
      <w:proofErr w:type="spellEnd"/>
      <w:r w:rsidRPr="00675B60">
        <w:rPr>
          <w:rFonts w:ascii="Tahoma" w:hAnsi="Tahoma" w:cs="Tahoma"/>
        </w:rPr>
        <w:t xml:space="preserve">, and </w:t>
      </w:r>
      <w:proofErr w:type="spellStart"/>
      <w:r w:rsidRPr="00675B60">
        <w:rPr>
          <w:rFonts w:ascii="Tahoma" w:hAnsi="Tahoma" w:cs="Tahoma"/>
        </w:rPr>
        <w:t>tvOS</w:t>
      </w:r>
      <w:proofErr w:type="spellEnd"/>
      <w:r w:rsidRPr="00675B60">
        <w:rPr>
          <w:rFonts w:ascii="Tahoma" w:hAnsi="Tahoma" w:cs="Tahoma"/>
        </w:rPr>
        <w:t>, form the foundation of its software ecosystem.</w:t>
      </w:r>
    </w:p>
    <w:p w14:paraId="3954EDCA" w14:textId="77777777" w:rsidR="00675B60" w:rsidRPr="00675B60" w:rsidRDefault="00675B60" w:rsidP="00675B60">
      <w:pPr>
        <w:numPr>
          <w:ilvl w:val="1"/>
          <w:numId w:val="1"/>
        </w:numPr>
        <w:rPr>
          <w:rFonts w:ascii="Tahoma" w:hAnsi="Tahoma" w:cs="Tahoma"/>
        </w:rPr>
      </w:pPr>
      <w:r w:rsidRPr="00675B60">
        <w:rPr>
          <w:rFonts w:ascii="Tahoma" w:hAnsi="Tahoma" w:cs="Tahoma"/>
        </w:rPr>
        <w:t>This ecosystem fosters a seamless user experience and enables interoperability between Apple devices.</w:t>
      </w:r>
    </w:p>
    <w:p w14:paraId="7E75A344" w14:textId="77777777" w:rsidR="00F96CC7" w:rsidRDefault="00F96CC7" w:rsidP="00675B60">
      <w:pPr>
        <w:rPr>
          <w:rFonts w:ascii="Tahoma" w:hAnsi="Tahoma" w:cs="Tahoma"/>
          <w:b/>
          <w:bCs/>
        </w:rPr>
      </w:pPr>
    </w:p>
    <w:p w14:paraId="0A333DD8" w14:textId="3D7CF952" w:rsidR="00675B60" w:rsidRPr="00675B60" w:rsidRDefault="00675B60" w:rsidP="00675B60">
      <w:pPr>
        <w:rPr>
          <w:rFonts w:ascii="Tahoma" w:hAnsi="Tahoma" w:cs="Tahoma"/>
          <w:b/>
          <w:bCs/>
        </w:rPr>
      </w:pPr>
      <w:r w:rsidRPr="00675B60">
        <w:rPr>
          <w:rFonts w:ascii="Tahoma" w:hAnsi="Tahoma" w:cs="Tahoma"/>
          <w:b/>
          <w:bCs/>
        </w:rPr>
        <w:t>Macroeconomic Environment</w:t>
      </w:r>
    </w:p>
    <w:p w14:paraId="6AD84AAD" w14:textId="77777777" w:rsidR="00675B60" w:rsidRPr="00675B60" w:rsidRDefault="00675B60" w:rsidP="00675B60">
      <w:pPr>
        <w:rPr>
          <w:rFonts w:ascii="Tahoma" w:hAnsi="Tahoma" w:cs="Tahoma"/>
        </w:rPr>
      </w:pPr>
      <w:r w:rsidRPr="00675B60">
        <w:rPr>
          <w:rFonts w:ascii="Tahoma" w:hAnsi="Tahoma" w:cs="Tahoma"/>
        </w:rPr>
        <w:t>Apple has achieved remarkable growth through a combination of product innovation, strategic partnerships, and global expansion. The company's emphasis on research and development has resulted in groundbreaking technologies and products that have reshaped entire industries.</w:t>
      </w:r>
    </w:p>
    <w:p w14:paraId="58963E8A" w14:textId="77777777" w:rsidR="00F96CC7" w:rsidRDefault="00F96CC7" w:rsidP="00675B60">
      <w:pPr>
        <w:rPr>
          <w:rFonts w:ascii="Tahoma" w:hAnsi="Tahoma" w:cs="Tahoma"/>
          <w:b/>
          <w:bCs/>
        </w:rPr>
      </w:pPr>
    </w:p>
    <w:p w14:paraId="2CEA5256" w14:textId="77777777" w:rsidR="00F96CC7" w:rsidRDefault="00F96CC7" w:rsidP="00675B60">
      <w:pPr>
        <w:rPr>
          <w:rFonts w:ascii="Tahoma" w:hAnsi="Tahoma" w:cs="Tahoma"/>
          <w:b/>
          <w:bCs/>
        </w:rPr>
      </w:pPr>
    </w:p>
    <w:p w14:paraId="342A5741" w14:textId="77777777" w:rsidR="00F96CC7" w:rsidRDefault="00F96CC7" w:rsidP="00675B60">
      <w:pPr>
        <w:rPr>
          <w:rFonts w:ascii="Tahoma" w:hAnsi="Tahoma" w:cs="Tahoma"/>
          <w:b/>
          <w:bCs/>
        </w:rPr>
      </w:pPr>
    </w:p>
    <w:p w14:paraId="06B5CC6E" w14:textId="34657AF2" w:rsidR="00675B60" w:rsidRPr="00675B60" w:rsidRDefault="00675B60" w:rsidP="00675B60">
      <w:pPr>
        <w:rPr>
          <w:rFonts w:ascii="Tahoma" w:hAnsi="Tahoma" w:cs="Tahoma"/>
          <w:b/>
          <w:bCs/>
        </w:rPr>
      </w:pPr>
      <w:r w:rsidRPr="00675B60">
        <w:rPr>
          <w:rFonts w:ascii="Tahoma" w:hAnsi="Tahoma" w:cs="Tahoma"/>
          <w:b/>
          <w:bCs/>
        </w:rPr>
        <w:lastRenderedPageBreak/>
        <w:t>Industrial Competitors</w:t>
      </w:r>
    </w:p>
    <w:p w14:paraId="07705BED" w14:textId="77777777" w:rsidR="00675B60" w:rsidRPr="00675B60" w:rsidRDefault="00675B60" w:rsidP="00675B60">
      <w:pPr>
        <w:rPr>
          <w:rFonts w:ascii="Tahoma" w:hAnsi="Tahoma" w:cs="Tahoma"/>
        </w:rPr>
      </w:pPr>
      <w:r w:rsidRPr="00675B60">
        <w:rPr>
          <w:rFonts w:ascii="Tahoma" w:hAnsi="Tahoma" w:cs="Tahoma"/>
        </w:rPr>
        <w:t>Apple operates in a fiercely competitive landscape, facing competition from both traditional rivals and emerging players:</w:t>
      </w:r>
    </w:p>
    <w:p w14:paraId="7C833CE7" w14:textId="77777777" w:rsidR="00675B60" w:rsidRPr="00675B60" w:rsidRDefault="00675B60" w:rsidP="00675B60">
      <w:pPr>
        <w:numPr>
          <w:ilvl w:val="0"/>
          <w:numId w:val="2"/>
        </w:numPr>
        <w:rPr>
          <w:rFonts w:ascii="Tahoma" w:hAnsi="Tahoma" w:cs="Tahoma"/>
          <w:b/>
          <w:bCs/>
        </w:rPr>
      </w:pPr>
      <w:r w:rsidRPr="00675B60">
        <w:rPr>
          <w:rFonts w:ascii="Tahoma" w:hAnsi="Tahoma" w:cs="Tahoma"/>
          <w:b/>
          <w:bCs/>
        </w:rPr>
        <w:t>Smartphone Market:</w:t>
      </w:r>
    </w:p>
    <w:p w14:paraId="51C477C2" w14:textId="77777777" w:rsidR="00675B60" w:rsidRPr="00675B60" w:rsidRDefault="00675B60" w:rsidP="00675B60">
      <w:pPr>
        <w:numPr>
          <w:ilvl w:val="1"/>
          <w:numId w:val="2"/>
        </w:numPr>
        <w:rPr>
          <w:rFonts w:ascii="Tahoma" w:hAnsi="Tahoma" w:cs="Tahoma"/>
        </w:rPr>
      </w:pPr>
      <w:r w:rsidRPr="00675B60">
        <w:rPr>
          <w:rFonts w:ascii="Tahoma" w:hAnsi="Tahoma" w:cs="Tahoma"/>
        </w:rPr>
        <w:t>Key competitors in the smartphone market include Samsung Electronics, Huawei Technologies, and Xiaomi Corporation.</w:t>
      </w:r>
    </w:p>
    <w:p w14:paraId="79332178" w14:textId="77777777" w:rsidR="00675B60" w:rsidRPr="00675B60" w:rsidRDefault="00675B60" w:rsidP="00675B60">
      <w:pPr>
        <w:numPr>
          <w:ilvl w:val="1"/>
          <w:numId w:val="2"/>
        </w:numPr>
        <w:rPr>
          <w:rFonts w:ascii="Tahoma" w:hAnsi="Tahoma" w:cs="Tahoma"/>
        </w:rPr>
      </w:pPr>
      <w:r w:rsidRPr="00675B60">
        <w:rPr>
          <w:rFonts w:ascii="Tahoma" w:hAnsi="Tahoma" w:cs="Tahoma"/>
        </w:rPr>
        <w:t>Apple competes based on product differentiation, brand loyalty, and ecosystem lock-in.</w:t>
      </w:r>
    </w:p>
    <w:p w14:paraId="3997EA30" w14:textId="77777777" w:rsidR="00675B60" w:rsidRPr="00675B60" w:rsidRDefault="00675B60" w:rsidP="00675B60">
      <w:pPr>
        <w:numPr>
          <w:ilvl w:val="0"/>
          <w:numId w:val="2"/>
        </w:numPr>
        <w:rPr>
          <w:rFonts w:ascii="Tahoma" w:hAnsi="Tahoma" w:cs="Tahoma"/>
          <w:b/>
          <w:bCs/>
        </w:rPr>
      </w:pPr>
      <w:r w:rsidRPr="00675B60">
        <w:rPr>
          <w:rFonts w:ascii="Tahoma" w:hAnsi="Tahoma" w:cs="Tahoma"/>
          <w:b/>
          <w:bCs/>
        </w:rPr>
        <w:t>Personal Computing:</w:t>
      </w:r>
    </w:p>
    <w:p w14:paraId="13FFF501" w14:textId="77777777" w:rsidR="00675B60" w:rsidRPr="00675B60" w:rsidRDefault="00675B60" w:rsidP="00675B60">
      <w:pPr>
        <w:numPr>
          <w:ilvl w:val="1"/>
          <w:numId w:val="2"/>
        </w:numPr>
        <w:rPr>
          <w:rFonts w:ascii="Tahoma" w:hAnsi="Tahoma" w:cs="Tahoma"/>
        </w:rPr>
      </w:pPr>
      <w:r w:rsidRPr="00675B60">
        <w:rPr>
          <w:rFonts w:ascii="Tahoma" w:hAnsi="Tahoma" w:cs="Tahoma"/>
        </w:rPr>
        <w:t>In the personal computing space, Apple competes with companies like Microsoft Corporation and Dell Technologies.</w:t>
      </w:r>
    </w:p>
    <w:p w14:paraId="5D66D85D" w14:textId="77777777" w:rsidR="00675B60" w:rsidRPr="00675B60" w:rsidRDefault="00675B60" w:rsidP="00675B60">
      <w:pPr>
        <w:numPr>
          <w:ilvl w:val="1"/>
          <w:numId w:val="2"/>
        </w:numPr>
        <w:rPr>
          <w:rFonts w:ascii="Tahoma" w:hAnsi="Tahoma" w:cs="Tahoma"/>
        </w:rPr>
      </w:pPr>
      <w:r w:rsidRPr="00675B60">
        <w:rPr>
          <w:rFonts w:ascii="Tahoma" w:hAnsi="Tahoma" w:cs="Tahoma"/>
        </w:rPr>
        <w:t>Apple's focus on design, performance, and user experience sets it apart in this segment.</w:t>
      </w:r>
    </w:p>
    <w:p w14:paraId="4D87600B" w14:textId="77777777" w:rsidR="00675B60" w:rsidRPr="00675B60" w:rsidRDefault="00675B60" w:rsidP="00675B60">
      <w:pPr>
        <w:numPr>
          <w:ilvl w:val="0"/>
          <w:numId w:val="2"/>
        </w:numPr>
        <w:rPr>
          <w:rFonts w:ascii="Tahoma" w:hAnsi="Tahoma" w:cs="Tahoma"/>
          <w:b/>
          <w:bCs/>
        </w:rPr>
      </w:pPr>
      <w:r w:rsidRPr="00675B60">
        <w:rPr>
          <w:rFonts w:ascii="Tahoma" w:hAnsi="Tahoma" w:cs="Tahoma"/>
          <w:b/>
          <w:bCs/>
        </w:rPr>
        <w:t>Services and Entertainment:</w:t>
      </w:r>
    </w:p>
    <w:p w14:paraId="5D7C744A" w14:textId="77777777" w:rsidR="00675B60" w:rsidRPr="00675B60" w:rsidRDefault="00675B60" w:rsidP="00675B60">
      <w:pPr>
        <w:numPr>
          <w:ilvl w:val="1"/>
          <w:numId w:val="2"/>
        </w:numPr>
        <w:rPr>
          <w:rFonts w:ascii="Tahoma" w:hAnsi="Tahoma" w:cs="Tahoma"/>
        </w:rPr>
      </w:pPr>
      <w:r w:rsidRPr="00675B60">
        <w:rPr>
          <w:rFonts w:ascii="Tahoma" w:hAnsi="Tahoma" w:cs="Tahoma"/>
        </w:rPr>
        <w:t>Apple faces competition from companies like Google (with its Android ecosystem), Spotify Technology, and Netflix Inc. in the services and entertainment space.</w:t>
      </w:r>
    </w:p>
    <w:p w14:paraId="0A86231D" w14:textId="77777777" w:rsidR="00675B60" w:rsidRPr="00675B60" w:rsidRDefault="00675B60" w:rsidP="00675B60">
      <w:pPr>
        <w:numPr>
          <w:ilvl w:val="1"/>
          <w:numId w:val="2"/>
        </w:numPr>
        <w:rPr>
          <w:rFonts w:ascii="Tahoma" w:hAnsi="Tahoma" w:cs="Tahoma"/>
        </w:rPr>
      </w:pPr>
      <w:r w:rsidRPr="00675B60">
        <w:rPr>
          <w:rFonts w:ascii="Tahoma" w:hAnsi="Tahoma" w:cs="Tahoma"/>
        </w:rPr>
        <w:t>Differentiation through exclusive content, user experience, and ecosystem integration are key competitive strategies.</w:t>
      </w:r>
    </w:p>
    <w:p w14:paraId="69B58629" w14:textId="77777777" w:rsidR="00F96CC7" w:rsidRDefault="00F96CC7" w:rsidP="00675B60">
      <w:pPr>
        <w:rPr>
          <w:rFonts w:ascii="Tahoma" w:hAnsi="Tahoma" w:cs="Tahoma"/>
          <w:b/>
          <w:bCs/>
        </w:rPr>
      </w:pPr>
    </w:p>
    <w:p w14:paraId="431D189A" w14:textId="77777777" w:rsidR="00F96CC7" w:rsidRDefault="00F96CC7" w:rsidP="00675B60">
      <w:pPr>
        <w:rPr>
          <w:rFonts w:ascii="Tahoma" w:hAnsi="Tahoma" w:cs="Tahoma"/>
          <w:b/>
          <w:bCs/>
        </w:rPr>
      </w:pPr>
    </w:p>
    <w:p w14:paraId="62884F95" w14:textId="77777777" w:rsidR="00F96CC7" w:rsidRDefault="00F96CC7" w:rsidP="00675B60">
      <w:pPr>
        <w:rPr>
          <w:rFonts w:ascii="Tahoma" w:hAnsi="Tahoma" w:cs="Tahoma"/>
          <w:b/>
          <w:bCs/>
        </w:rPr>
      </w:pPr>
    </w:p>
    <w:p w14:paraId="56FDB60C" w14:textId="4E45B046" w:rsidR="00675B60" w:rsidRPr="00675B60" w:rsidRDefault="00675B60" w:rsidP="00675B60">
      <w:pPr>
        <w:rPr>
          <w:rFonts w:ascii="Tahoma" w:hAnsi="Tahoma" w:cs="Tahoma"/>
          <w:b/>
          <w:bCs/>
        </w:rPr>
      </w:pPr>
      <w:r w:rsidRPr="00675B60">
        <w:rPr>
          <w:rFonts w:ascii="Tahoma" w:hAnsi="Tahoma" w:cs="Tahoma"/>
          <w:b/>
          <w:bCs/>
        </w:rPr>
        <w:t>Market Share Summary</w:t>
      </w:r>
    </w:p>
    <w:p w14:paraId="2DEEABB4" w14:textId="100BFA80" w:rsidR="007D6064" w:rsidRPr="007D6064" w:rsidRDefault="00675B60" w:rsidP="003354C4">
      <w:pPr>
        <w:rPr>
          <w:rFonts w:ascii="Tahoma" w:hAnsi="Tahoma" w:cs="Tahoma"/>
        </w:rPr>
      </w:pPr>
      <w:r w:rsidRPr="00675B60">
        <w:rPr>
          <w:rFonts w:ascii="Tahoma" w:hAnsi="Tahoma" w:cs="Tahoma"/>
        </w:rPr>
        <w:t>Apple commands a significant market share across its key product categories, including smartphones, tablets, and personal computers. The company's strong brand reputation, ecosystem lock-in, and loyal customer base contribute to its market dominance. By continually pushing the boundaries of innovation and delivering products and services that resonate with consumers, Apple maintains its position as a leader in the technology industry.</w:t>
      </w:r>
    </w:p>
    <w:p w14:paraId="25755CEA" w14:textId="77777777" w:rsidR="00F96CC7" w:rsidRDefault="00F96CC7" w:rsidP="003354C4">
      <w:pPr>
        <w:rPr>
          <w:rFonts w:ascii="Tahoma" w:hAnsi="Tahoma" w:cs="Tahoma"/>
          <w:b/>
          <w:bCs/>
        </w:rPr>
      </w:pPr>
    </w:p>
    <w:p w14:paraId="4920A2FD" w14:textId="77777777" w:rsidR="00F96CC7" w:rsidRDefault="00F96CC7" w:rsidP="003354C4">
      <w:pPr>
        <w:rPr>
          <w:rFonts w:ascii="Tahoma" w:hAnsi="Tahoma" w:cs="Tahoma"/>
          <w:b/>
          <w:bCs/>
        </w:rPr>
      </w:pPr>
    </w:p>
    <w:p w14:paraId="65E25F20" w14:textId="77777777" w:rsidR="00F96CC7" w:rsidRDefault="00F96CC7" w:rsidP="003354C4">
      <w:pPr>
        <w:rPr>
          <w:rFonts w:ascii="Tahoma" w:hAnsi="Tahoma" w:cs="Tahoma"/>
          <w:b/>
          <w:bCs/>
        </w:rPr>
      </w:pPr>
    </w:p>
    <w:p w14:paraId="14267261" w14:textId="77777777" w:rsidR="00F96CC7" w:rsidRDefault="00F96CC7" w:rsidP="003354C4">
      <w:pPr>
        <w:rPr>
          <w:rFonts w:ascii="Tahoma" w:hAnsi="Tahoma" w:cs="Tahoma"/>
          <w:b/>
          <w:bCs/>
        </w:rPr>
      </w:pPr>
    </w:p>
    <w:p w14:paraId="456A9CD2" w14:textId="77777777" w:rsidR="00F96CC7" w:rsidRDefault="00F96CC7" w:rsidP="003354C4">
      <w:pPr>
        <w:rPr>
          <w:rFonts w:ascii="Tahoma" w:hAnsi="Tahoma" w:cs="Tahoma"/>
          <w:b/>
          <w:bCs/>
        </w:rPr>
      </w:pPr>
    </w:p>
    <w:p w14:paraId="2DF7575B" w14:textId="21FEC224" w:rsidR="004859FB" w:rsidRPr="007D6064" w:rsidRDefault="004859FB" w:rsidP="003354C4">
      <w:pPr>
        <w:rPr>
          <w:rFonts w:ascii="Tahoma" w:hAnsi="Tahoma" w:cs="Tahoma"/>
          <w:b/>
          <w:bCs/>
        </w:rPr>
      </w:pPr>
      <w:r w:rsidRPr="007D6064">
        <w:rPr>
          <w:rFonts w:ascii="Tahoma" w:hAnsi="Tahoma" w:cs="Tahoma"/>
          <w:b/>
          <w:bCs/>
        </w:rPr>
        <w:lastRenderedPageBreak/>
        <w:t>Ratio and Valuation Analysis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2038"/>
        <w:gridCol w:w="5055"/>
        <w:gridCol w:w="1336"/>
      </w:tblGrid>
      <w:tr w:rsidR="004859FB" w:rsidRPr="007D6064" w14:paraId="56B2DD35" w14:textId="77777777" w:rsidTr="00944461">
        <w:trPr>
          <w:trHeight w:val="268"/>
        </w:trPr>
        <w:tc>
          <w:tcPr>
            <w:tcW w:w="734" w:type="dxa"/>
          </w:tcPr>
          <w:p w14:paraId="165571AE" w14:textId="77777777" w:rsidR="004859FB" w:rsidRPr="007D6064" w:rsidRDefault="004859FB" w:rsidP="00944461">
            <w:pPr>
              <w:pStyle w:val="TableParagraph"/>
              <w:spacing w:line="248" w:lineRule="exact"/>
              <w:ind w:right="94"/>
              <w:jc w:val="right"/>
            </w:pPr>
            <w:bookmarkStart w:id="0" w:name="_Hlk163682054"/>
            <w:r w:rsidRPr="007D6064">
              <w:rPr>
                <w:w w:val="93"/>
              </w:rPr>
              <w:t>1</w:t>
            </w:r>
          </w:p>
        </w:tc>
        <w:tc>
          <w:tcPr>
            <w:tcW w:w="2038" w:type="dxa"/>
          </w:tcPr>
          <w:p w14:paraId="66F6CD77" w14:textId="77777777" w:rsidR="004859FB" w:rsidRPr="007D6064" w:rsidRDefault="004859FB" w:rsidP="00944461">
            <w:pPr>
              <w:pStyle w:val="TableParagraph"/>
              <w:spacing w:line="248" w:lineRule="exact"/>
              <w:ind w:left="108"/>
            </w:pPr>
            <w:r w:rsidRPr="007D6064">
              <w:rPr>
                <w:w w:val="90"/>
              </w:rPr>
              <w:t>Profitability</w:t>
            </w:r>
            <w:r w:rsidRPr="007D6064">
              <w:rPr>
                <w:spacing w:val="-16"/>
                <w:w w:val="90"/>
              </w:rPr>
              <w:t xml:space="preserve"> </w:t>
            </w:r>
            <w:r w:rsidRPr="007D6064">
              <w:rPr>
                <w:w w:val="90"/>
              </w:rPr>
              <w:t>Ratios:</w:t>
            </w:r>
          </w:p>
        </w:tc>
        <w:tc>
          <w:tcPr>
            <w:tcW w:w="5055" w:type="dxa"/>
          </w:tcPr>
          <w:p w14:paraId="25354358" w14:textId="77777777" w:rsidR="004859FB" w:rsidRPr="007D6064" w:rsidRDefault="004859FB" w:rsidP="00944461">
            <w:pPr>
              <w:pStyle w:val="TableParagraph"/>
            </w:pPr>
          </w:p>
        </w:tc>
        <w:tc>
          <w:tcPr>
            <w:tcW w:w="1336" w:type="dxa"/>
          </w:tcPr>
          <w:p w14:paraId="07655D24" w14:textId="77777777" w:rsidR="004859FB" w:rsidRPr="007D6064" w:rsidRDefault="004859FB" w:rsidP="00944461">
            <w:pPr>
              <w:pStyle w:val="TableParagraph"/>
            </w:pPr>
          </w:p>
        </w:tc>
      </w:tr>
      <w:tr w:rsidR="004859FB" w:rsidRPr="007D6064" w14:paraId="365C27F7" w14:textId="77777777" w:rsidTr="00944461">
        <w:trPr>
          <w:trHeight w:val="268"/>
        </w:trPr>
        <w:tc>
          <w:tcPr>
            <w:tcW w:w="734" w:type="dxa"/>
          </w:tcPr>
          <w:p w14:paraId="6EA0E627" w14:textId="77777777" w:rsidR="004859FB" w:rsidRPr="007D6064" w:rsidRDefault="004859FB" w:rsidP="00944461">
            <w:pPr>
              <w:pStyle w:val="TableParagraph"/>
            </w:pPr>
          </w:p>
        </w:tc>
        <w:tc>
          <w:tcPr>
            <w:tcW w:w="2038" w:type="dxa"/>
          </w:tcPr>
          <w:p w14:paraId="2DAA5297" w14:textId="77777777" w:rsidR="004859FB" w:rsidRPr="007D6064" w:rsidRDefault="004859FB" w:rsidP="00944461">
            <w:pPr>
              <w:pStyle w:val="TableParagraph"/>
              <w:spacing w:line="248" w:lineRule="exact"/>
              <w:ind w:left="108"/>
            </w:pPr>
            <w:r w:rsidRPr="007D6064">
              <w:rPr>
                <w:w w:val="90"/>
              </w:rPr>
              <w:t>Net</w:t>
            </w:r>
            <w:r w:rsidRPr="007D6064">
              <w:rPr>
                <w:spacing w:val="-19"/>
                <w:w w:val="90"/>
              </w:rPr>
              <w:t xml:space="preserve"> </w:t>
            </w:r>
            <w:r w:rsidRPr="007D6064">
              <w:rPr>
                <w:w w:val="90"/>
              </w:rPr>
              <w:t>Profit</w:t>
            </w:r>
            <w:r w:rsidRPr="007D6064">
              <w:rPr>
                <w:spacing w:val="-18"/>
                <w:w w:val="90"/>
              </w:rPr>
              <w:t xml:space="preserve"> </w:t>
            </w:r>
            <w:r w:rsidRPr="007D6064">
              <w:rPr>
                <w:w w:val="90"/>
              </w:rPr>
              <w:t>Margin</w:t>
            </w:r>
          </w:p>
        </w:tc>
        <w:tc>
          <w:tcPr>
            <w:tcW w:w="5055" w:type="dxa"/>
          </w:tcPr>
          <w:p w14:paraId="7A2F3E66" w14:textId="77777777" w:rsidR="004859FB" w:rsidRPr="007D6064" w:rsidRDefault="004859FB" w:rsidP="00944461">
            <w:pPr>
              <w:pStyle w:val="TableParagraph"/>
              <w:spacing w:line="248" w:lineRule="exact"/>
              <w:ind w:left="108"/>
            </w:pPr>
            <w:r w:rsidRPr="007D6064">
              <w:rPr>
                <w:w w:val="90"/>
              </w:rPr>
              <w:t>(Net</w:t>
            </w:r>
            <w:r w:rsidRPr="007D6064">
              <w:rPr>
                <w:spacing w:val="-22"/>
                <w:w w:val="90"/>
              </w:rPr>
              <w:t xml:space="preserve"> </w:t>
            </w:r>
            <w:r w:rsidRPr="007D6064">
              <w:rPr>
                <w:w w:val="90"/>
              </w:rPr>
              <w:t>Income</w:t>
            </w:r>
            <w:r w:rsidRPr="007D6064">
              <w:rPr>
                <w:spacing w:val="-21"/>
                <w:w w:val="90"/>
              </w:rPr>
              <w:t xml:space="preserve"> </w:t>
            </w:r>
            <w:r w:rsidRPr="007D6064">
              <w:rPr>
                <w:w w:val="90"/>
              </w:rPr>
              <w:t>/</w:t>
            </w:r>
            <w:r w:rsidRPr="007D6064">
              <w:rPr>
                <w:spacing w:val="-21"/>
                <w:w w:val="90"/>
              </w:rPr>
              <w:t xml:space="preserve"> </w:t>
            </w:r>
            <w:r w:rsidRPr="007D6064">
              <w:rPr>
                <w:w w:val="90"/>
              </w:rPr>
              <w:t>Revenue)</w:t>
            </w:r>
            <w:r w:rsidRPr="007D6064">
              <w:rPr>
                <w:spacing w:val="-24"/>
                <w:w w:val="90"/>
              </w:rPr>
              <w:t xml:space="preserve"> </w:t>
            </w:r>
            <w:r w:rsidRPr="007D6064">
              <w:rPr>
                <w:w w:val="90"/>
              </w:rPr>
              <w:t>*</w:t>
            </w:r>
            <w:r w:rsidRPr="007D6064">
              <w:rPr>
                <w:spacing w:val="-21"/>
                <w:w w:val="90"/>
              </w:rPr>
              <w:t xml:space="preserve"> </w:t>
            </w:r>
            <w:r w:rsidRPr="007D6064">
              <w:rPr>
                <w:w w:val="90"/>
              </w:rPr>
              <w:t>100</w:t>
            </w:r>
          </w:p>
        </w:tc>
        <w:tc>
          <w:tcPr>
            <w:tcW w:w="1336" w:type="dxa"/>
          </w:tcPr>
          <w:p w14:paraId="0179BD34" w14:textId="1D88150C" w:rsidR="004859FB" w:rsidRPr="007D6064" w:rsidRDefault="004859FB" w:rsidP="00944461">
            <w:pPr>
              <w:pStyle w:val="TableParagraph"/>
              <w:spacing w:line="248" w:lineRule="exact"/>
              <w:ind w:right="95"/>
              <w:jc w:val="right"/>
            </w:pPr>
            <w:r w:rsidRPr="007D6064">
              <w:t>25.30%</w:t>
            </w:r>
          </w:p>
        </w:tc>
      </w:tr>
      <w:tr w:rsidR="004859FB" w:rsidRPr="007D6064" w14:paraId="4332DC8E" w14:textId="77777777" w:rsidTr="00944461">
        <w:trPr>
          <w:trHeight w:val="537"/>
        </w:trPr>
        <w:tc>
          <w:tcPr>
            <w:tcW w:w="734" w:type="dxa"/>
          </w:tcPr>
          <w:p w14:paraId="087611CA" w14:textId="77777777" w:rsidR="004859FB" w:rsidRPr="007D6064" w:rsidRDefault="004859FB" w:rsidP="00944461">
            <w:pPr>
              <w:pStyle w:val="TableParagraph"/>
            </w:pPr>
          </w:p>
        </w:tc>
        <w:tc>
          <w:tcPr>
            <w:tcW w:w="2038" w:type="dxa"/>
          </w:tcPr>
          <w:p w14:paraId="34953645" w14:textId="77777777" w:rsidR="004859FB" w:rsidRPr="007D6064" w:rsidRDefault="004859FB" w:rsidP="00944461">
            <w:pPr>
              <w:pStyle w:val="TableParagraph"/>
              <w:spacing w:line="252" w:lineRule="exact"/>
              <w:ind w:left="108"/>
            </w:pPr>
            <w:r w:rsidRPr="007D6064">
              <w:rPr>
                <w:w w:val="90"/>
              </w:rPr>
              <w:t>Return</w:t>
            </w:r>
            <w:r w:rsidRPr="007D6064">
              <w:rPr>
                <w:spacing w:val="-14"/>
                <w:w w:val="90"/>
              </w:rPr>
              <w:t xml:space="preserve"> </w:t>
            </w:r>
            <w:r w:rsidRPr="007D6064">
              <w:rPr>
                <w:w w:val="90"/>
              </w:rPr>
              <w:t>on</w:t>
            </w:r>
            <w:r w:rsidRPr="007D6064">
              <w:rPr>
                <w:spacing w:val="-13"/>
                <w:w w:val="90"/>
              </w:rPr>
              <w:t xml:space="preserve"> </w:t>
            </w:r>
            <w:r w:rsidRPr="007D6064">
              <w:rPr>
                <w:w w:val="90"/>
              </w:rPr>
              <w:t>Assets</w:t>
            </w:r>
          </w:p>
          <w:p w14:paraId="5B4FBE45" w14:textId="77777777" w:rsidR="004859FB" w:rsidRPr="007D6064" w:rsidRDefault="004859FB" w:rsidP="00944461">
            <w:pPr>
              <w:pStyle w:val="TableParagraph"/>
              <w:spacing w:before="3" w:line="262" w:lineRule="exact"/>
              <w:ind w:left="108"/>
            </w:pPr>
            <w:r w:rsidRPr="007D6064">
              <w:t>(ROA)</w:t>
            </w:r>
          </w:p>
        </w:tc>
        <w:tc>
          <w:tcPr>
            <w:tcW w:w="5055" w:type="dxa"/>
          </w:tcPr>
          <w:p w14:paraId="1D4348AA" w14:textId="77777777" w:rsidR="004859FB" w:rsidRPr="007D6064" w:rsidRDefault="004859FB" w:rsidP="00944461">
            <w:pPr>
              <w:pStyle w:val="TableParagraph"/>
              <w:spacing w:before="2"/>
              <w:rPr>
                <w:b/>
              </w:rPr>
            </w:pPr>
          </w:p>
          <w:p w14:paraId="3947754E" w14:textId="77777777" w:rsidR="004859FB" w:rsidRPr="007D6064" w:rsidRDefault="004859FB" w:rsidP="00944461">
            <w:pPr>
              <w:pStyle w:val="TableParagraph"/>
              <w:spacing w:line="262" w:lineRule="exact"/>
              <w:ind w:left="108"/>
            </w:pPr>
            <w:r w:rsidRPr="007D6064">
              <w:rPr>
                <w:w w:val="90"/>
              </w:rPr>
              <w:t>(Net</w:t>
            </w:r>
            <w:r w:rsidRPr="007D6064">
              <w:rPr>
                <w:spacing w:val="-20"/>
                <w:w w:val="90"/>
              </w:rPr>
              <w:t xml:space="preserve"> </w:t>
            </w:r>
            <w:r w:rsidRPr="007D6064">
              <w:rPr>
                <w:w w:val="90"/>
              </w:rPr>
              <w:t>Income</w:t>
            </w:r>
            <w:r w:rsidRPr="007D6064">
              <w:rPr>
                <w:spacing w:val="-19"/>
                <w:w w:val="90"/>
              </w:rPr>
              <w:t xml:space="preserve"> </w:t>
            </w:r>
            <w:r w:rsidRPr="007D6064">
              <w:rPr>
                <w:w w:val="90"/>
              </w:rPr>
              <w:t>/</w:t>
            </w:r>
            <w:r w:rsidRPr="007D6064">
              <w:rPr>
                <w:spacing w:val="-18"/>
                <w:w w:val="90"/>
              </w:rPr>
              <w:t xml:space="preserve"> </w:t>
            </w:r>
            <w:r w:rsidRPr="007D6064">
              <w:rPr>
                <w:w w:val="90"/>
              </w:rPr>
              <w:t>Total</w:t>
            </w:r>
            <w:r w:rsidRPr="007D6064">
              <w:rPr>
                <w:spacing w:val="-20"/>
                <w:w w:val="90"/>
              </w:rPr>
              <w:t xml:space="preserve"> </w:t>
            </w:r>
            <w:r w:rsidRPr="007D6064">
              <w:rPr>
                <w:w w:val="90"/>
              </w:rPr>
              <w:t>Assets)</w:t>
            </w:r>
            <w:r w:rsidRPr="007D6064">
              <w:rPr>
                <w:spacing w:val="-21"/>
                <w:w w:val="90"/>
              </w:rPr>
              <w:t xml:space="preserve"> </w:t>
            </w:r>
            <w:r w:rsidRPr="007D6064">
              <w:rPr>
                <w:w w:val="90"/>
              </w:rPr>
              <w:t>*</w:t>
            </w:r>
            <w:r w:rsidRPr="007D6064">
              <w:rPr>
                <w:spacing w:val="-19"/>
                <w:w w:val="90"/>
              </w:rPr>
              <w:t xml:space="preserve"> </w:t>
            </w:r>
            <w:r w:rsidRPr="007D6064">
              <w:rPr>
                <w:w w:val="90"/>
              </w:rPr>
              <w:t>100</w:t>
            </w:r>
          </w:p>
        </w:tc>
        <w:tc>
          <w:tcPr>
            <w:tcW w:w="1336" w:type="dxa"/>
          </w:tcPr>
          <w:p w14:paraId="056BF91F" w14:textId="77777777" w:rsidR="004859FB" w:rsidRPr="007D6064" w:rsidRDefault="004859FB" w:rsidP="00944461">
            <w:pPr>
              <w:pStyle w:val="TableParagraph"/>
              <w:spacing w:before="2"/>
              <w:rPr>
                <w:b/>
              </w:rPr>
            </w:pPr>
          </w:p>
          <w:p w14:paraId="1A40CE31" w14:textId="7556E82F" w:rsidR="004859FB" w:rsidRPr="007D6064" w:rsidRDefault="004859FB" w:rsidP="00944461">
            <w:pPr>
              <w:pStyle w:val="TableParagraph"/>
              <w:spacing w:line="262" w:lineRule="exact"/>
              <w:ind w:right="94"/>
              <w:jc w:val="right"/>
            </w:pPr>
            <w:r w:rsidRPr="007D6064">
              <w:t>27.50%</w:t>
            </w:r>
          </w:p>
        </w:tc>
      </w:tr>
      <w:tr w:rsidR="004859FB" w:rsidRPr="007D6064" w14:paraId="1191A430" w14:textId="77777777" w:rsidTr="00944461">
        <w:trPr>
          <w:trHeight w:val="537"/>
        </w:trPr>
        <w:tc>
          <w:tcPr>
            <w:tcW w:w="734" w:type="dxa"/>
          </w:tcPr>
          <w:p w14:paraId="11441A9E" w14:textId="77777777" w:rsidR="004859FB" w:rsidRPr="007D6064" w:rsidRDefault="004859FB" w:rsidP="00944461">
            <w:pPr>
              <w:pStyle w:val="TableParagraph"/>
            </w:pPr>
          </w:p>
        </w:tc>
        <w:tc>
          <w:tcPr>
            <w:tcW w:w="2038" w:type="dxa"/>
          </w:tcPr>
          <w:p w14:paraId="7CBDC981" w14:textId="77777777" w:rsidR="004859FB" w:rsidRPr="007D6064" w:rsidRDefault="004859FB" w:rsidP="00944461">
            <w:pPr>
              <w:pStyle w:val="TableParagraph"/>
              <w:spacing w:line="252" w:lineRule="exact"/>
              <w:ind w:left="108"/>
            </w:pPr>
            <w:r w:rsidRPr="007D6064">
              <w:rPr>
                <w:spacing w:val="-1"/>
                <w:w w:val="90"/>
              </w:rPr>
              <w:t>Return</w:t>
            </w:r>
            <w:r w:rsidRPr="007D6064">
              <w:rPr>
                <w:spacing w:val="-20"/>
                <w:w w:val="90"/>
              </w:rPr>
              <w:t xml:space="preserve"> </w:t>
            </w:r>
            <w:r w:rsidRPr="007D6064">
              <w:rPr>
                <w:w w:val="90"/>
              </w:rPr>
              <w:t>on</w:t>
            </w:r>
            <w:r w:rsidRPr="007D6064">
              <w:rPr>
                <w:spacing w:val="-19"/>
                <w:w w:val="90"/>
              </w:rPr>
              <w:t xml:space="preserve"> </w:t>
            </w:r>
            <w:r w:rsidRPr="007D6064">
              <w:rPr>
                <w:w w:val="90"/>
              </w:rPr>
              <w:t>Equity</w:t>
            </w:r>
          </w:p>
          <w:p w14:paraId="17E85D37" w14:textId="77777777" w:rsidR="004859FB" w:rsidRPr="007D6064" w:rsidRDefault="004859FB" w:rsidP="00944461">
            <w:pPr>
              <w:pStyle w:val="TableParagraph"/>
              <w:spacing w:before="3" w:line="262" w:lineRule="exact"/>
              <w:ind w:left="108"/>
            </w:pPr>
            <w:r w:rsidRPr="007D6064">
              <w:t>(ROE)</w:t>
            </w:r>
          </w:p>
        </w:tc>
        <w:tc>
          <w:tcPr>
            <w:tcW w:w="5055" w:type="dxa"/>
          </w:tcPr>
          <w:p w14:paraId="484CCA7E" w14:textId="77777777" w:rsidR="004859FB" w:rsidRPr="007D6064" w:rsidRDefault="004859FB" w:rsidP="00944461">
            <w:pPr>
              <w:pStyle w:val="TableParagraph"/>
              <w:spacing w:before="2"/>
              <w:rPr>
                <w:b/>
              </w:rPr>
            </w:pPr>
          </w:p>
          <w:p w14:paraId="45011080" w14:textId="77777777" w:rsidR="004859FB" w:rsidRPr="007D6064" w:rsidRDefault="004859FB" w:rsidP="00944461">
            <w:pPr>
              <w:pStyle w:val="TableParagraph"/>
              <w:spacing w:line="262" w:lineRule="exact"/>
              <w:ind w:left="108"/>
            </w:pPr>
            <w:r w:rsidRPr="007D6064">
              <w:rPr>
                <w:w w:val="90"/>
              </w:rPr>
              <w:t>(Net</w:t>
            </w:r>
            <w:r w:rsidRPr="007D6064">
              <w:rPr>
                <w:spacing w:val="-19"/>
                <w:w w:val="90"/>
              </w:rPr>
              <w:t xml:space="preserve"> </w:t>
            </w:r>
            <w:r w:rsidRPr="007D6064">
              <w:rPr>
                <w:w w:val="90"/>
              </w:rPr>
              <w:t>Income</w:t>
            </w:r>
            <w:r w:rsidRPr="007D6064">
              <w:rPr>
                <w:spacing w:val="-18"/>
                <w:w w:val="90"/>
              </w:rPr>
              <w:t xml:space="preserve"> </w:t>
            </w:r>
            <w:r w:rsidRPr="007D6064">
              <w:rPr>
                <w:w w:val="90"/>
              </w:rPr>
              <w:t>/</w:t>
            </w:r>
            <w:r w:rsidRPr="007D6064">
              <w:rPr>
                <w:spacing w:val="-18"/>
                <w:w w:val="90"/>
              </w:rPr>
              <w:t xml:space="preserve"> </w:t>
            </w:r>
            <w:r w:rsidRPr="007D6064">
              <w:rPr>
                <w:w w:val="90"/>
              </w:rPr>
              <w:t>Shareholders'</w:t>
            </w:r>
            <w:r w:rsidRPr="007D6064">
              <w:rPr>
                <w:spacing w:val="-18"/>
                <w:w w:val="90"/>
              </w:rPr>
              <w:t xml:space="preserve"> </w:t>
            </w:r>
            <w:r w:rsidRPr="007D6064">
              <w:rPr>
                <w:w w:val="90"/>
              </w:rPr>
              <w:t>Equity)</w:t>
            </w:r>
            <w:r w:rsidRPr="007D6064">
              <w:rPr>
                <w:spacing w:val="-18"/>
                <w:w w:val="90"/>
              </w:rPr>
              <w:t xml:space="preserve"> </w:t>
            </w:r>
            <w:r w:rsidRPr="007D6064">
              <w:rPr>
                <w:w w:val="90"/>
              </w:rPr>
              <w:t>*</w:t>
            </w:r>
            <w:r w:rsidRPr="007D6064">
              <w:rPr>
                <w:spacing w:val="-18"/>
                <w:w w:val="90"/>
              </w:rPr>
              <w:t xml:space="preserve"> </w:t>
            </w:r>
            <w:r w:rsidRPr="007D6064">
              <w:rPr>
                <w:w w:val="90"/>
              </w:rPr>
              <w:t>100</w:t>
            </w:r>
          </w:p>
        </w:tc>
        <w:tc>
          <w:tcPr>
            <w:tcW w:w="1336" w:type="dxa"/>
          </w:tcPr>
          <w:p w14:paraId="54E2D857" w14:textId="77777777" w:rsidR="004859FB" w:rsidRPr="007D6064" w:rsidRDefault="004859FB" w:rsidP="00944461">
            <w:pPr>
              <w:pStyle w:val="TableParagraph"/>
              <w:spacing w:before="2"/>
              <w:rPr>
                <w:b/>
              </w:rPr>
            </w:pPr>
          </w:p>
          <w:p w14:paraId="053E6BE6" w14:textId="683A4150" w:rsidR="004859FB" w:rsidRPr="004859FB" w:rsidRDefault="004859FB" w:rsidP="004859FB">
            <w:pPr>
              <w:pStyle w:val="TableParagraph"/>
              <w:spacing w:line="262" w:lineRule="exact"/>
              <w:ind w:right="95"/>
              <w:jc w:val="right"/>
              <w:rPr>
                <w:lang w:val="en-CA"/>
              </w:rPr>
            </w:pPr>
            <w:r w:rsidRPr="004859FB">
              <w:rPr>
                <w:lang w:val="en-CA"/>
              </w:rPr>
              <w:t>156.07</w:t>
            </w:r>
            <w:r w:rsidRPr="007D6064">
              <w:rPr>
                <w:lang w:val="en-CA"/>
              </w:rPr>
              <w:t>%</w:t>
            </w:r>
          </w:p>
          <w:p w14:paraId="1D925348" w14:textId="67C3F7F8" w:rsidR="004859FB" w:rsidRPr="007D6064" w:rsidRDefault="004859FB" w:rsidP="00944461">
            <w:pPr>
              <w:pStyle w:val="TableParagraph"/>
              <w:spacing w:line="262" w:lineRule="exact"/>
              <w:ind w:right="95"/>
              <w:jc w:val="right"/>
            </w:pPr>
          </w:p>
        </w:tc>
      </w:tr>
      <w:tr w:rsidR="004859FB" w:rsidRPr="007D6064" w14:paraId="6214174D" w14:textId="77777777" w:rsidTr="00944461">
        <w:trPr>
          <w:trHeight w:val="268"/>
        </w:trPr>
        <w:tc>
          <w:tcPr>
            <w:tcW w:w="734" w:type="dxa"/>
          </w:tcPr>
          <w:p w14:paraId="4FBAB2B8" w14:textId="77777777" w:rsidR="004859FB" w:rsidRPr="007D6064" w:rsidRDefault="004859FB" w:rsidP="00944461">
            <w:pPr>
              <w:pStyle w:val="TableParagraph"/>
            </w:pPr>
          </w:p>
        </w:tc>
        <w:tc>
          <w:tcPr>
            <w:tcW w:w="2038" w:type="dxa"/>
          </w:tcPr>
          <w:p w14:paraId="48672944" w14:textId="77777777" w:rsidR="004859FB" w:rsidRPr="007D6064" w:rsidRDefault="004859FB" w:rsidP="00944461">
            <w:pPr>
              <w:pStyle w:val="TableParagraph"/>
            </w:pPr>
          </w:p>
        </w:tc>
        <w:tc>
          <w:tcPr>
            <w:tcW w:w="5055" w:type="dxa"/>
          </w:tcPr>
          <w:p w14:paraId="38A6E92D" w14:textId="77777777" w:rsidR="004859FB" w:rsidRPr="007D6064" w:rsidRDefault="004859FB" w:rsidP="00944461">
            <w:pPr>
              <w:pStyle w:val="TableParagraph"/>
            </w:pPr>
          </w:p>
        </w:tc>
        <w:tc>
          <w:tcPr>
            <w:tcW w:w="1336" w:type="dxa"/>
          </w:tcPr>
          <w:p w14:paraId="764C2428" w14:textId="77777777" w:rsidR="004859FB" w:rsidRPr="007D6064" w:rsidRDefault="004859FB" w:rsidP="00944461">
            <w:pPr>
              <w:pStyle w:val="TableParagraph"/>
            </w:pPr>
          </w:p>
        </w:tc>
      </w:tr>
      <w:tr w:rsidR="004859FB" w:rsidRPr="007D6064" w14:paraId="1FD94E59" w14:textId="77777777" w:rsidTr="00944461">
        <w:trPr>
          <w:trHeight w:val="268"/>
        </w:trPr>
        <w:tc>
          <w:tcPr>
            <w:tcW w:w="734" w:type="dxa"/>
          </w:tcPr>
          <w:p w14:paraId="37CEE015" w14:textId="77777777" w:rsidR="004859FB" w:rsidRPr="007D6064" w:rsidRDefault="004859FB" w:rsidP="00944461">
            <w:pPr>
              <w:pStyle w:val="TableParagraph"/>
              <w:spacing w:line="248" w:lineRule="exact"/>
              <w:ind w:right="94"/>
              <w:jc w:val="right"/>
            </w:pPr>
            <w:r w:rsidRPr="007D6064">
              <w:rPr>
                <w:w w:val="93"/>
              </w:rPr>
              <w:t>2</w:t>
            </w:r>
          </w:p>
        </w:tc>
        <w:tc>
          <w:tcPr>
            <w:tcW w:w="2038" w:type="dxa"/>
          </w:tcPr>
          <w:p w14:paraId="167749D1" w14:textId="77777777" w:rsidR="004859FB" w:rsidRPr="007D6064" w:rsidRDefault="004859FB" w:rsidP="00944461">
            <w:pPr>
              <w:pStyle w:val="TableParagraph"/>
              <w:spacing w:line="248" w:lineRule="exact"/>
              <w:ind w:left="108"/>
            </w:pPr>
            <w:r w:rsidRPr="007D6064">
              <w:rPr>
                <w:w w:val="90"/>
              </w:rPr>
              <w:t>Liquidity</w:t>
            </w:r>
            <w:r w:rsidRPr="007D6064">
              <w:rPr>
                <w:spacing w:val="-18"/>
                <w:w w:val="90"/>
              </w:rPr>
              <w:t xml:space="preserve"> </w:t>
            </w:r>
            <w:r w:rsidRPr="007D6064">
              <w:rPr>
                <w:w w:val="90"/>
              </w:rPr>
              <w:t>Ratios:</w:t>
            </w:r>
          </w:p>
        </w:tc>
        <w:tc>
          <w:tcPr>
            <w:tcW w:w="5055" w:type="dxa"/>
          </w:tcPr>
          <w:p w14:paraId="795795A3" w14:textId="77777777" w:rsidR="004859FB" w:rsidRPr="007D6064" w:rsidRDefault="004859FB" w:rsidP="00944461">
            <w:pPr>
              <w:pStyle w:val="TableParagraph"/>
            </w:pPr>
          </w:p>
        </w:tc>
        <w:tc>
          <w:tcPr>
            <w:tcW w:w="1336" w:type="dxa"/>
          </w:tcPr>
          <w:p w14:paraId="30148FB1" w14:textId="77777777" w:rsidR="004859FB" w:rsidRPr="007D6064" w:rsidRDefault="004859FB" w:rsidP="00944461">
            <w:pPr>
              <w:pStyle w:val="TableParagraph"/>
            </w:pPr>
          </w:p>
        </w:tc>
      </w:tr>
      <w:tr w:rsidR="004859FB" w:rsidRPr="007D6064" w14:paraId="6DCCED14" w14:textId="77777777" w:rsidTr="00944461">
        <w:trPr>
          <w:trHeight w:val="268"/>
        </w:trPr>
        <w:tc>
          <w:tcPr>
            <w:tcW w:w="734" w:type="dxa"/>
          </w:tcPr>
          <w:p w14:paraId="6E9F6606" w14:textId="77777777" w:rsidR="004859FB" w:rsidRPr="007D6064" w:rsidRDefault="004859FB" w:rsidP="00944461">
            <w:pPr>
              <w:pStyle w:val="TableParagraph"/>
            </w:pPr>
          </w:p>
        </w:tc>
        <w:tc>
          <w:tcPr>
            <w:tcW w:w="2038" w:type="dxa"/>
          </w:tcPr>
          <w:p w14:paraId="7419EF22" w14:textId="77777777" w:rsidR="004859FB" w:rsidRPr="007D6064" w:rsidRDefault="004859FB" w:rsidP="00944461">
            <w:pPr>
              <w:pStyle w:val="TableParagraph"/>
              <w:spacing w:line="248" w:lineRule="exact"/>
              <w:ind w:left="108"/>
            </w:pPr>
            <w:r w:rsidRPr="007D6064">
              <w:rPr>
                <w:w w:val="90"/>
              </w:rPr>
              <w:t>Current</w:t>
            </w:r>
            <w:r w:rsidRPr="007D6064">
              <w:rPr>
                <w:spacing w:val="-14"/>
                <w:w w:val="90"/>
              </w:rPr>
              <w:t xml:space="preserve"> </w:t>
            </w:r>
            <w:r w:rsidRPr="007D6064">
              <w:rPr>
                <w:w w:val="90"/>
              </w:rPr>
              <w:t>Ratio</w:t>
            </w:r>
          </w:p>
        </w:tc>
        <w:tc>
          <w:tcPr>
            <w:tcW w:w="5055" w:type="dxa"/>
          </w:tcPr>
          <w:p w14:paraId="21F7EE67" w14:textId="77777777" w:rsidR="004859FB" w:rsidRPr="007D6064" w:rsidRDefault="004859FB" w:rsidP="00944461">
            <w:pPr>
              <w:pStyle w:val="TableParagraph"/>
              <w:spacing w:line="248" w:lineRule="exact"/>
              <w:ind w:left="108"/>
            </w:pPr>
            <w:r w:rsidRPr="007D6064">
              <w:rPr>
                <w:w w:val="90"/>
              </w:rPr>
              <w:t>Current</w:t>
            </w:r>
            <w:r w:rsidRPr="007D6064">
              <w:rPr>
                <w:spacing w:val="-8"/>
                <w:w w:val="90"/>
              </w:rPr>
              <w:t xml:space="preserve"> </w:t>
            </w:r>
            <w:r w:rsidRPr="007D6064">
              <w:rPr>
                <w:w w:val="90"/>
              </w:rPr>
              <w:t>Assets</w:t>
            </w:r>
            <w:r w:rsidRPr="007D6064">
              <w:rPr>
                <w:spacing w:val="-7"/>
                <w:w w:val="90"/>
              </w:rPr>
              <w:t xml:space="preserve"> </w:t>
            </w:r>
            <w:r w:rsidRPr="007D6064">
              <w:rPr>
                <w:w w:val="90"/>
              </w:rPr>
              <w:t>/</w:t>
            </w:r>
            <w:r w:rsidRPr="007D6064">
              <w:rPr>
                <w:spacing w:val="-6"/>
                <w:w w:val="90"/>
              </w:rPr>
              <w:t xml:space="preserve"> </w:t>
            </w:r>
            <w:r w:rsidRPr="007D6064">
              <w:rPr>
                <w:w w:val="90"/>
              </w:rPr>
              <w:t>Current</w:t>
            </w:r>
            <w:r w:rsidRPr="007D6064">
              <w:rPr>
                <w:spacing w:val="-8"/>
                <w:w w:val="90"/>
              </w:rPr>
              <w:t xml:space="preserve"> </w:t>
            </w:r>
            <w:r w:rsidRPr="007D6064">
              <w:rPr>
                <w:w w:val="90"/>
              </w:rPr>
              <w:t>Liabilities</w:t>
            </w:r>
          </w:p>
        </w:tc>
        <w:tc>
          <w:tcPr>
            <w:tcW w:w="1336" w:type="dxa"/>
          </w:tcPr>
          <w:p w14:paraId="3F81B36B" w14:textId="2CD740BF" w:rsidR="004859FB" w:rsidRPr="007D6064" w:rsidRDefault="004859FB" w:rsidP="00944461">
            <w:pPr>
              <w:pStyle w:val="TableParagraph"/>
              <w:spacing w:line="248" w:lineRule="exact"/>
              <w:ind w:right="95"/>
              <w:jc w:val="right"/>
            </w:pPr>
            <w:r w:rsidRPr="007D6064">
              <w:t>0.98</w:t>
            </w:r>
          </w:p>
        </w:tc>
      </w:tr>
      <w:tr w:rsidR="004859FB" w:rsidRPr="007D6064" w14:paraId="4CAC0D7D" w14:textId="77777777" w:rsidTr="00944461">
        <w:trPr>
          <w:trHeight w:val="268"/>
        </w:trPr>
        <w:tc>
          <w:tcPr>
            <w:tcW w:w="734" w:type="dxa"/>
          </w:tcPr>
          <w:p w14:paraId="69B016F8" w14:textId="77777777" w:rsidR="004859FB" w:rsidRPr="007D6064" w:rsidRDefault="004859FB" w:rsidP="00944461">
            <w:pPr>
              <w:pStyle w:val="TableParagraph"/>
            </w:pPr>
          </w:p>
        </w:tc>
        <w:tc>
          <w:tcPr>
            <w:tcW w:w="2038" w:type="dxa"/>
          </w:tcPr>
          <w:p w14:paraId="236E07EE" w14:textId="77777777" w:rsidR="004859FB" w:rsidRPr="007D6064" w:rsidRDefault="004859FB" w:rsidP="00944461">
            <w:pPr>
              <w:pStyle w:val="TableParagraph"/>
              <w:spacing w:line="248" w:lineRule="exact"/>
              <w:ind w:left="108"/>
            </w:pPr>
            <w:proofErr w:type="spellStart"/>
            <w:r w:rsidRPr="007D6064">
              <w:rPr>
                <w:w w:val="90"/>
              </w:rPr>
              <w:t>Ǫuick</w:t>
            </w:r>
            <w:proofErr w:type="spellEnd"/>
            <w:r w:rsidRPr="007D6064">
              <w:rPr>
                <w:spacing w:val="-11"/>
                <w:w w:val="90"/>
              </w:rPr>
              <w:t xml:space="preserve"> </w:t>
            </w:r>
            <w:r w:rsidRPr="007D6064">
              <w:rPr>
                <w:w w:val="90"/>
              </w:rPr>
              <w:t>Ratio</w:t>
            </w:r>
          </w:p>
        </w:tc>
        <w:tc>
          <w:tcPr>
            <w:tcW w:w="5055" w:type="dxa"/>
          </w:tcPr>
          <w:p w14:paraId="4F32F526" w14:textId="77777777" w:rsidR="004859FB" w:rsidRPr="007D6064" w:rsidRDefault="004859FB" w:rsidP="00944461">
            <w:pPr>
              <w:pStyle w:val="TableParagraph"/>
              <w:spacing w:line="248" w:lineRule="exact"/>
              <w:ind w:left="108"/>
            </w:pPr>
            <w:r w:rsidRPr="007D6064">
              <w:rPr>
                <w:w w:val="90"/>
              </w:rPr>
              <w:t>(Current</w:t>
            </w:r>
            <w:r w:rsidRPr="007D6064">
              <w:rPr>
                <w:spacing w:val="-20"/>
                <w:w w:val="90"/>
              </w:rPr>
              <w:t xml:space="preserve"> </w:t>
            </w:r>
            <w:r w:rsidRPr="007D6064">
              <w:rPr>
                <w:w w:val="90"/>
              </w:rPr>
              <w:t>Assets</w:t>
            </w:r>
            <w:r w:rsidRPr="007D6064">
              <w:rPr>
                <w:spacing w:val="-17"/>
                <w:w w:val="90"/>
              </w:rPr>
              <w:t xml:space="preserve"> </w:t>
            </w:r>
            <w:r w:rsidRPr="007D6064">
              <w:rPr>
                <w:w w:val="90"/>
              </w:rPr>
              <w:t>-</w:t>
            </w:r>
            <w:r w:rsidRPr="007D6064">
              <w:rPr>
                <w:spacing w:val="-19"/>
                <w:w w:val="90"/>
              </w:rPr>
              <w:t xml:space="preserve"> </w:t>
            </w:r>
            <w:r w:rsidRPr="007D6064">
              <w:rPr>
                <w:w w:val="90"/>
              </w:rPr>
              <w:t>Inventory)</w:t>
            </w:r>
            <w:r w:rsidRPr="007D6064">
              <w:rPr>
                <w:spacing w:val="-18"/>
                <w:w w:val="90"/>
              </w:rPr>
              <w:t xml:space="preserve"> </w:t>
            </w:r>
            <w:r w:rsidRPr="007D6064">
              <w:rPr>
                <w:w w:val="90"/>
              </w:rPr>
              <w:t>/</w:t>
            </w:r>
            <w:r w:rsidRPr="007D6064">
              <w:rPr>
                <w:spacing w:val="-18"/>
                <w:w w:val="90"/>
              </w:rPr>
              <w:t xml:space="preserve"> </w:t>
            </w:r>
            <w:r w:rsidRPr="007D6064">
              <w:rPr>
                <w:w w:val="90"/>
              </w:rPr>
              <w:t>Current</w:t>
            </w:r>
            <w:r w:rsidRPr="007D6064">
              <w:rPr>
                <w:spacing w:val="-19"/>
                <w:w w:val="90"/>
              </w:rPr>
              <w:t xml:space="preserve"> </w:t>
            </w:r>
            <w:r w:rsidRPr="007D6064">
              <w:rPr>
                <w:w w:val="90"/>
              </w:rPr>
              <w:t>Liabilities</w:t>
            </w:r>
          </w:p>
        </w:tc>
        <w:tc>
          <w:tcPr>
            <w:tcW w:w="1336" w:type="dxa"/>
          </w:tcPr>
          <w:p w14:paraId="3065C48A" w14:textId="68815514" w:rsidR="004859FB" w:rsidRPr="004859FB" w:rsidRDefault="004859FB" w:rsidP="004859FB">
            <w:pPr>
              <w:pStyle w:val="TableParagraph"/>
              <w:spacing w:line="248" w:lineRule="exact"/>
              <w:ind w:right="95"/>
              <w:jc w:val="right"/>
              <w:rPr>
                <w:lang w:val="en-CA"/>
              </w:rPr>
            </w:pPr>
            <w:r w:rsidRPr="004859FB">
              <w:rPr>
                <w:lang w:val="en-CA"/>
              </w:rPr>
              <w:t>0.94</w:t>
            </w:r>
          </w:p>
          <w:p w14:paraId="70F39BC7" w14:textId="7075E22B" w:rsidR="004859FB" w:rsidRPr="007D6064" w:rsidRDefault="004859FB" w:rsidP="00944461">
            <w:pPr>
              <w:pStyle w:val="TableParagraph"/>
              <w:spacing w:line="248" w:lineRule="exact"/>
              <w:ind w:right="95"/>
              <w:jc w:val="right"/>
            </w:pPr>
          </w:p>
        </w:tc>
      </w:tr>
      <w:tr w:rsidR="004859FB" w:rsidRPr="007D6064" w14:paraId="674EF136" w14:textId="77777777" w:rsidTr="00944461">
        <w:trPr>
          <w:trHeight w:val="268"/>
        </w:trPr>
        <w:tc>
          <w:tcPr>
            <w:tcW w:w="734" w:type="dxa"/>
          </w:tcPr>
          <w:p w14:paraId="4A8B36F5" w14:textId="77777777" w:rsidR="004859FB" w:rsidRPr="007D6064" w:rsidRDefault="004859FB" w:rsidP="00944461">
            <w:pPr>
              <w:pStyle w:val="TableParagraph"/>
            </w:pPr>
          </w:p>
        </w:tc>
        <w:tc>
          <w:tcPr>
            <w:tcW w:w="2038" w:type="dxa"/>
          </w:tcPr>
          <w:p w14:paraId="59C82733" w14:textId="77777777" w:rsidR="004859FB" w:rsidRPr="007D6064" w:rsidRDefault="004859FB" w:rsidP="00944461">
            <w:pPr>
              <w:pStyle w:val="TableParagraph"/>
            </w:pPr>
          </w:p>
        </w:tc>
        <w:tc>
          <w:tcPr>
            <w:tcW w:w="5055" w:type="dxa"/>
          </w:tcPr>
          <w:p w14:paraId="6E94B354" w14:textId="77777777" w:rsidR="004859FB" w:rsidRPr="007D6064" w:rsidRDefault="004859FB" w:rsidP="00944461">
            <w:pPr>
              <w:pStyle w:val="TableParagraph"/>
            </w:pPr>
          </w:p>
        </w:tc>
        <w:tc>
          <w:tcPr>
            <w:tcW w:w="1336" w:type="dxa"/>
          </w:tcPr>
          <w:p w14:paraId="59B09B9E" w14:textId="77777777" w:rsidR="004859FB" w:rsidRPr="007D6064" w:rsidRDefault="004859FB" w:rsidP="00944461">
            <w:pPr>
              <w:pStyle w:val="TableParagraph"/>
            </w:pPr>
          </w:p>
        </w:tc>
      </w:tr>
      <w:tr w:rsidR="004859FB" w:rsidRPr="007D6064" w14:paraId="5347B39C" w14:textId="77777777" w:rsidTr="00944461">
        <w:trPr>
          <w:trHeight w:val="537"/>
        </w:trPr>
        <w:tc>
          <w:tcPr>
            <w:tcW w:w="734" w:type="dxa"/>
          </w:tcPr>
          <w:p w14:paraId="5A888546" w14:textId="77777777" w:rsidR="004859FB" w:rsidRPr="007D6064" w:rsidRDefault="004859FB" w:rsidP="00944461">
            <w:pPr>
              <w:pStyle w:val="TableParagraph"/>
              <w:spacing w:before="2"/>
              <w:rPr>
                <w:b/>
              </w:rPr>
            </w:pPr>
          </w:p>
          <w:p w14:paraId="426DB468" w14:textId="77777777" w:rsidR="004859FB" w:rsidRPr="007D6064" w:rsidRDefault="004859FB" w:rsidP="00944461">
            <w:pPr>
              <w:pStyle w:val="TableParagraph"/>
              <w:spacing w:line="262" w:lineRule="exact"/>
              <w:ind w:right="94"/>
              <w:jc w:val="right"/>
            </w:pPr>
            <w:r w:rsidRPr="007D6064">
              <w:rPr>
                <w:w w:val="93"/>
              </w:rPr>
              <w:t>4</w:t>
            </w:r>
          </w:p>
        </w:tc>
        <w:tc>
          <w:tcPr>
            <w:tcW w:w="2038" w:type="dxa"/>
          </w:tcPr>
          <w:p w14:paraId="05AEDBCB" w14:textId="77777777" w:rsidR="004859FB" w:rsidRPr="007D6064" w:rsidRDefault="004859FB" w:rsidP="00944461">
            <w:pPr>
              <w:pStyle w:val="TableParagraph"/>
              <w:spacing w:line="252" w:lineRule="exact"/>
              <w:ind w:left="108"/>
            </w:pPr>
            <w:r w:rsidRPr="007D6064">
              <w:rPr>
                <w:w w:val="90"/>
              </w:rPr>
              <w:t>Dividend</w:t>
            </w:r>
            <w:r w:rsidRPr="007D6064">
              <w:rPr>
                <w:spacing w:val="-20"/>
                <w:w w:val="90"/>
              </w:rPr>
              <w:t xml:space="preserve"> </w:t>
            </w:r>
            <w:r w:rsidRPr="007D6064">
              <w:rPr>
                <w:w w:val="90"/>
              </w:rPr>
              <w:t>Payout</w:t>
            </w:r>
          </w:p>
          <w:p w14:paraId="20329E57" w14:textId="77777777" w:rsidR="004859FB" w:rsidRPr="007D6064" w:rsidRDefault="004859FB" w:rsidP="00944461">
            <w:pPr>
              <w:pStyle w:val="TableParagraph"/>
              <w:spacing w:before="3" w:line="262" w:lineRule="exact"/>
              <w:ind w:left="108"/>
            </w:pPr>
            <w:r w:rsidRPr="007D6064">
              <w:t>Ratio</w:t>
            </w:r>
          </w:p>
        </w:tc>
        <w:tc>
          <w:tcPr>
            <w:tcW w:w="5055" w:type="dxa"/>
          </w:tcPr>
          <w:p w14:paraId="50F12DCC" w14:textId="77777777" w:rsidR="004859FB" w:rsidRPr="007D6064" w:rsidRDefault="004859FB" w:rsidP="00944461">
            <w:pPr>
              <w:pStyle w:val="TableParagraph"/>
              <w:spacing w:before="2"/>
              <w:rPr>
                <w:b/>
              </w:rPr>
            </w:pPr>
          </w:p>
          <w:p w14:paraId="4F76BBCE" w14:textId="77777777" w:rsidR="004859FB" w:rsidRPr="007D6064" w:rsidRDefault="004859FB" w:rsidP="00944461">
            <w:pPr>
              <w:pStyle w:val="TableParagraph"/>
              <w:spacing w:line="262" w:lineRule="exact"/>
              <w:ind w:left="108"/>
            </w:pPr>
            <w:r w:rsidRPr="007D6064">
              <w:rPr>
                <w:w w:val="90"/>
              </w:rPr>
              <w:t>(Dividends</w:t>
            </w:r>
            <w:r w:rsidRPr="007D6064">
              <w:rPr>
                <w:spacing w:val="-17"/>
                <w:w w:val="90"/>
              </w:rPr>
              <w:t xml:space="preserve"> </w:t>
            </w:r>
            <w:r w:rsidRPr="007D6064">
              <w:rPr>
                <w:w w:val="90"/>
              </w:rPr>
              <w:t>Paid</w:t>
            </w:r>
            <w:r w:rsidRPr="007D6064">
              <w:rPr>
                <w:spacing w:val="-17"/>
                <w:w w:val="90"/>
              </w:rPr>
              <w:t xml:space="preserve"> </w:t>
            </w:r>
            <w:r w:rsidRPr="007D6064">
              <w:rPr>
                <w:w w:val="90"/>
              </w:rPr>
              <w:t>/</w:t>
            </w:r>
            <w:r w:rsidRPr="007D6064">
              <w:rPr>
                <w:spacing w:val="-17"/>
                <w:w w:val="90"/>
              </w:rPr>
              <w:t xml:space="preserve"> </w:t>
            </w:r>
            <w:r w:rsidRPr="007D6064">
              <w:rPr>
                <w:w w:val="90"/>
              </w:rPr>
              <w:t>Net</w:t>
            </w:r>
            <w:r w:rsidRPr="007D6064">
              <w:rPr>
                <w:spacing w:val="-17"/>
                <w:w w:val="90"/>
              </w:rPr>
              <w:t xml:space="preserve"> </w:t>
            </w:r>
            <w:r w:rsidRPr="007D6064">
              <w:rPr>
                <w:w w:val="90"/>
              </w:rPr>
              <w:t>Income)</w:t>
            </w:r>
            <w:r w:rsidRPr="007D6064">
              <w:rPr>
                <w:spacing w:val="-17"/>
                <w:w w:val="90"/>
              </w:rPr>
              <w:t xml:space="preserve"> </w:t>
            </w:r>
            <w:r w:rsidRPr="007D6064">
              <w:rPr>
                <w:w w:val="90"/>
              </w:rPr>
              <w:t>*</w:t>
            </w:r>
            <w:r w:rsidRPr="007D6064">
              <w:rPr>
                <w:spacing w:val="-16"/>
                <w:w w:val="90"/>
              </w:rPr>
              <w:t xml:space="preserve"> </w:t>
            </w:r>
            <w:r w:rsidRPr="007D6064">
              <w:rPr>
                <w:w w:val="90"/>
              </w:rPr>
              <w:t>100</w:t>
            </w:r>
          </w:p>
        </w:tc>
        <w:tc>
          <w:tcPr>
            <w:tcW w:w="1336" w:type="dxa"/>
          </w:tcPr>
          <w:p w14:paraId="190FBFBB" w14:textId="77777777" w:rsidR="004859FB" w:rsidRPr="007D6064" w:rsidRDefault="004859FB" w:rsidP="00944461">
            <w:pPr>
              <w:pStyle w:val="TableParagraph"/>
              <w:spacing w:before="2"/>
              <w:rPr>
                <w:b/>
              </w:rPr>
            </w:pPr>
          </w:p>
          <w:p w14:paraId="0C3B2002" w14:textId="696EEBE1" w:rsidR="004859FB" w:rsidRPr="007D6064" w:rsidRDefault="007D6064" w:rsidP="00944461">
            <w:pPr>
              <w:pStyle w:val="TableParagraph"/>
              <w:spacing w:line="262" w:lineRule="exact"/>
              <w:ind w:right="93"/>
              <w:jc w:val="right"/>
            </w:pPr>
            <w:r w:rsidRPr="007D6064">
              <w:rPr>
                <w:w w:val="95"/>
              </w:rPr>
              <w:t>15.46%</w:t>
            </w:r>
          </w:p>
        </w:tc>
      </w:tr>
      <w:tr w:rsidR="004859FB" w:rsidRPr="007D6064" w14:paraId="68D6F220" w14:textId="77777777" w:rsidTr="00944461">
        <w:trPr>
          <w:trHeight w:val="268"/>
        </w:trPr>
        <w:tc>
          <w:tcPr>
            <w:tcW w:w="734" w:type="dxa"/>
          </w:tcPr>
          <w:p w14:paraId="00C23B12" w14:textId="77777777" w:rsidR="004859FB" w:rsidRPr="007D6064" w:rsidRDefault="004859FB" w:rsidP="00944461">
            <w:pPr>
              <w:pStyle w:val="TableParagraph"/>
            </w:pPr>
          </w:p>
        </w:tc>
        <w:tc>
          <w:tcPr>
            <w:tcW w:w="2038" w:type="dxa"/>
          </w:tcPr>
          <w:p w14:paraId="3660DB62" w14:textId="169C90C3" w:rsidR="004859FB" w:rsidRPr="007D6064" w:rsidRDefault="007D6064" w:rsidP="00944461">
            <w:pPr>
              <w:pStyle w:val="TableParagraph"/>
            </w:pPr>
            <w:r w:rsidRPr="007D6064">
              <w:t>Sustainability Growth Rate</w:t>
            </w:r>
          </w:p>
        </w:tc>
        <w:tc>
          <w:tcPr>
            <w:tcW w:w="5055" w:type="dxa"/>
          </w:tcPr>
          <w:p w14:paraId="11AF8C2C" w14:textId="608CFD32" w:rsidR="007D6064" w:rsidRPr="007D6064" w:rsidRDefault="007D6064" w:rsidP="007D6064">
            <w:pPr>
              <w:pStyle w:val="TableParagraph"/>
              <w:rPr>
                <w:lang w:val="en-CA"/>
              </w:rPr>
            </w:pPr>
            <w:r>
              <w:t xml:space="preserve"> </w:t>
            </w:r>
            <w:r w:rsidRPr="007D6064">
              <w:rPr>
                <w:lang w:val="en-CA"/>
              </w:rPr>
              <w:t xml:space="preserve">roe / 100 * (1 </w:t>
            </w:r>
            <w:r>
              <w:rPr>
                <w:lang w:val="en-CA"/>
              </w:rPr>
              <w:t>–</w:t>
            </w:r>
            <w:r w:rsidRPr="007D6064">
              <w:rPr>
                <w:lang w:val="en-CA"/>
              </w:rPr>
              <w:t xml:space="preserve"> dividend</w:t>
            </w:r>
            <w:r>
              <w:rPr>
                <w:lang w:val="en-CA"/>
              </w:rPr>
              <w:t xml:space="preserve"> </w:t>
            </w:r>
            <w:r w:rsidRPr="007D6064">
              <w:rPr>
                <w:lang w:val="en-CA"/>
              </w:rPr>
              <w:t>payout</w:t>
            </w:r>
            <w:r>
              <w:rPr>
                <w:lang w:val="en-CA"/>
              </w:rPr>
              <w:t xml:space="preserve"> </w:t>
            </w:r>
            <w:r w:rsidRPr="007D6064">
              <w:rPr>
                <w:lang w:val="en-CA"/>
              </w:rPr>
              <w:t>ratio)</w:t>
            </w:r>
          </w:p>
          <w:p w14:paraId="3CCD2122" w14:textId="16A1200C" w:rsidR="004859FB" w:rsidRPr="007D6064" w:rsidRDefault="004859FB" w:rsidP="007D6064">
            <w:pPr>
              <w:pStyle w:val="TableParagraph"/>
            </w:pPr>
          </w:p>
        </w:tc>
        <w:tc>
          <w:tcPr>
            <w:tcW w:w="1336" w:type="dxa"/>
          </w:tcPr>
          <w:p w14:paraId="247CF530" w14:textId="712F0F89" w:rsidR="004859FB" w:rsidRPr="007D6064" w:rsidRDefault="007D6064" w:rsidP="007D6064">
            <w:pPr>
              <w:pStyle w:val="TableParagraph"/>
              <w:jc w:val="right"/>
            </w:pPr>
            <w:r>
              <w:t>132 %</w:t>
            </w:r>
          </w:p>
        </w:tc>
      </w:tr>
      <w:tr w:rsidR="007D6064" w:rsidRPr="007D6064" w14:paraId="58501EBE" w14:textId="77777777" w:rsidTr="00944461">
        <w:trPr>
          <w:trHeight w:val="268"/>
        </w:trPr>
        <w:tc>
          <w:tcPr>
            <w:tcW w:w="734" w:type="dxa"/>
          </w:tcPr>
          <w:p w14:paraId="4495B6AD" w14:textId="77777777" w:rsidR="007D6064" w:rsidRPr="007D6064" w:rsidRDefault="007D6064" w:rsidP="00944461">
            <w:pPr>
              <w:pStyle w:val="TableParagraph"/>
            </w:pPr>
          </w:p>
        </w:tc>
        <w:tc>
          <w:tcPr>
            <w:tcW w:w="2038" w:type="dxa"/>
          </w:tcPr>
          <w:p w14:paraId="3E8DD746" w14:textId="77777777" w:rsidR="007D6064" w:rsidRPr="007D6064" w:rsidRDefault="007D6064" w:rsidP="00944461">
            <w:pPr>
              <w:pStyle w:val="TableParagraph"/>
            </w:pPr>
          </w:p>
        </w:tc>
        <w:tc>
          <w:tcPr>
            <w:tcW w:w="5055" w:type="dxa"/>
          </w:tcPr>
          <w:p w14:paraId="62887CC2" w14:textId="77777777" w:rsidR="007D6064" w:rsidRPr="007D6064" w:rsidRDefault="007D6064" w:rsidP="00944461">
            <w:pPr>
              <w:pStyle w:val="TableParagraph"/>
            </w:pPr>
          </w:p>
        </w:tc>
        <w:tc>
          <w:tcPr>
            <w:tcW w:w="1336" w:type="dxa"/>
          </w:tcPr>
          <w:p w14:paraId="292700A2" w14:textId="77777777" w:rsidR="007D6064" w:rsidRPr="007D6064" w:rsidRDefault="007D6064" w:rsidP="00944461">
            <w:pPr>
              <w:pStyle w:val="TableParagraph"/>
            </w:pPr>
          </w:p>
        </w:tc>
      </w:tr>
      <w:tr w:rsidR="004859FB" w:rsidRPr="007D6064" w14:paraId="054F4064" w14:textId="77777777" w:rsidTr="00944461">
        <w:trPr>
          <w:trHeight w:val="268"/>
        </w:trPr>
        <w:tc>
          <w:tcPr>
            <w:tcW w:w="734" w:type="dxa"/>
          </w:tcPr>
          <w:p w14:paraId="19139E9A" w14:textId="77777777" w:rsidR="004859FB" w:rsidRPr="007D6064" w:rsidRDefault="004859FB" w:rsidP="00944461">
            <w:pPr>
              <w:pStyle w:val="TableParagraph"/>
              <w:spacing w:line="248" w:lineRule="exact"/>
              <w:ind w:right="94"/>
              <w:jc w:val="right"/>
            </w:pPr>
            <w:r w:rsidRPr="007D6064">
              <w:rPr>
                <w:w w:val="93"/>
              </w:rPr>
              <w:t>5</w:t>
            </w:r>
          </w:p>
        </w:tc>
        <w:tc>
          <w:tcPr>
            <w:tcW w:w="2038" w:type="dxa"/>
          </w:tcPr>
          <w:p w14:paraId="20B83FC8" w14:textId="77777777" w:rsidR="004859FB" w:rsidRPr="007D6064" w:rsidRDefault="004859FB" w:rsidP="00944461">
            <w:pPr>
              <w:pStyle w:val="TableParagraph"/>
              <w:spacing w:line="248" w:lineRule="exact"/>
              <w:ind w:left="108"/>
            </w:pPr>
            <w:r w:rsidRPr="007D6064">
              <w:rPr>
                <w:w w:val="90"/>
              </w:rPr>
              <w:t>Debt-to-Equity</w:t>
            </w:r>
            <w:r w:rsidRPr="007D6064">
              <w:rPr>
                <w:spacing w:val="-21"/>
                <w:w w:val="90"/>
              </w:rPr>
              <w:t xml:space="preserve"> </w:t>
            </w:r>
            <w:r w:rsidRPr="007D6064">
              <w:rPr>
                <w:w w:val="90"/>
              </w:rPr>
              <w:t>Ratio</w:t>
            </w:r>
          </w:p>
        </w:tc>
        <w:tc>
          <w:tcPr>
            <w:tcW w:w="5055" w:type="dxa"/>
          </w:tcPr>
          <w:p w14:paraId="57739A38" w14:textId="77777777" w:rsidR="004859FB" w:rsidRPr="007D6064" w:rsidRDefault="004859FB" w:rsidP="00944461">
            <w:pPr>
              <w:pStyle w:val="TableParagraph"/>
              <w:spacing w:line="248" w:lineRule="exact"/>
              <w:ind w:left="108"/>
            </w:pPr>
            <w:r w:rsidRPr="007D6064">
              <w:rPr>
                <w:w w:val="90"/>
              </w:rPr>
              <w:t>Total</w:t>
            </w:r>
            <w:r w:rsidRPr="007D6064">
              <w:rPr>
                <w:spacing w:val="-20"/>
                <w:w w:val="90"/>
              </w:rPr>
              <w:t xml:space="preserve"> </w:t>
            </w:r>
            <w:r w:rsidRPr="007D6064">
              <w:rPr>
                <w:w w:val="90"/>
              </w:rPr>
              <w:t>Debt</w:t>
            </w:r>
            <w:r w:rsidRPr="007D6064">
              <w:rPr>
                <w:spacing w:val="-19"/>
                <w:w w:val="90"/>
              </w:rPr>
              <w:t xml:space="preserve"> </w:t>
            </w:r>
            <w:r w:rsidRPr="007D6064">
              <w:rPr>
                <w:w w:val="90"/>
              </w:rPr>
              <w:t>/</w:t>
            </w:r>
            <w:r w:rsidRPr="007D6064">
              <w:rPr>
                <w:spacing w:val="-18"/>
                <w:w w:val="90"/>
              </w:rPr>
              <w:t xml:space="preserve"> </w:t>
            </w:r>
            <w:r w:rsidRPr="007D6064">
              <w:rPr>
                <w:w w:val="90"/>
              </w:rPr>
              <w:t>Shareholders'</w:t>
            </w:r>
            <w:r w:rsidRPr="007D6064">
              <w:rPr>
                <w:spacing w:val="-17"/>
                <w:w w:val="90"/>
              </w:rPr>
              <w:t xml:space="preserve"> </w:t>
            </w:r>
            <w:r w:rsidRPr="007D6064">
              <w:rPr>
                <w:w w:val="90"/>
              </w:rPr>
              <w:t>Equity</w:t>
            </w:r>
          </w:p>
        </w:tc>
        <w:tc>
          <w:tcPr>
            <w:tcW w:w="1336" w:type="dxa"/>
          </w:tcPr>
          <w:p w14:paraId="08F049E3" w14:textId="46A7CE50" w:rsidR="004859FB" w:rsidRPr="007D6064" w:rsidRDefault="007D6064" w:rsidP="00944461">
            <w:pPr>
              <w:pStyle w:val="TableParagraph"/>
              <w:spacing w:line="248" w:lineRule="exact"/>
              <w:ind w:right="95"/>
              <w:jc w:val="right"/>
            </w:pPr>
            <w:r w:rsidRPr="007D6064">
              <w:t>4.67</w:t>
            </w:r>
          </w:p>
        </w:tc>
      </w:tr>
      <w:tr w:rsidR="004859FB" w:rsidRPr="007D6064" w14:paraId="17AC21A2" w14:textId="77777777" w:rsidTr="00944461">
        <w:trPr>
          <w:trHeight w:val="268"/>
        </w:trPr>
        <w:tc>
          <w:tcPr>
            <w:tcW w:w="734" w:type="dxa"/>
          </w:tcPr>
          <w:p w14:paraId="4C65F546" w14:textId="77777777" w:rsidR="004859FB" w:rsidRPr="007D6064" w:rsidRDefault="004859FB" w:rsidP="00944461">
            <w:pPr>
              <w:pStyle w:val="TableParagraph"/>
            </w:pPr>
          </w:p>
        </w:tc>
        <w:tc>
          <w:tcPr>
            <w:tcW w:w="2038" w:type="dxa"/>
          </w:tcPr>
          <w:p w14:paraId="7E7F5A10" w14:textId="77777777" w:rsidR="004859FB" w:rsidRPr="007D6064" w:rsidRDefault="004859FB" w:rsidP="00944461">
            <w:pPr>
              <w:pStyle w:val="TableParagraph"/>
            </w:pPr>
          </w:p>
        </w:tc>
        <w:tc>
          <w:tcPr>
            <w:tcW w:w="5055" w:type="dxa"/>
          </w:tcPr>
          <w:p w14:paraId="76AF1DA2" w14:textId="72F73993" w:rsidR="004859FB" w:rsidRPr="007D6064" w:rsidRDefault="004859FB" w:rsidP="00944461">
            <w:pPr>
              <w:pStyle w:val="TableParagraph"/>
              <w:spacing w:line="248" w:lineRule="exact"/>
              <w:ind w:left="108"/>
            </w:pPr>
          </w:p>
        </w:tc>
        <w:tc>
          <w:tcPr>
            <w:tcW w:w="1336" w:type="dxa"/>
          </w:tcPr>
          <w:p w14:paraId="3710B994" w14:textId="52083881" w:rsidR="004859FB" w:rsidRPr="007D6064" w:rsidRDefault="004859FB" w:rsidP="007D6064">
            <w:pPr>
              <w:pStyle w:val="TableParagraph"/>
              <w:spacing w:line="248" w:lineRule="exact"/>
              <w:ind w:right="96"/>
            </w:pPr>
          </w:p>
        </w:tc>
      </w:tr>
      <w:bookmarkEnd w:id="0"/>
    </w:tbl>
    <w:p w14:paraId="7B85B2D5" w14:textId="77777777" w:rsidR="004859FB" w:rsidRPr="007D6064" w:rsidRDefault="004859FB" w:rsidP="003354C4">
      <w:pPr>
        <w:rPr>
          <w:rFonts w:ascii="Tahoma" w:hAnsi="Tahoma" w:cs="Tahoma"/>
          <w:b/>
          <w:bCs/>
        </w:rPr>
      </w:pPr>
    </w:p>
    <w:p w14:paraId="26551F64" w14:textId="77777777" w:rsidR="00F96CC7" w:rsidRDefault="00F96CC7" w:rsidP="0007472D">
      <w:pPr>
        <w:rPr>
          <w:rFonts w:ascii="Tahoma" w:hAnsi="Tahoma" w:cs="Tahoma"/>
          <w:b/>
          <w:bCs/>
        </w:rPr>
      </w:pPr>
    </w:p>
    <w:p w14:paraId="2220582F" w14:textId="77777777" w:rsidR="00F96CC7" w:rsidRDefault="00F96CC7" w:rsidP="0007472D">
      <w:pPr>
        <w:rPr>
          <w:rFonts w:ascii="Tahoma" w:hAnsi="Tahoma" w:cs="Tahoma"/>
          <w:b/>
          <w:bCs/>
        </w:rPr>
      </w:pPr>
    </w:p>
    <w:p w14:paraId="042DEA8A" w14:textId="2AA1F427" w:rsidR="0007472D" w:rsidRPr="0007472D" w:rsidRDefault="0007472D" w:rsidP="0007472D">
      <w:pPr>
        <w:rPr>
          <w:rFonts w:ascii="Tahoma" w:hAnsi="Tahoma" w:cs="Tahoma"/>
        </w:rPr>
      </w:pPr>
      <w:r w:rsidRPr="0007472D">
        <w:rPr>
          <w:rFonts w:ascii="Tahoma" w:hAnsi="Tahoma" w:cs="Tahoma"/>
          <w:b/>
          <w:bCs/>
        </w:rPr>
        <w:t>Ratio Analysis for Apple Inc.:</w:t>
      </w:r>
    </w:p>
    <w:p w14:paraId="708B5153" w14:textId="77777777" w:rsidR="0007472D" w:rsidRPr="0007472D" w:rsidRDefault="0007472D" w:rsidP="0007472D">
      <w:pPr>
        <w:numPr>
          <w:ilvl w:val="0"/>
          <w:numId w:val="3"/>
        </w:numPr>
        <w:rPr>
          <w:rFonts w:ascii="Tahoma" w:hAnsi="Tahoma" w:cs="Tahoma"/>
        </w:rPr>
      </w:pPr>
      <w:r w:rsidRPr="0007472D">
        <w:rPr>
          <w:rFonts w:ascii="Tahoma" w:hAnsi="Tahoma" w:cs="Tahoma"/>
          <w:b/>
          <w:bCs/>
        </w:rPr>
        <w:t>Profitability</w:t>
      </w:r>
      <w:r w:rsidRPr="0007472D">
        <w:rPr>
          <w:rFonts w:ascii="Tahoma" w:hAnsi="Tahoma" w:cs="Tahoma"/>
        </w:rPr>
        <w:t>:</w:t>
      </w:r>
    </w:p>
    <w:p w14:paraId="2BBBC8E7" w14:textId="77777777" w:rsidR="0007472D" w:rsidRPr="0007472D" w:rsidRDefault="0007472D" w:rsidP="0007472D">
      <w:pPr>
        <w:numPr>
          <w:ilvl w:val="1"/>
          <w:numId w:val="3"/>
        </w:numPr>
        <w:rPr>
          <w:rFonts w:ascii="Tahoma" w:hAnsi="Tahoma" w:cs="Tahoma"/>
        </w:rPr>
      </w:pPr>
      <w:r w:rsidRPr="0007472D">
        <w:rPr>
          <w:rFonts w:ascii="Tahoma" w:hAnsi="Tahoma" w:cs="Tahoma"/>
        </w:rPr>
        <w:t>Apple demonstrates strong profitability, with a net profit margin of 25.3%. This indicates effective cost management and healthy profitability relative to revenue.</w:t>
      </w:r>
    </w:p>
    <w:p w14:paraId="5E17012F" w14:textId="77777777" w:rsidR="0007472D" w:rsidRPr="0007472D" w:rsidRDefault="0007472D" w:rsidP="0007472D">
      <w:pPr>
        <w:numPr>
          <w:ilvl w:val="0"/>
          <w:numId w:val="3"/>
        </w:numPr>
        <w:rPr>
          <w:rFonts w:ascii="Tahoma" w:hAnsi="Tahoma" w:cs="Tahoma"/>
        </w:rPr>
      </w:pPr>
      <w:r w:rsidRPr="0007472D">
        <w:rPr>
          <w:rFonts w:ascii="Tahoma" w:hAnsi="Tahoma" w:cs="Tahoma"/>
          <w:b/>
          <w:bCs/>
        </w:rPr>
        <w:t>Asset Utilization</w:t>
      </w:r>
      <w:r w:rsidRPr="0007472D">
        <w:rPr>
          <w:rFonts w:ascii="Tahoma" w:hAnsi="Tahoma" w:cs="Tahoma"/>
        </w:rPr>
        <w:t>:</w:t>
      </w:r>
    </w:p>
    <w:p w14:paraId="33955BEA" w14:textId="77777777" w:rsidR="0007472D" w:rsidRPr="0007472D" w:rsidRDefault="0007472D" w:rsidP="0007472D">
      <w:pPr>
        <w:numPr>
          <w:ilvl w:val="1"/>
          <w:numId w:val="3"/>
        </w:numPr>
        <w:rPr>
          <w:rFonts w:ascii="Tahoma" w:hAnsi="Tahoma" w:cs="Tahoma"/>
        </w:rPr>
      </w:pPr>
      <w:r w:rsidRPr="0007472D">
        <w:rPr>
          <w:rFonts w:ascii="Tahoma" w:hAnsi="Tahoma" w:cs="Tahoma"/>
        </w:rPr>
        <w:t>With a return on assets (ROA) of 27.5%, Apple efficiently utilizes its assets to generate profits, reflecting strong operational performance.</w:t>
      </w:r>
    </w:p>
    <w:p w14:paraId="03F3F2CF" w14:textId="77777777" w:rsidR="0007472D" w:rsidRPr="0007472D" w:rsidRDefault="0007472D" w:rsidP="0007472D">
      <w:pPr>
        <w:numPr>
          <w:ilvl w:val="0"/>
          <w:numId w:val="3"/>
        </w:numPr>
        <w:rPr>
          <w:rFonts w:ascii="Tahoma" w:hAnsi="Tahoma" w:cs="Tahoma"/>
        </w:rPr>
      </w:pPr>
      <w:r w:rsidRPr="0007472D">
        <w:rPr>
          <w:rFonts w:ascii="Tahoma" w:hAnsi="Tahoma" w:cs="Tahoma"/>
          <w:b/>
          <w:bCs/>
        </w:rPr>
        <w:t>Financial Leverage</w:t>
      </w:r>
      <w:r w:rsidRPr="0007472D">
        <w:rPr>
          <w:rFonts w:ascii="Tahoma" w:hAnsi="Tahoma" w:cs="Tahoma"/>
        </w:rPr>
        <w:t>:</w:t>
      </w:r>
    </w:p>
    <w:p w14:paraId="40B697A9" w14:textId="77777777" w:rsidR="0007472D" w:rsidRPr="0007472D" w:rsidRDefault="0007472D" w:rsidP="0007472D">
      <w:pPr>
        <w:numPr>
          <w:ilvl w:val="1"/>
          <w:numId w:val="3"/>
        </w:numPr>
        <w:rPr>
          <w:rFonts w:ascii="Tahoma" w:hAnsi="Tahoma" w:cs="Tahoma"/>
        </w:rPr>
      </w:pPr>
      <w:r w:rsidRPr="0007472D">
        <w:rPr>
          <w:rFonts w:ascii="Tahoma" w:hAnsi="Tahoma" w:cs="Tahoma"/>
        </w:rPr>
        <w:t>Apple's debt-to-equity ratio of 4.674 suggests a relatively high level of debt compared to equity. While this can amplify returns, it also increases financial risk.</w:t>
      </w:r>
    </w:p>
    <w:p w14:paraId="37E50B88" w14:textId="77777777" w:rsidR="0007472D" w:rsidRPr="0007472D" w:rsidRDefault="0007472D" w:rsidP="0007472D">
      <w:pPr>
        <w:numPr>
          <w:ilvl w:val="0"/>
          <w:numId w:val="3"/>
        </w:numPr>
        <w:rPr>
          <w:rFonts w:ascii="Tahoma" w:hAnsi="Tahoma" w:cs="Tahoma"/>
        </w:rPr>
      </w:pPr>
      <w:r w:rsidRPr="0007472D">
        <w:rPr>
          <w:rFonts w:ascii="Tahoma" w:hAnsi="Tahoma" w:cs="Tahoma"/>
          <w:b/>
          <w:bCs/>
        </w:rPr>
        <w:t>Liquidity</w:t>
      </w:r>
      <w:r w:rsidRPr="0007472D">
        <w:rPr>
          <w:rFonts w:ascii="Tahoma" w:hAnsi="Tahoma" w:cs="Tahoma"/>
        </w:rPr>
        <w:t>:</w:t>
      </w:r>
    </w:p>
    <w:p w14:paraId="749CC4F0" w14:textId="7852A9B2" w:rsidR="003A4C0C" w:rsidRPr="003A4C0C" w:rsidRDefault="0007472D" w:rsidP="003A4C0C">
      <w:pPr>
        <w:numPr>
          <w:ilvl w:val="1"/>
          <w:numId w:val="3"/>
        </w:numPr>
        <w:rPr>
          <w:rFonts w:ascii="Tahoma" w:hAnsi="Tahoma" w:cs="Tahoma"/>
        </w:rPr>
      </w:pPr>
      <w:r w:rsidRPr="0007472D">
        <w:rPr>
          <w:rFonts w:ascii="Tahoma" w:hAnsi="Tahoma" w:cs="Tahoma"/>
        </w:rPr>
        <w:t>The current ratio of 0.987 and quick ratio of 0.937 indicate a slightly tight liquidity position for Apple. However, the company's strong cash reserves and stable cash flows mitigate liquidity risks.</w:t>
      </w:r>
    </w:p>
    <w:p w14:paraId="149A832D" w14:textId="77777777" w:rsidR="0007472D" w:rsidRPr="0007472D" w:rsidRDefault="0007472D" w:rsidP="0007472D">
      <w:pPr>
        <w:numPr>
          <w:ilvl w:val="0"/>
          <w:numId w:val="3"/>
        </w:numPr>
        <w:rPr>
          <w:rFonts w:ascii="Tahoma" w:hAnsi="Tahoma" w:cs="Tahoma"/>
        </w:rPr>
      </w:pPr>
      <w:r w:rsidRPr="0007472D">
        <w:rPr>
          <w:rFonts w:ascii="Tahoma" w:hAnsi="Tahoma" w:cs="Tahoma"/>
          <w:b/>
          <w:bCs/>
        </w:rPr>
        <w:lastRenderedPageBreak/>
        <w:t>Dividend Policy</w:t>
      </w:r>
      <w:r w:rsidRPr="0007472D">
        <w:rPr>
          <w:rFonts w:ascii="Tahoma" w:hAnsi="Tahoma" w:cs="Tahoma"/>
        </w:rPr>
        <w:t>:</w:t>
      </w:r>
    </w:p>
    <w:p w14:paraId="06A70DB3" w14:textId="77777777" w:rsidR="0007472D" w:rsidRPr="0007472D" w:rsidRDefault="0007472D" w:rsidP="0007472D">
      <w:pPr>
        <w:numPr>
          <w:ilvl w:val="1"/>
          <w:numId w:val="3"/>
        </w:numPr>
        <w:rPr>
          <w:rFonts w:ascii="Tahoma" w:hAnsi="Tahoma" w:cs="Tahoma"/>
        </w:rPr>
      </w:pPr>
      <w:r w:rsidRPr="0007472D">
        <w:rPr>
          <w:rFonts w:ascii="Tahoma" w:hAnsi="Tahoma" w:cs="Tahoma"/>
        </w:rPr>
        <w:t>Apple maintains a moderate dividend payout ratio of 15.45%, leaving room for reinvestment in growth opportunities while providing returns to shareholders.</w:t>
      </w:r>
    </w:p>
    <w:p w14:paraId="51C52FEB" w14:textId="77777777" w:rsidR="0007472D" w:rsidRPr="0007472D" w:rsidRDefault="0007472D" w:rsidP="0007472D">
      <w:pPr>
        <w:numPr>
          <w:ilvl w:val="0"/>
          <w:numId w:val="3"/>
        </w:numPr>
        <w:rPr>
          <w:rFonts w:ascii="Tahoma" w:hAnsi="Tahoma" w:cs="Tahoma"/>
        </w:rPr>
      </w:pPr>
      <w:r w:rsidRPr="0007472D">
        <w:rPr>
          <w:rFonts w:ascii="Tahoma" w:hAnsi="Tahoma" w:cs="Tahoma"/>
          <w:b/>
          <w:bCs/>
        </w:rPr>
        <w:t>Growth Potential</w:t>
      </w:r>
      <w:r w:rsidRPr="0007472D">
        <w:rPr>
          <w:rFonts w:ascii="Tahoma" w:hAnsi="Tahoma" w:cs="Tahoma"/>
        </w:rPr>
        <w:t>:</w:t>
      </w:r>
    </w:p>
    <w:p w14:paraId="14CC2470" w14:textId="77777777" w:rsidR="0007472D" w:rsidRPr="0007472D" w:rsidRDefault="0007472D" w:rsidP="0007472D">
      <w:pPr>
        <w:numPr>
          <w:ilvl w:val="1"/>
          <w:numId w:val="3"/>
        </w:numPr>
        <w:rPr>
          <w:rFonts w:ascii="Tahoma" w:hAnsi="Tahoma" w:cs="Tahoma"/>
        </w:rPr>
      </w:pPr>
      <w:r w:rsidRPr="0007472D">
        <w:rPr>
          <w:rFonts w:ascii="Tahoma" w:hAnsi="Tahoma" w:cs="Tahoma"/>
        </w:rPr>
        <w:t>Apple's sustainable growth rate (SGR) of 132.0% indicates the potential for significant earnings growth without heavy reliance on external financing, reflecting a balanced approach to growth.</w:t>
      </w:r>
    </w:p>
    <w:p w14:paraId="342F8D46" w14:textId="77777777" w:rsidR="00F96CC7" w:rsidRDefault="00F96CC7" w:rsidP="0007472D">
      <w:pPr>
        <w:rPr>
          <w:rFonts w:ascii="Tahoma" w:hAnsi="Tahoma" w:cs="Tahoma"/>
          <w:b/>
          <w:bCs/>
        </w:rPr>
      </w:pPr>
    </w:p>
    <w:p w14:paraId="30CDBA08" w14:textId="77777777" w:rsidR="00F96CC7" w:rsidRDefault="00F96CC7" w:rsidP="0007472D">
      <w:pPr>
        <w:rPr>
          <w:rFonts w:ascii="Tahoma" w:hAnsi="Tahoma" w:cs="Tahoma"/>
          <w:b/>
          <w:bCs/>
        </w:rPr>
      </w:pPr>
    </w:p>
    <w:p w14:paraId="769E9CE6" w14:textId="1F4B8F86" w:rsidR="0007472D" w:rsidRPr="0007472D" w:rsidRDefault="0007472D" w:rsidP="0007472D">
      <w:pPr>
        <w:rPr>
          <w:rFonts w:ascii="Tahoma" w:hAnsi="Tahoma" w:cs="Tahoma"/>
        </w:rPr>
      </w:pPr>
      <w:r w:rsidRPr="0007472D">
        <w:rPr>
          <w:rFonts w:ascii="Tahoma" w:hAnsi="Tahoma" w:cs="Tahoma"/>
          <w:b/>
          <w:bCs/>
        </w:rPr>
        <w:t>Overall Assessment:</w:t>
      </w:r>
    </w:p>
    <w:p w14:paraId="3DF616F2" w14:textId="77777777" w:rsidR="0007472D" w:rsidRDefault="0007472D" w:rsidP="0007472D">
      <w:pPr>
        <w:numPr>
          <w:ilvl w:val="0"/>
          <w:numId w:val="4"/>
        </w:numPr>
        <w:rPr>
          <w:rFonts w:ascii="Tahoma" w:hAnsi="Tahoma" w:cs="Tahoma"/>
        </w:rPr>
      </w:pPr>
      <w:r w:rsidRPr="0007472D">
        <w:rPr>
          <w:rFonts w:ascii="Tahoma" w:hAnsi="Tahoma" w:cs="Tahoma"/>
        </w:rPr>
        <w:t>Apple demonstrates strong profitability, efficient asset utilization, and moderate financial leverage. While liquidity ratios suggest relatively tight liquidity positions, the company's robust cash reserves and stable cash flows mitigate liquidity risks. Additionally, the moderate dividend payout ratio and high sustainable growth rate underscore Apple's ability to balance shareholder returns with reinvestment for future growth.</w:t>
      </w:r>
    </w:p>
    <w:p w14:paraId="1E33CFA0" w14:textId="77777777" w:rsidR="00285C1E" w:rsidRDefault="00285C1E" w:rsidP="00285C1E">
      <w:pPr>
        <w:rPr>
          <w:rFonts w:ascii="Tahoma" w:hAnsi="Tahoma" w:cs="Tahoma"/>
        </w:rPr>
      </w:pPr>
    </w:p>
    <w:p w14:paraId="7E803EB5" w14:textId="77777777" w:rsidR="00A4430E" w:rsidRDefault="00A4430E" w:rsidP="00285C1E">
      <w:pPr>
        <w:rPr>
          <w:rFonts w:ascii="Tahoma" w:hAnsi="Tahoma" w:cs="Tahoma"/>
          <w:b/>
          <w:bCs/>
        </w:rPr>
      </w:pPr>
    </w:p>
    <w:p w14:paraId="31FD60EC" w14:textId="77777777" w:rsidR="00A4430E" w:rsidRDefault="00A4430E" w:rsidP="00285C1E">
      <w:pPr>
        <w:rPr>
          <w:rFonts w:ascii="Tahoma" w:hAnsi="Tahoma" w:cs="Tahoma"/>
          <w:b/>
          <w:bCs/>
        </w:rPr>
      </w:pPr>
    </w:p>
    <w:p w14:paraId="11037236" w14:textId="0FADEEC7" w:rsidR="00A4430E" w:rsidRDefault="00F000B5" w:rsidP="00285C1E">
      <w:pPr>
        <w:rPr>
          <w:rFonts w:ascii="Tahoma" w:hAnsi="Tahoma" w:cs="Tahoma"/>
          <w:b/>
          <w:bCs/>
        </w:rPr>
      </w:pPr>
      <w:r>
        <w:rPr>
          <w:rFonts w:ascii="Tahoma" w:hAnsi="Tahoma" w:cs="Tahoma"/>
          <w:b/>
          <w:bCs/>
        </w:rPr>
        <w:t>Simple Moving Average (SMA)</w:t>
      </w:r>
    </w:p>
    <w:p w14:paraId="12B0C014" w14:textId="0EB4F54D" w:rsidR="00F000B5" w:rsidRDefault="00F000B5" w:rsidP="00285C1E">
      <w:pPr>
        <w:rPr>
          <w:rFonts w:ascii="Tahoma" w:hAnsi="Tahoma" w:cs="Tahoma"/>
          <w:b/>
          <w:bCs/>
        </w:rPr>
      </w:pPr>
      <w:r w:rsidRPr="00F000B5">
        <w:rPr>
          <w:rFonts w:ascii="Tahoma" w:hAnsi="Tahoma" w:cs="Tahoma"/>
          <w:b/>
          <w:bCs/>
        </w:rPr>
        <w:drawing>
          <wp:inline distT="0" distB="0" distL="0" distR="0" wp14:anchorId="4F335022" wp14:editId="4C639E62">
            <wp:extent cx="5943600" cy="3075305"/>
            <wp:effectExtent l="0" t="0" r="0" b="0"/>
            <wp:docPr id="1026" name="Picture 2" descr="A graph with red and green triangles&#10;&#10;Description automatically generated">
              <a:extLst xmlns:a="http://schemas.openxmlformats.org/drawingml/2006/main">
                <a:ext uri="{FF2B5EF4-FFF2-40B4-BE49-F238E27FC236}">
                  <a16:creationId xmlns:a16="http://schemas.microsoft.com/office/drawing/2014/main" id="{979152E7-9DA8-A268-B95E-C5AEF0E943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A graph with red and green triangles&#10;&#10;Description automatically generated">
                      <a:extLst>
                        <a:ext uri="{FF2B5EF4-FFF2-40B4-BE49-F238E27FC236}">
                          <a16:creationId xmlns:a16="http://schemas.microsoft.com/office/drawing/2014/main" id="{979152E7-9DA8-A268-B95E-C5AEF0E9439C}"/>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3075305"/>
                    </a:xfrm>
                    <a:prstGeom prst="rect">
                      <a:avLst/>
                    </a:prstGeom>
                    <a:noFill/>
                  </pic:spPr>
                </pic:pic>
              </a:graphicData>
            </a:graphic>
          </wp:inline>
        </w:drawing>
      </w:r>
    </w:p>
    <w:p w14:paraId="7CB88A39" w14:textId="77777777" w:rsidR="00A4430E" w:rsidRDefault="00A4430E" w:rsidP="00285C1E">
      <w:pPr>
        <w:rPr>
          <w:rFonts w:ascii="Tahoma" w:hAnsi="Tahoma" w:cs="Tahoma"/>
          <w:b/>
          <w:bCs/>
        </w:rPr>
      </w:pPr>
    </w:p>
    <w:p w14:paraId="2798385F" w14:textId="72B6FC00" w:rsidR="00A4430E" w:rsidRDefault="00F000B5" w:rsidP="00285C1E">
      <w:pPr>
        <w:rPr>
          <w:rFonts w:ascii="Tahoma" w:hAnsi="Tahoma" w:cs="Tahoma"/>
          <w:b/>
          <w:bCs/>
        </w:rPr>
      </w:pPr>
      <w:r>
        <w:rPr>
          <w:rFonts w:ascii="Tahoma" w:hAnsi="Tahoma" w:cs="Tahoma"/>
          <w:b/>
          <w:bCs/>
        </w:rPr>
        <w:lastRenderedPageBreak/>
        <w:t>Exponential Moving Average (EMA)</w:t>
      </w:r>
    </w:p>
    <w:p w14:paraId="0746BE17" w14:textId="260496F4" w:rsidR="00F000B5" w:rsidRDefault="00F000B5" w:rsidP="00285C1E">
      <w:pPr>
        <w:rPr>
          <w:rFonts w:ascii="Tahoma" w:hAnsi="Tahoma" w:cs="Tahoma"/>
          <w:b/>
          <w:bCs/>
        </w:rPr>
      </w:pPr>
      <w:r w:rsidRPr="00F000B5">
        <w:rPr>
          <w:rFonts w:ascii="Tahoma" w:hAnsi="Tahoma" w:cs="Tahoma"/>
          <w:b/>
          <w:bCs/>
        </w:rPr>
        <w:drawing>
          <wp:inline distT="0" distB="0" distL="0" distR="0" wp14:anchorId="191FE63C" wp14:editId="02CEEDFF">
            <wp:extent cx="5943600" cy="3194685"/>
            <wp:effectExtent l="0" t="0" r="0" b="5715"/>
            <wp:docPr id="2050" name="Picture 2" descr="A graph with red and green arrows&#10;&#10;Description automatically generated">
              <a:extLst xmlns:a="http://schemas.openxmlformats.org/drawingml/2006/main">
                <a:ext uri="{FF2B5EF4-FFF2-40B4-BE49-F238E27FC236}">
                  <a16:creationId xmlns:a16="http://schemas.microsoft.com/office/drawing/2014/main" id="{5E2CC045-81FF-7D03-197E-A22DC6C11C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graph with red and green arrows&#10;&#10;Description automatically generated">
                      <a:extLst>
                        <a:ext uri="{FF2B5EF4-FFF2-40B4-BE49-F238E27FC236}">
                          <a16:creationId xmlns:a16="http://schemas.microsoft.com/office/drawing/2014/main" id="{5E2CC045-81FF-7D03-197E-A22DC6C11CB4}"/>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3194685"/>
                    </a:xfrm>
                    <a:prstGeom prst="rect">
                      <a:avLst/>
                    </a:prstGeom>
                    <a:noFill/>
                  </pic:spPr>
                </pic:pic>
              </a:graphicData>
            </a:graphic>
          </wp:inline>
        </w:drawing>
      </w:r>
    </w:p>
    <w:p w14:paraId="0F1C6F9F" w14:textId="77777777" w:rsidR="00F000B5" w:rsidRDefault="00F000B5" w:rsidP="00285C1E">
      <w:pPr>
        <w:rPr>
          <w:rFonts w:ascii="Tahoma" w:hAnsi="Tahoma" w:cs="Tahoma"/>
          <w:b/>
          <w:bCs/>
        </w:rPr>
      </w:pPr>
    </w:p>
    <w:p w14:paraId="0FB3C773" w14:textId="77777777" w:rsidR="00F000B5" w:rsidRDefault="00F000B5" w:rsidP="00285C1E">
      <w:pPr>
        <w:rPr>
          <w:rFonts w:ascii="Tahoma" w:hAnsi="Tahoma" w:cs="Tahoma"/>
          <w:b/>
          <w:bCs/>
        </w:rPr>
      </w:pPr>
    </w:p>
    <w:p w14:paraId="6B971766" w14:textId="77777777" w:rsidR="00F000B5" w:rsidRDefault="00F000B5" w:rsidP="00285C1E">
      <w:pPr>
        <w:rPr>
          <w:rFonts w:ascii="Tahoma" w:hAnsi="Tahoma" w:cs="Tahoma"/>
          <w:b/>
          <w:bCs/>
        </w:rPr>
      </w:pPr>
    </w:p>
    <w:p w14:paraId="52207424" w14:textId="77777777" w:rsidR="00F000B5" w:rsidRDefault="00F000B5" w:rsidP="00285C1E">
      <w:pPr>
        <w:rPr>
          <w:rFonts w:ascii="Tahoma" w:hAnsi="Tahoma" w:cs="Tahoma"/>
          <w:b/>
          <w:bCs/>
        </w:rPr>
      </w:pPr>
    </w:p>
    <w:p w14:paraId="653A022E" w14:textId="1E698BAF" w:rsidR="00A4430E" w:rsidRPr="00A4430E" w:rsidRDefault="00285C1E" w:rsidP="00285C1E">
      <w:pPr>
        <w:rPr>
          <w:rFonts w:ascii="Tahoma" w:hAnsi="Tahoma" w:cs="Tahoma"/>
          <w:b/>
          <w:bCs/>
        </w:rPr>
      </w:pPr>
      <w:r w:rsidRPr="00285C1E">
        <w:rPr>
          <w:rFonts w:ascii="Tahoma" w:hAnsi="Tahoma" w:cs="Tahoma"/>
          <w:b/>
          <w:bCs/>
        </w:rPr>
        <w:t>CAPM (Capital Asset Pricing Model) Analysis</w:t>
      </w:r>
    </w:p>
    <w:p w14:paraId="41DFD7D3" w14:textId="77777777" w:rsidR="00285C1E" w:rsidRPr="00285C1E" w:rsidRDefault="00285C1E" w:rsidP="00285C1E">
      <w:pPr>
        <w:numPr>
          <w:ilvl w:val="1"/>
          <w:numId w:val="6"/>
        </w:numPr>
        <w:rPr>
          <w:rFonts w:ascii="Tahoma" w:hAnsi="Tahoma" w:cs="Tahoma"/>
        </w:rPr>
      </w:pPr>
      <w:r w:rsidRPr="00285C1E">
        <w:rPr>
          <w:rFonts w:ascii="Tahoma" w:hAnsi="Tahoma" w:cs="Tahoma"/>
        </w:rPr>
        <w:t>The higher-than-expected return on equity (E(</w:t>
      </w:r>
      <w:proofErr w:type="spellStart"/>
      <w:r w:rsidRPr="00285C1E">
        <w:rPr>
          <w:rFonts w:ascii="Tahoma" w:hAnsi="Tahoma" w:cs="Tahoma"/>
        </w:rPr>
        <w:t>R_i</w:t>
      </w:r>
      <w:proofErr w:type="spellEnd"/>
      <w:r w:rsidRPr="00285C1E">
        <w:rPr>
          <w:rFonts w:ascii="Tahoma" w:hAnsi="Tahoma" w:cs="Tahoma"/>
        </w:rPr>
        <w:t>)) of approximately 15.58% indicates that investors require a premium for holding the stock, reflecting its higher risk compared to the market.</w:t>
      </w:r>
    </w:p>
    <w:p w14:paraId="436784A8" w14:textId="77777777" w:rsidR="00285C1E" w:rsidRPr="00285C1E" w:rsidRDefault="00285C1E" w:rsidP="00285C1E">
      <w:pPr>
        <w:numPr>
          <w:ilvl w:val="1"/>
          <w:numId w:val="6"/>
        </w:numPr>
        <w:rPr>
          <w:rFonts w:ascii="Tahoma" w:hAnsi="Tahoma" w:cs="Tahoma"/>
        </w:rPr>
      </w:pPr>
      <w:r w:rsidRPr="00285C1E">
        <w:rPr>
          <w:rFonts w:ascii="Tahoma" w:hAnsi="Tahoma" w:cs="Tahoma"/>
        </w:rPr>
        <w:t>This suggests that the stock exhibits higher-than-average volatility, as indicated by its beta of 1.28, which contributes to the elevated expected return.</w:t>
      </w:r>
    </w:p>
    <w:p w14:paraId="7558F40D" w14:textId="77777777" w:rsidR="00285C1E" w:rsidRDefault="00285C1E" w:rsidP="00285C1E">
      <w:pPr>
        <w:numPr>
          <w:ilvl w:val="1"/>
          <w:numId w:val="6"/>
        </w:numPr>
        <w:rPr>
          <w:rFonts w:ascii="Tahoma" w:hAnsi="Tahoma" w:cs="Tahoma"/>
        </w:rPr>
      </w:pPr>
      <w:r w:rsidRPr="00285C1E">
        <w:rPr>
          <w:rFonts w:ascii="Tahoma" w:hAnsi="Tahoma" w:cs="Tahoma"/>
        </w:rPr>
        <w:t>Investors should carefully assess their risk tolerance and investment objectives before considering the stock, considering factors such as investment horizon, diversification, and overall portfolio risk.</w:t>
      </w:r>
    </w:p>
    <w:p w14:paraId="4564D6E5" w14:textId="77777777" w:rsidR="00A4430E" w:rsidRDefault="00A4430E" w:rsidP="00A4430E">
      <w:pPr>
        <w:rPr>
          <w:rFonts w:ascii="Tahoma" w:hAnsi="Tahoma" w:cs="Tahoma"/>
        </w:rPr>
      </w:pPr>
    </w:p>
    <w:p w14:paraId="12A01662" w14:textId="77777777" w:rsidR="00A4430E" w:rsidRDefault="00A4430E" w:rsidP="00A4430E">
      <w:pPr>
        <w:rPr>
          <w:rFonts w:ascii="Tahoma" w:hAnsi="Tahoma" w:cs="Tahoma"/>
        </w:rPr>
      </w:pPr>
    </w:p>
    <w:p w14:paraId="423904AF" w14:textId="77777777" w:rsidR="00A4430E" w:rsidRDefault="00A4430E" w:rsidP="00A4430E">
      <w:pPr>
        <w:rPr>
          <w:rFonts w:ascii="Tahoma" w:hAnsi="Tahoma" w:cs="Tahoma"/>
        </w:rPr>
      </w:pPr>
    </w:p>
    <w:p w14:paraId="7F40D2EB" w14:textId="77777777" w:rsidR="00F96CC7" w:rsidRDefault="00F96CC7" w:rsidP="001475FC">
      <w:pPr>
        <w:rPr>
          <w:rFonts w:ascii="Tahoma" w:hAnsi="Tahoma" w:cs="Tahoma"/>
        </w:rPr>
      </w:pPr>
    </w:p>
    <w:p w14:paraId="142A93E6" w14:textId="77777777" w:rsidR="00F96CC7" w:rsidRDefault="00F96CC7" w:rsidP="001475FC">
      <w:pPr>
        <w:rPr>
          <w:rFonts w:ascii="Tahoma" w:hAnsi="Tahoma" w:cs="Tahoma"/>
        </w:rPr>
      </w:pPr>
    </w:p>
    <w:p w14:paraId="060665B0" w14:textId="74E87056" w:rsidR="001475FC" w:rsidRPr="001475FC" w:rsidRDefault="001475FC" w:rsidP="001475FC">
      <w:pPr>
        <w:rPr>
          <w:rFonts w:ascii="Tahoma" w:hAnsi="Tahoma" w:cs="Tahoma"/>
        </w:rPr>
      </w:pPr>
      <w:r w:rsidRPr="001475FC">
        <w:rPr>
          <w:rFonts w:ascii="Tahoma" w:hAnsi="Tahoma" w:cs="Tahoma"/>
          <w:b/>
          <w:bCs/>
        </w:rPr>
        <w:lastRenderedPageBreak/>
        <w:t>WACC (Weighted Average Cost of Capital) Analysis</w:t>
      </w:r>
    </w:p>
    <w:p w14:paraId="70F0F8CE" w14:textId="77777777" w:rsidR="003A4C0C" w:rsidRPr="001475FC" w:rsidRDefault="003A4C0C" w:rsidP="003A4C0C">
      <w:pPr>
        <w:ind w:left="1440"/>
        <w:rPr>
          <w:rFonts w:ascii="Tahoma" w:hAnsi="Tahoma" w:cs="Tahoma"/>
        </w:rPr>
      </w:pPr>
    </w:p>
    <w:p w14:paraId="64FB22B3" w14:textId="77777777" w:rsidR="001475FC" w:rsidRPr="001475FC" w:rsidRDefault="001475FC" w:rsidP="001475FC">
      <w:pPr>
        <w:numPr>
          <w:ilvl w:val="0"/>
          <w:numId w:val="10"/>
        </w:numPr>
        <w:rPr>
          <w:rFonts w:ascii="Tahoma" w:hAnsi="Tahoma" w:cs="Tahoma"/>
        </w:rPr>
      </w:pPr>
      <w:r w:rsidRPr="001475FC">
        <w:rPr>
          <w:rFonts w:ascii="Tahoma" w:hAnsi="Tahoma" w:cs="Tahoma"/>
        </w:rPr>
        <w:t>The calculated WACC of approximately 15.05% serves as the weighted average cost of capital for the company, representing the blended cost of equity and debt financing.</w:t>
      </w:r>
    </w:p>
    <w:p w14:paraId="116F260A" w14:textId="77777777" w:rsidR="001475FC" w:rsidRPr="001475FC" w:rsidRDefault="001475FC" w:rsidP="001475FC">
      <w:pPr>
        <w:numPr>
          <w:ilvl w:val="0"/>
          <w:numId w:val="10"/>
        </w:numPr>
        <w:rPr>
          <w:rFonts w:ascii="Tahoma" w:hAnsi="Tahoma" w:cs="Tahoma"/>
        </w:rPr>
      </w:pPr>
      <w:r w:rsidRPr="001475FC">
        <w:rPr>
          <w:rFonts w:ascii="Tahoma" w:hAnsi="Tahoma" w:cs="Tahoma"/>
        </w:rPr>
        <w:t>This rate is utilized as the discount rate for evaluating the company's investment opportunities, guiding decisions on capital allocation and project viability.</w:t>
      </w:r>
    </w:p>
    <w:p w14:paraId="32348D45" w14:textId="41C8140F" w:rsidR="00C628E3" w:rsidRDefault="001475FC" w:rsidP="00C628E3">
      <w:pPr>
        <w:numPr>
          <w:ilvl w:val="0"/>
          <w:numId w:val="10"/>
        </w:numPr>
        <w:rPr>
          <w:rFonts w:ascii="Tahoma" w:hAnsi="Tahoma" w:cs="Tahoma"/>
        </w:rPr>
      </w:pPr>
      <w:r w:rsidRPr="001475FC">
        <w:rPr>
          <w:rFonts w:ascii="Tahoma" w:hAnsi="Tahoma" w:cs="Tahoma"/>
        </w:rPr>
        <w:t>While the calculated value provides a theoretical reference point, further analysis is necessary to understand any discrepancies between the calculated WACC and the market price, considering factors such as market conditions, industry dynamics, and company-specific risks.</w:t>
      </w:r>
    </w:p>
    <w:p w14:paraId="767BEDAC" w14:textId="77777777" w:rsidR="003A4C0C" w:rsidRPr="003A4C0C" w:rsidRDefault="003A4C0C" w:rsidP="003A4C0C">
      <w:pPr>
        <w:ind w:left="720"/>
        <w:rPr>
          <w:rFonts w:ascii="Tahoma" w:hAnsi="Tahoma" w:cs="Tahoma"/>
        </w:rPr>
      </w:pPr>
    </w:p>
    <w:p w14:paraId="7ABB700E" w14:textId="77777777" w:rsidR="00A4430E" w:rsidRDefault="00A4430E" w:rsidP="00C628E3">
      <w:pPr>
        <w:rPr>
          <w:rFonts w:ascii="Tahoma" w:hAnsi="Tahoma" w:cs="Tahoma"/>
          <w:b/>
          <w:bCs/>
        </w:rPr>
      </w:pPr>
    </w:p>
    <w:p w14:paraId="7B55F6F0" w14:textId="77777777" w:rsidR="00A4430E" w:rsidRDefault="00A4430E" w:rsidP="00C628E3">
      <w:pPr>
        <w:rPr>
          <w:rFonts w:ascii="Tahoma" w:hAnsi="Tahoma" w:cs="Tahoma"/>
          <w:b/>
          <w:bCs/>
        </w:rPr>
      </w:pPr>
    </w:p>
    <w:p w14:paraId="4D759143" w14:textId="03C6C3E6" w:rsidR="00C628E3" w:rsidRDefault="00C628E3" w:rsidP="00C628E3">
      <w:pPr>
        <w:rPr>
          <w:rFonts w:ascii="Tahoma" w:hAnsi="Tahoma" w:cs="Tahoma"/>
          <w:b/>
          <w:bCs/>
        </w:rPr>
      </w:pPr>
      <w:r w:rsidRPr="00C628E3">
        <w:rPr>
          <w:rFonts w:ascii="Tahoma" w:hAnsi="Tahoma" w:cs="Tahoma"/>
          <w:b/>
          <w:bCs/>
        </w:rPr>
        <w:t>Monte Carlo Simulation</w:t>
      </w:r>
    </w:p>
    <w:p w14:paraId="4ED5726B" w14:textId="3A6FD11B" w:rsidR="00C628E3" w:rsidRDefault="00C628E3" w:rsidP="00C628E3">
      <w:pPr>
        <w:rPr>
          <w:rFonts w:ascii="Tahoma" w:hAnsi="Tahoma" w:cs="Tahoma"/>
          <w:b/>
          <w:bCs/>
        </w:rPr>
      </w:pPr>
      <w:r>
        <w:rPr>
          <w:noProof/>
        </w:rPr>
        <w:drawing>
          <wp:inline distT="0" distB="0" distL="0" distR="0" wp14:anchorId="69725A85" wp14:editId="267E819B">
            <wp:extent cx="5943600" cy="3783965"/>
            <wp:effectExtent l="0" t="0" r="0" b="6985"/>
            <wp:docPr id="3385407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4079" name="Picture 1" descr="A graph of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3965"/>
                    </a:xfrm>
                    <a:prstGeom prst="rect">
                      <a:avLst/>
                    </a:prstGeom>
                    <a:noFill/>
                    <a:ln>
                      <a:noFill/>
                    </a:ln>
                  </pic:spPr>
                </pic:pic>
              </a:graphicData>
            </a:graphic>
          </wp:inline>
        </w:drawing>
      </w:r>
    </w:p>
    <w:p w14:paraId="181294C0" w14:textId="77777777" w:rsidR="00F96CC7" w:rsidRDefault="00F96CC7" w:rsidP="00C628E3">
      <w:pPr>
        <w:rPr>
          <w:rFonts w:ascii="Tahoma" w:hAnsi="Tahoma" w:cs="Tahoma"/>
          <w:b/>
          <w:bCs/>
        </w:rPr>
      </w:pPr>
    </w:p>
    <w:p w14:paraId="2D2CF244" w14:textId="77777777" w:rsidR="00F96CC7" w:rsidRDefault="00F96CC7" w:rsidP="00C628E3">
      <w:pPr>
        <w:rPr>
          <w:rFonts w:ascii="Tahoma" w:hAnsi="Tahoma" w:cs="Tahoma"/>
          <w:b/>
          <w:bCs/>
        </w:rPr>
      </w:pPr>
    </w:p>
    <w:p w14:paraId="11F075AE" w14:textId="77777777" w:rsidR="00F96CC7" w:rsidRDefault="00F96CC7" w:rsidP="00C628E3">
      <w:pPr>
        <w:rPr>
          <w:rFonts w:ascii="Tahoma" w:hAnsi="Tahoma" w:cs="Tahoma"/>
          <w:b/>
          <w:bCs/>
        </w:rPr>
      </w:pPr>
    </w:p>
    <w:p w14:paraId="744A3632" w14:textId="77777777" w:rsidR="00F000B5" w:rsidRDefault="00F000B5" w:rsidP="00C628E3">
      <w:pPr>
        <w:rPr>
          <w:rFonts w:ascii="Tahoma" w:hAnsi="Tahoma" w:cs="Tahoma"/>
          <w:b/>
          <w:bCs/>
        </w:rPr>
      </w:pPr>
    </w:p>
    <w:p w14:paraId="192B7B45" w14:textId="77777777" w:rsidR="00F000B5" w:rsidRDefault="00F000B5" w:rsidP="00C628E3">
      <w:pPr>
        <w:rPr>
          <w:rFonts w:ascii="Tahoma" w:hAnsi="Tahoma" w:cs="Tahoma"/>
          <w:b/>
          <w:bCs/>
        </w:rPr>
      </w:pPr>
    </w:p>
    <w:p w14:paraId="23F5B845" w14:textId="77777777" w:rsidR="00F96CC7" w:rsidRDefault="00F96CC7" w:rsidP="00C628E3">
      <w:pPr>
        <w:rPr>
          <w:rFonts w:ascii="Tahoma" w:hAnsi="Tahoma" w:cs="Tahoma"/>
          <w:b/>
          <w:bCs/>
        </w:rPr>
      </w:pPr>
    </w:p>
    <w:p w14:paraId="49D326EC" w14:textId="77777777" w:rsidR="00C628E3" w:rsidRDefault="00C628E3" w:rsidP="00C628E3">
      <w:pPr>
        <w:numPr>
          <w:ilvl w:val="0"/>
          <w:numId w:val="11"/>
        </w:numPr>
        <w:rPr>
          <w:rFonts w:ascii="Tahoma" w:hAnsi="Tahoma" w:cs="Tahoma"/>
        </w:rPr>
      </w:pPr>
      <w:r w:rsidRPr="00C628E3">
        <w:rPr>
          <w:rFonts w:ascii="Tahoma" w:hAnsi="Tahoma" w:cs="Tahoma"/>
          <w:b/>
          <w:bCs/>
        </w:rPr>
        <w:t>Simulation Parameters:</w:t>
      </w:r>
      <w:r w:rsidRPr="00C628E3">
        <w:rPr>
          <w:rFonts w:ascii="Tahoma" w:hAnsi="Tahoma" w:cs="Tahoma"/>
        </w:rPr>
        <w:t xml:space="preserve"> The simulation was run with an initial stock price (S0) of $168.79, an annualized volatility (sigma) of 20.69%, and a net profit margin of 25.31%. The drift (mu) was calculated using the net profit margin adjusted for a simple risk-free rate of 2%, divided by the typical number of trading days in a year (252). The forecast time frame was 30 days, and the number of simulations run was 100.</w:t>
      </w:r>
    </w:p>
    <w:p w14:paraId="4F5F2B04" w14:textId="77777777" w:rsidR="00F96CC7" w:rsidRDefault="00F96CC7" w:rsidP="00F96CC7">
      <w:pPr>
        <w:rPr>
          <w:rFonts w:ascii="Tahoma" w:hAnsi="Tahoma" w:cs="Tahoma"/>
        </w:rPr>
      </w:pPr>
    </w:p>
    <w:p w14:paraId="169603A8" w14:textId="77777777" w:rsidR="00F96CC7" w:rsidRPr="00C628E3" w:rsidRDefault="00F96CC7" w:rsidP="00F96CC7">
      <w:pPr>
        <w:rPr>
          <w:rFonts w:ascii="Tahoma" w:hAnsi="Tahoma" w:cs="Tahoma"/>
        </w:rPr>
      </w:pPr>
    </w:p>
    <w:p w14:paraId="16E3ED14" w14:textId="77777777" w:rsidR="00C628E3" w:rsidRDefault="00C628E3" w:rsidP="00C628E3">
      <w:pPr>
        <w:numPr>
          <w:ilvl w:val="0"/>
          <w:numId w:val="11"/>
        </w:numPr>
        <w:rPr>
          <w:rFonts w:ascii="Tahoma" w:hAnsi="Tahoma" w:cs="Tahoma"/>
        </w:rPr>
      </w:pPr>
      <w:r w:rsidRPr="00C628E3">
        <w:rPr>
          <w:rFonts w:ascii="Tahoma" w:hAnsi="Tahoma" w:cs="Tahoma"/>
          <w:b/>
          <w:bCs/>
        </w:rPr>
        <w:t>Findings:</w:t>
      </w:r>
      <w:r w:rsidRPr="00C628E3">
        <w:rPr>
          <w:rFonts w:ascii="Tahoma" w:hAnsi="Tahoma" w:cs="Tahoma"/>
        </w:rPr>
        <w:t xml:space="preserve"> The plot shows a wide range of possible paths for the stock price, reflecting the uncertainty and volatility inherent in stock markets. Some paths show a significant increase in the stock price, while others show a decrease. This highlights the risk and potential reward of investing in stocks. The average trend of the paths could be interpreted as the expected stock price movement, but it’s important to note that actual future prices can deviate significantly from this average due to the randomness and unpredictability of stock markets.</w:t>
      </w:r>
    </w:p>
    <w:p w14:paraId="39AB18EA" w14:textId="77777777" w:rsidR="00C8213E" w:rsidRPr="003A4C0C" w:rsidRDefault="00C8213E" w:rsidP="00C8213E">
      <w:pPr>
        <w:rPr>
          <w:rFonts w:ascii="Tahoma" w:hAnsi="Tahoma" w:cs="Tahoma"/>
          <w:sz w:val="28"/>
          <w:szCs w:val="28"/>
        </w:rPr>
      </w:pPr>
    </w:p>
    <w:p w14:paraId="5CFC3F91" w14:textId="77777777" w:rsidR="00A4430E" w:rsidRDefault="00A4430E" w:rsidP="00DE6CCC">
      <w:pPr>
        <w:rPr>
          <w:rFonts w:ascii="Tahoma" w:hAnsi="Tahoma" w:cs="Tahoma"/>
          <w:b/>
          <w:bCs/>
          <w:sz w:val="28"/>
          <w:szCs w:val="28"/>
        </w:rPr>
      </w:pPr>
    </w:p>
    <w:p w14:paraId="4F952E3C" w14:textId="77777777" w:rsidR="00F96CC7" w:rsidRDefault="00F96CC7" w:rsidP="00DE6CCC">
      <w:pPr>
        <w:rPr>
          <w:rFonts w:ascii="Tahoma" w:hAnsi="Tahoma" w:cs="Tahoma"/>
          <w:b/>
          <w:bCs/>
          <w:sz w:val="28"/>
          <w:szCs w:val="28"/>
        </w:rPr>
      </w:pPr>
    </w:p>
    <w:p w14:paraId="22884735" w14:textId="77777777" w:rsidR="00F96CC7" w:rsidRDefault="00F96CC7" w:rsidP="00DE6CCC">
      <w:pPr>
        <w:rPr>
          <w:rFonts w:ascii="Tahoma" w:hAnsi="Tahoma" w:cs="Tahoma"/>
          <w:b/>
          <w:bCs/>
          <w:sz w:val="28"/>
          <w:szCs w:val="28"/>
        </w:rPr>
      </w:pPr>
    </w:p>
    <w:p w14:paraId="2576A846" w14:textId="77777777" w:rsidR="00F000B5" w:rsidRDefault="00F000B5" w:rsidP="00DE6CCC">
      <w:pPr>
        <w:rPr>
          <w:rFonts w:ascii="Tahoma" w:hAnsi="Tahoma" w:cs="Tahoma"/>
          <w:b/>
          <w:bCs/>
          <w:sz w:val="28"/>
          <w:szCs w:val="28"/>
        </w:rPr>
      </w:pPr>
    </w:p>
    <w:p w14:paraId="44409C2A" w14:textId="77777777" w:rsidR="00F000B5" w:rsidRDefault="00F000B5" w:rsidP="00DE6CCC">
      <w:pPr>
        <w:rPr>
          <w:rFonts w:ascii="Tahoma" w:hAnsi="Tahoma" w:cs="Tahoma"/>
          <w:b/>
          <w:bCs/>
          <w:sz w:val="28"/>
          <w:szCs w:val="28"/>
        </w:rPr>
      </w:pPr>
    </w:p>
    <w:p w14:paraId="593A1F19" w14:textId="542255C0" w:rsidR="00DE6CCC" w:rsidRPr="003A4C0C" w:rsidRDefault="00DE6CCC" w:rsidP="00DE6CCC">
      <w:pPr>
        <w:rPr>
          <w:rFonts w:ascii="Tahoma" w:hAnsi="Tahoma" w:cs="Tahoma"/>
          <w:b/>
          <w:bCs/>
          <w:sz w:val="28"/>
          <w:szCs w:val="28"/>
        </w:rPr>
      </w:pPr>
      <w:r w:rsidRPr="003A4C0C">
        <w:rPr>
          <w:rFonts w:ascii="Tahoma" w:hAnsi="Tahoma" w:cs="Tahoma"/>
          <w:b/>
          <w:bCs/>
          <w:sz w:val="28"/>
          <w:szCs w:val="28"/>
        </w:rPr>
        <w:t>Facebook Prophet Forecasting</w:t>
      </w:r>
      <w:r w:rsidR="000A583A" w:rsidRPr="003A4C0C">
        <w:rPr>
          <w:rFonts w:ascii="Tahoma" w:hAnsi="Tahoma" w:cs="Tahoma"/>
          <w:b/>
          <w:bCs/>
          <w:sz w:val="28"/>
          <w:szCs w:val="28"/>
        </w:rPr>
        <w:t>:</w:t>
      </w:r>
    </w:p>
    <w:p w14:paraId="0C18595A" w14:textId="40788D63" w:rsidR="000A583A" w:rsidRDefault="00DE6CCC" w:rsidP="000A583A">
      <w:pPr>
        <w:rPr>
          <w:rFonts w:ascii="Tahoma" w:hAnsi="Tahoma" w:cs="Tahoma"/>
        </w:rPr>
      </w:pPr>
      <w:r w:rsidRPr="00DE6CCC">
        <w:rPr>
          <w:rFonts w:ascii="Tahoma" w:hAnsi="Tahoma" w:cs="Tahoma"/>
        </w:rPr>
        <w:t>Facebook Prophet is a forecasting tool that is particularly adept at handling time series data with multiple seasonality patterns, non-linear trends with saturation growth, and holidays or event-based irregularities. In the case of Apple Inc. (AAPL), a company with dynamic growth and diverse business cycles, Prophet can provide valuable insights for stock price forecasting.</w:t>
      </w:r>
    </w:p>
    <w:p w14:paraId="3ABAE943" w14:textId="77777777" w:rsidR="00F96CC7" w:rsidRDefault="00F96CC7" w:rsidP="000A583A">
      <w:pPr>
        <w:rPr>
          <w:rFonts w:ascii="Tahoma" w:hAnsi="Tahoma" w:cs="Tahoma"/>
          <w:b/>
          <w:bCs/>
        </w:rPr>
      </w:pPr>
    </w:p>
    <w:p w14:paraId="472B3C1A" w14:textId="77777777" w:rsidR="00F96CC7" w:rsidRDefault="00F96CC7" w:rsidP="000A583A">
      <w:pPr>
        <w:rPr>
          <w:rFonts w:ascii="Tahoma" w:hAnsi="Tahoma" w:cs="Tahoma"/>
          <w:b/>
          <w:bCs/>
        </w:rPr>
      </w:pPr>
    </w:p>
    <w:p w14:paraId="352BC1F1" w14:textId="77777777" w:rsidR="00F96CC7" w:rsidRDefault="00F96CC7" w:rsidP="000A583A">
      <w:pPr>
        <w:rPr>
          <w:rFonts w:ascii="Tahoma" w:hAnsi="Tahoma" w:cs="Tahoma"/>
          <w:b/>
          <w:bCs/>
        </w:rPr>
      </w:pPr>
    </w:p>
    <w:p w14:paraId="49AE4E98" w14:textId="77777777" w:rsidR="00F96CC7" w:rsidRDefault="00F96CC7" w:rsidP="000A583A">
      <w:pPr>
        <w:rPr>
          <w:rFonts w:ascii="Tahoma" w:hAnsi="Tahoma" w:cs="Tahoma"/>
          <w:b/>
          <w:bCs/>
        </w:rPr>
      </w:pPr>
    </w:p>
    <w:p w14:paraId="239AB8E7" w14:textId="495B2BDB" w:rsidR="000A583A" w:rsidRDefault="000A583A" w:rsidP="000A583A">
      <w:pPr>
        <w:rPr>
          <w:rFonts w:ascii="Tahoma" w:hAnsi="Tahoma" w:cs="Tahoma"/>
          <w:b/>
          <w:bCs/>
        </w:rPr>
      </w:pPr>
      <w:r w:rsidRPr="000A583A">
        <w:rPr>
          <w:rFonts w:ascii="Tahoma" w:hAnsi="Tahoma" w:cs="Tahoma"/>
          <w:b/>
          <w:bCs/>
        </w:rPr>
        <w:lastRenderedPageBreak/>
        <w:t>Overview of Graphs:</w:t>
      </w:r>
    </w:p>
    <w:p w14:paraId="373D218C" w14:textId="77777777" w:rsidR="00F96CC7" w:rsidRDefault="00F96CC7" w:rsidP="000A583A">
      <w:pPr>
        <w:rPr>
          <w:rFonts w:ascii="Tahoma" w:hAnsi="Tahoma" w:cs="Tahoma"/>
          <w:b/>
          <w:bCs/>
        </w:rPr>
      </w:pPr>
    </w:p>
    <w:p w14:paraId="179C7BDD" w14:textId="77777777" w:rsidR="00F96CC7" w:rsidRDefault="00F96CC7" w:rsidP="000A583A">
      <w:pPr>
        <w:rPr>
          <w:rFonts w:ascii="Tahoma" w:hAnsi="Tahoma" w:cs="Tahoma"/>
          <w:b/>
          <w:bCs/>
        </w:rPr>
      </w:pPr>
    </w:p>
    <w:p w14:paraId="7B3A9055" w14:textId="6BD4D698" w:rsidR="00A4430E" w:rsidRPr="00F96CC7" w:rsidRDefault="000A583A" w:rsidP="000A583A">
      <w:pPr>
        <w:rPr>
          <w:rFonts w:ascii="Tahoma" w:hAnsi="Tahoma" w:cs="Tahoma"/>
          <w:b/>
          <w:bCs/>
        </w:rPr>
      </w:pPr>
      <w:r>
        <w:rPr>
          <w:noProof/>
        </w:rPr>
        <w:drawing>
          <wp:inline distT="0" distB="0" distL="0" distR="0" wp14:anchorId="6B84C815" wp14:editId="38CEDBC1">
            <wp:extent cx="5943600" cy="3545205"/>
            <wp:effectExtent l="0" t="0" r="0" b="0"/>
            <wp:docPr id="657227748" name="Picture 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27748" name="Picture 4" descr="A graph with a line go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7C1B6ED5" w14:textId="77777777" w:rsidR="00F96CC7" w:rsidRDefault="00F96CC7" w:rsidP="000A583A">
      <w:pPr>
        <w:rPr>
          <w:rFonts w:ascii="Tahoma" w:hAnsi="Tahoma" w:cs="Tahoma"/>
        </w:rPr>
      </w:pPr>
    </w:p>
    <w:p w14:paraId="6A7D32A2" w14:textId="77777777" w:rsidR="00F96CC7" w:rsidRDefault="00F96CC7" w:rsidP="000A583A">
      <w:pPr>
        <w:rPr>
          <w:rFonts w:ascii="Tahoma" w:hAnsi="Tahoma" w:cs="Tahoma"/>
        </w:rPr>
      </w:pPr>
    </w:p>
    <w:p w14:paraId="55D334DB" w14:textId="77777777" w:rsidR="00F96CC7" w:rsidRDefault="00F96CC7" w:rsidP="000A583A">
      <w:pPr>
        <w:rPr>
          <w:rFonts w:ascii="Tahoma" w:hAnsi="Tahoma" w:cs="Tahoma"/>
        </w:rPr>
      </w:pPr>
    </w:p>
    <w:p w14:paraId="5F35E340" w14:textId="77777777" w:rsidR="00F96CC7" w:rsidRDefault="00F96CC7" w:rsidP="000A583A">
      <w:pPr>
        <w:rPr>
          <w:rFonts w:ascii="Tahoma" w:hAnsi="Tahoma" w:cs="Tahoma"/>
        </w:rPr>
      </w:pPr>
    </w:p>
    <w:p w14:paraId="2F8A1905" w14:textId="77777777" w:rsidR="00F96CC7" w:rsidRDefault="00F96CC7" w:rsidP="000A583A">
      <w:pPr>
        <w:rPr>
          <w:rFonts w:ascii="Tahoma" w:hAnsi="Tahoma" w:cs="Tahoma"/>
        </w:rPr>
      </w:pPr>
    </w:p>
    <w:p w14:paraId="5E11C9DB" w14:textId="77777777" w:rsidR="00F96CC7" w:rsidRDefault="00F96CC7" w:rsidP="000A583A">
      <w:pPr>
        <w:rPr>
          <w:rFonts w:ascii="Tahoma" w:hAnsi="Tahoma" w:cs="Tahoma"/>
        </w:rPr>
      </w:pPr>
    </w:p>
    <w:p w14:paraId="01B437DC" w14:textId="5FEE8FDC" w:rsidR="000A583A" w:rsidRPr="00DE6CCC" w:rsidRDefault="000A583A" w:rsidP="000A583A">
      <w:pPr>
        <w:rPr>
          <w:rFonts w:ascii="Tahoma" w:hAnsi="Tahoma" w:cs="Tahoma"/>
        </w:rPr>
      </w:pPr>
      <w:r w:rsidRPr="00DE6CCC">
        <w:rPr>
          <w:rFonts w:ascii="Tahoma" w:hAnsi="Tahoma" w:cs="Tahoma"/>
        </w:rPr>
        <w:t>The first graph represents the historical stock prices and the projected future prices of Apple Inc., using the Facebook Prophet model. The black dots indicate the actual past stock prices, the blue line represents the model's fit to this historical data, and the light blue shaded area illustrates the uncertainty interval for the forecast. The trend shows a significant increase over the years, with an acceleration around 2017.</w:t>
      </w:r>
    </w:p>
    <w:p w14:paraId="79CFA066" w14:textId="3ADCDD13" w:rsidR="000A583A" w:rsidRPr="00DE6CCC" w:rsidRDefault="000A583A" w:rsidP="000A583A">
      <w:pPr>
        <w:rPr>
          <w:rFonts w:ascii="Tahoma" w:hAnsi="Tahoma" w:cs="Tahoma"/>
        </w:rPr>
      </w:pPr>
      <w:r>
        <w:rPr>
          <w:noProof/>
        </w:rPr>
        <w:lastRenderedPageBreak/>
        <w:drawing>
          <wp:inline distT="0" distB="0" distL="0" distR="0" wp14:anchorId="614E0DBA" wp14:editId="02AE7424">
            <wp:extent cx="5943600" cy="7978775"/>
            <wp:effectExtent l="0" t="0" r="0" b="3175"/>
            <wp:docPr id="1454925480" name="Picture 5" descr="A graph of a number of days and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25480" name="Picture 5" descr="A graph of a number of days and month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78775"/>
                    </a:xfrm>
                    <a:prstGeom prst="rect">
                      <a:avLst/>
                    </a:prstGeom>
                    <a:noFill/>
                    <a:ln>
                      <a:noFill/>
                    </a:ln>
                  </pic:spPr>
                </pic:pic>
              </a:graphicData>
            </a:graphic>
          </wp:inline>
        </w:drawing>
      </w:r>
    </w:p>
    <w:p w14:paraId="2D497314" w14:textId="77777777" w:rsidR="000A583A" w:rsidRPr="00DE6CCC" w:rsidRDefault="000A583A" w:rsidP="000A583A">
      <w:pPr>
        <w:rPr>
          <w:rFonts w:ascii="Tahoma" w:hAnsi="Tahoma" w:cs="Tahoma"/>
        </w:rPr>
      </w:pPr>
      <w:r w:rsidRPr="00DE6CCC">
        <w:rPr>
          <w:rFonts w:ascii="Tahoma" w:hAnsi="Tahoma" w:cs="Tahoma"/>
        </w:rPr>
        <w:lastRenderedPageBreak/>
        <w:t>The second graph displays the decomposition of the forecast into different components:</w:t>
      </w:r>
    </w:p>
    <w:p w14:paraId="5AE9738A" w14:textId="77777777" w:rsidR="000A583A" w:rsidRPr="000A583A" w:rsidRDefault="000A583A" w:rsidP="000A583A">
      <w:pPr>
        <w:pStyle w:val="ListParagraph"/>
        <w:numPr>
          <w:ilvl w:val="0"/>
          <w:numId w:val="12"/>
        </w:numPr>
        <w:rPr>
          <w:rFonts w:ascii="Tahoma" w:hAnsi="Tahoma" w:cs="Tahoma"/>
        </w:rPr>
      </w:pPr>
      <w:r w:rsidRPr="000A583A">
        <w:rPr>
          <w:rFonts w:ascii="Tahoma" w:hAnsi="Tahoma" w:cs="Tahoma"/>
        </w:rPr>
        <w:t>The first subplot shows the overall trend component of the stock price, reflecting a long-term increase.</w:t>
      </w:r>
    </w:p>
    <w:p w14:paraId="49024AC7" w14:textId="77777777" w:rsidR="000A583A" w:rsidRPr="000A583A" w:rsidRDefault="000A583A" w:rsidP="000A583A">
      <w:pPr>
        <w:pStyle w:val="ListParagraph"/>
        <w:numPr>
          <w:ilvl w:val="0"/>
          <w:numId w:val="12"/>
        </w:numPr>
        <w:rPr>
          <w:rFonts w:ascii="Tahoma" w:hAnsi="Tahoma" w:cs="Tahoma"/>
        </w:rPr>
      </w:pPr>
      <w:r w:rsidRPr="000A583A">
        <w:rPr>
          <w:rFonts w:ascii="Tahoma" w:hAnsi="Tahoma" w:cs="Tahoma"/>
        </w:rPr>
        <w:t>The second subplot indicates the weekly seasonality component, revealing how stock prices tend to behave differently on different weekdays.</w:t>
      </w:r>
    </w:p>
    <w:p w14:paraId="77FB7F5E" w14:textId="77777777" w:rsidR="000A583A" w:rsidRPr="000A583A" w:rsidRDefault="000A583A" w:rsidP="000A583A">
      <w:pPr>
        <w:pStyle w:val="ListParagraph"/>
        <w:numPr>
          <w:ilvl w:val="0"/>
          <w:numId w:val="12"/>
        </w:numPr>
        <w:rPr>
          <w:rFonts w:ascii="Tahoma" w:hAnsi="Tahoma" w:cs="Tahoma"/>
        </w:rPr>
      </w:pPr>
      <w:r w:rsidRPr="000A583A">
        <w:rPr>
          <w:rFonts w:ascii="Tahoma" w:hAnsi="Tahoma" w:cs="Tahoma"/>
        </w:rPr>
        <w:t>The third subplot details the yearly seasonality, showing fluctuations that likely correspond to annual events and cycles in the company’s business operations.</w:t>
      </w:r>
    </w:p>
    <w:p w14:paraId="06523981" w14:textId="77777777" w:rsidR="000A583A" w:rsidRPr="000A583A" w:rsidRDefault="000A583A" w:rsidP="000A583A">
      <w:pPr>
        <w:pStyle w:val="ListParagraph"/>
        <w:numPr>
          <w:ilvl w:val="0"/>
          <w:numId w:val="12"/>
        </w:numPr>
        <w:rPr>
          <w:rFonts w:ascii="Tahoma" w:hAnsi="Tahoma" w:cs="Tahoma"/>
        </w:rPr>
      </w:pPr>
      <w:r w:rsidRPr="000A583A">
        <w:rPr>
          <w:rFonts w:ascii="Tahoma" w:hAnsi="Tahoma" w:cs="Tahoma"/>
        </w:rPr>
        <w:t>The bottom subplot highlights the daily seasonality, which appears to show the intraday variation in stock prices, although such granularity is not typically the focus of long-term investors.</w:t>
      </w:r>
    </w:p>
    <w:p w14:paraId="13775E8A" w14:textId="77777777" w:rsidR="000A583A" w:rsidRDefault="000A583A" w:rsidP="000A583A">
      <w:pPr>
        <w:rPr>
          <w:rFonts w:ascii="Tahoma" w:hAnsi="Tahoma" w:cs="Tahoma"/>
        </w:rPr>
      </w:pPr>
    </w:p>
    <w:p w14:paraId="1B74C330" w14:textId="79AA4072" w:rsidR="000A583A" w:rsidRPr="000A583A" w:rsidRDefault="000A583A" w:rsidP="000A583A">
      <w:pPr>
        <w:rPr>
          <w:rFonts w:ascii="Tahoma" w:hAnsi="Tahoma" w:cs="Tahoma"/>
          <w:b/>
          <w:bCs/>
        </w:rPr>
      </w:pPr>
      <w:r w:rsidRPr="000A583A">
        <w:rPr>
          <w:rFonts w:ascii="Tahoma" w:hAnsi="Tahoma" w:cs="Tahoma"/>
          <w:b/>
          <w:bCs/>
        </w:rPr>
        <w:t>Analysis and Interpretation:</w:t>
      </w:r>
    </w:p>
    <w:p w14:paraId="6970BA30" w14:textId="77777777" w:rsidR="000A583A" w:rsidRPr="000A583A" w:rsidRDefault="000A583A" w:rsidP="000A583A">
      <w:pPr>
        <w:rPr>
          <w:rFonts w:ascii="Tahoma" w:hAnsi="Tahoma" w:cs="Tahoma"/>
          <w:b/>
          <w:bCs/>
        </w:rPr>
      </w:pPr>
      <w:r w:rsidRPr="000A583A">
        <w:rPr>
          <w:rFonts w:ascii="Tahoma" w:hAnsi="Tahoma" w:cs="Tahoma"/>
          <w:b/>
          <w:bCs/>
        </w:rPr>
        <w:t>Trend Component:</w:t>
      </w:r>
    </w:p>
    <w:p w14:paraId="3756561E" w14:textId="77777777" w:rsidR="000A583A" w:rsidRPr="00DE6CCC" w:rsidRDefault="000A583A" w:rsidP="000A583A">
      <w:pPr>
        <w:rPr>
          <w:rFonts w:ascii="Tahoma" w:hAnsi="Tahoma" w:cs="Tahoma"/>
        </w:rPr>
      </w:pPr>
      <w:r w:rsidRPr="00DE6CCC">
        <w:rPr>
          <w:rFonts w:ascii="Tahoma" w:hAnsi="Tahoma" w:cs="Tahoma"/>
        </w:rPr>
        <w:t>The trend component confirms a consistent growth in Apple's stock value, suggesting that the company is expanding and remains a dominant player in the tech industry. The projection also indicates that the growth trend is expected to continue.</w:t>
      </w:r>
    </w:p>
    <w:p w14:paraId="06328283" w14:textId="77777777" w:rsidR="000A583A" w:rsidRPr="000A583A" w:rsidRDefault="000A583A" w:rsidP="000A583A">
      <w:pPr>
        <w:rPr>
          <w:rFonts w:ascii="Tahoma" w:hAnsi="Tahoma" w:cs="Tahoma"/>
          <w:b/>
          <w:bCs/>
        </w:rPr>
      </w:pPr>
      <w:r w:rsidRPr="000A583A">
        <w:rPr>
          <w:rFonts w:ascii="Tahoma" w:hAnsi="Tahoma" w:cs="Tahoma"/>
          <w:b/>
          <w:bCs/>
        </w:rPr>
        <w:t>Weekly Seasonality:</w:t>
      </w:r>
    </w:p>
    <w:p w14:paraId="6695C1CA" w14:textId="77777777" w:rsidR="000A583A" w:rsidRPr="00DE6CCC" w:rsidRDefault="000A583A" w:rsidP="000A583A">
      <w:pPr>
        <w:rPr>
          <w:rFonts w:ascii="Tahoma" w:hAnsi="Tahoma" w:cs="Tahoma"/>
        </w:rPr>
      </w:pPr>
      <w:r w:rsidRPr="00DE6CCC">
        <w:rPr>
          <w:rFonts w:ascii="Tahoma" w:hAnsi="Tahoma" w:cs="Tahoma"/>
        </w:rPr>
        <w:t>Weekly patterns demonstrate that prices might dip mid-week and then peak towards the end of the week. This could be due to various market factors, such as trading volumes and investor sentiment fluctuations.</w:t>
      </w:r>
    </w:p>
    <w:p w14:paraId="1A383E8C" w14:textId="77777777" w:rsidR="000A583A" w:rsidRPr="000A583A" w:rsidRDefault="000A583A" w:rsidP="000A583A">
      <w:pPr>
        <w:rPr>
          <w:rFonts w:ascii="Tahoma" w:hAnsi="Tahoma" w:cs="Tahoma"/>
          <w:b/>
          <w:bCs/>
        </w:rPr>
      </w:pPr>
      <w:r w:rsidRPr="000A583A">
        <w:rPr>
          <w:rFonts w:ascii="Tahoma" w:hAnsi="Tahoma" w:cs="Tahoma"/>
          <w:b/>
          <w:bCs/>
        </w:rPr>
        <w:t>Yearly Seasonality:</w:t>
      </w:r>
    </w:p>
    <w:p w14:paraId="567FBD3D" w14:textId="77777777" w:rsidR="000A583A" w:rsidRPr="00DE6CCC" w:rsidRDefault="000A583A" w:rsidP="000A583A">
      <w:pPr>
        <w:rPr>
          <w:rFonts w:ascii="Tahoma" w:hAnsi="Tahoma" w:cs="Tahoma"/>
        </w:rPr>
      </w:pPr>
      <w:r w:rsidRPr="00DE6CCC">
        <w:rPr>
          <w:rFonts w:ascii="Tahoma" w:hAnsi="Tahoma" w:cs="Tahoma"/>
        </w:rPr>
        <w:t>The yearly seasonality shows a more complex pattern, with peaks and troughs possibly aligning with Apple's product launch events, holiday sales cycles, or financial reporting periods.</w:t>
      </w:r>
    </w:p>
    <w:p w14:paraId="7D8BA6FF" w14:textId="77777777" w:rsidR="000A583A" w:rsidRPr="000A583A" w:rsidRDefault="000A583A" w:rsidP="000A583A">
      <w:pPr>
        <w:rPr>
          <w:rFonts w:ascii="Tahoma" w:hAnsi="Tahoma" w:cs="Tahoma"/>
          <w:b/>
          <w:bCs/>
        </w:rPr>
      </w:pPr>
      <w:r w:rsidRPr="000A583A">
        <w:rPr>
          <w:rFonts w:ascii="Tahoma" w:hAnsi="Tahoma" w:cs="Tahoma"/>
          <w:b/>
          <w:bCs/>
        </w:rPr>
        <w:t>Daily Seasonality:</w:t>
      </w:r>
    </w:p>
    <w:p w14:paraId="1BC5AC07" w14:textId="77777777" w:rsidR="000A583A" w:rsidRPr="00DE6CCC" w:rsidRDefault="000A583A" w:rsidP="000A583A">
      <w:pPr>
        <w:rPr>
          <w:rFonts w:ascii="Tahoma" w:hAnsi="Tahoma" w:cs="Tahoma"/>
        </w:rPr>
      </w:pPr>
      <w:r w:rsidRPr="00DE6CCC">
        <w:rPr>
          <w:rFonts w:ascii="Tahoma" w:hAnsi="Tahoma" w:cs="Tahoma"/>
        </w:rPr>
        <w:t>Daily fluctuations are evident, with certain times showing higher variability. These patterns might be useful for day traders or those interested in short-term market movements.</w:t>
      </w:r>
    </w:p>
    <w:p w14:paraId="0DFFA647" w14:textId="77777777" w:rsidR="000A583A" w:rsidRPr="00DE6CCC" w:rsidRDefault="000A583A" w:rsidP="00DE6CCC">
      <w:pPr>
        <w:rPr>
          <w:rFonts w:ascii="Tahoma" w:hAnsi="Tahoma" w:cs="Tahoma"/>
        </w:rPr>
      </w:pPr>
    </w:p>
    <w:p w14:paraId="31D6FAFB" w14:textId="77777777" w:rsidR="00A4430E" w:rsidRDefault="00A4430E" w:rsidP="00DE6CCC">
      <w:pPr>
        <w:rPr>
          <w:rFonts w:ascii="Tahoma" w:hAnsi="Tahoma" w:cs="Tahoma"/>
          <w:b/>
          <w:bCs/>
        </w:rPr>
      </w:pPr>
    </w:p>
    <w:p w14:paraId="58499E46" w14:textId="77777777" w:rsidR="00A4430E" w:rsidRDefault="00A4430E" w:rsidP="00DE6CCC">
      <w:pPr>
        <w:rPr>
          <w:rFonts w:ascii="Tahoma" w:hAnsi="Tahoma" w:cs="Tahoma"/>
          <w:b/>
          <w:bCs/>
        </w:rPr>
      </w:pPr>
    </w:p>
    <w:p w14:paraId="77E8E67C" w14:textId="77777777" w:rsidR="00A4430E" w:rsidRDefault="00A4430E" w:rsidP="00DE6CCC">
      <w:pPr>
        <w:rPr>
          <w:rFonts w:ascii="Tahoma" w:hAnsi="Tahoma" w:cs="Tahoma"/>
          <w:b/>
          <w:bCs/>
        </w:rPr>
      </w:pPr>
    </w:p>
    <w:p w14:paraId="554A1796" w14:textId="77777777" w:rsidR="00A4430E" w:rsidRDefault="00A4430E" w:rsidP="00DE6CCC">
      <w:pPr>
        <w:rPr>
          <w:rFonts w:ascii="Tahoma" w:hAnsi="Tahoma" w:cs="Tahoma"/>
          <w:b/>
          <w:bCs/>
        </w:rPr>
      </w:pPr>
    </w:p>
    <w:p w14:paraId="0C4596BF" w14:textId="77777777" w:rsidR="00A4430E" w:rsidRDefault="00A4430E" w:rsidP="00DE6CCC">
      <w:pPr>
        <w:rPr>
          <w:rFonts w:ascii="Tahoma" w:hAnsi="Tahoma" w:cs="Tahoma"/>
          <w:b/>
          <w:bCs/>
        </w:rPr>
      </w:pPr>
    </w:p>
    <w:p w14:paraId="0A38C361" w14:textId="77777777" w:rsidR="00A4430E" w:rsidRDefault="00A4430E" w:rsidP="00DE6CCC">
      <w:pPr>
        <w:rPr>
          <w:rFonts w:ascii="Tahoma" w:hAnsi="Tahoma" w:cs="Tahoma"/>
          <w:b/>
          <w:bCs/>
        </w:rPr>
      </w:pPr>
    </w:p>
    <w:p w14:paraId="6BEA34BA" w14:textId="77777777" w:rsidR="00A4430E" w:rsidRDefault="00A4430E" w:rsidP="00DE6CCC">
      <w:pPr>
        <w:rPr>
          <w:rFonts w:ascii="Tahoma" w:hAnsi="Tahoma" w:cs="Tahoma"/>
          <w:b/>
          <w:bCs/>
        </w:rPr>
      </w:pPr>
    </w:p>
    <w:p w14:paraId="62DFC6D3" w14:textId="3EAC1D3B" w:rsidR="00DE6CCC" w:rsidRPr="00DE6CCC" w:rsidRDefault="00DE6CCC" w:rsidP="00DE6CCC">
      <w:pPr>
        <w:rPr>
          <w:rFonts w:ascii="Tahoma" w:hAnsi="Tahoma" w:cs="Tahoma"/>
          <w:b/>
          <w:bCs/>
        </w:rPr>
      </w:pPr>
      <w:r w:rsidRPr="00DE6CCC">
        <w:rPr>
          <w:rFonts w:ascii="Tahoma" w:hAnsi="Tahoma" w:cs="Tahoma"/>
          <w:b/>
          <w:bCs/>
        </w:rPr>
        <w:lastRenderedPageBreak/>
        <w:t>Application for Apple Inc.:</w:t>
      </w:r>
    </w:p>
    <w:p w14:paraId="3DDB66A4" w14:textId="77777777" w:rsidR="00DE6CCC" w:rsidRPr="00DE6CCC" w:rsidRDefault="00DE6CCC" w:rsidP="00DE6CCC">
      <w:pPr>
        <w:rPr>
          <w:rFonts w:ascii="Tahoma" w:hAnsi="Tahoma" w:cs="Tahoma"/>
        </w:rPr>
      </w:pPr>
      <w:r w:rsidRPr="00DE6CCC">
        <w:rPr>
          <w:rFonts w:ascii="Tahoma" w:hAnsi="Tahoma" w:cs="Tahoma"/>
        </w:rPr>
        <w:t>For Apple Inc., Prophet's forecasting can be instrumental in planning investment strategies. The model's ability to account for the company's specific growth cap and market saturation levels allows it to adapt to the upper limits of Apple's stock growth potential. The inclusion of product release cycles and the significant effect of holiday shopping seasons are uniquely addressed within Prophet's flexible modeling environment.</w:t>
      </w:r>
    </w:p>
    <w:p w14:paraId="24FD8130" w14:textId="77777777" w:rsidR="00DE6CCC" w:rsidRPr="00DE6CCC" w:rsidRDefault="00DE6CCC" w:rsidP="00DE6CCC">
      <w:pPr>
        <w:rPr>
          <w:rFonts w:ascii="Tahoma" w:hAnsi="Tahoma" w:cs="Tahoma"/>
        </w:rPr>
      </w:pPr>
    </w:p>
    <w:p w14:paraId="52D33A62" w14:textId="2C51DF96" w:rsidR="00C8213E" w:rsidRDefault="00DE6CCC" w:rsidP="00DE6CCC">
      <w:pPr>
        <w:rPr>
          <w:rFonts w:ascii="Tahoma" w:hAnsi="Tahoma" w:cs="Tahoma"/>
        </w:rPr>
      </w:pPr>
      <w:r w:rsidRPr="00DE6CCC">
        <w:rPr>
          <w:rFonts w:ascii="Tahoma" w:hAnsi="Tahoma" w:cs="Tahoma"/>
        </w:rPr>
        <w:t>By leveraging this tool, analysts and investors can gain a nuanced understanding of Apple's stock price trajectory, backed by a data-driven, robust forecasting model that simplifies complex time series data into actionable insights.</w:t>
      </w:r>
    </w:p>
    <w:p w14:paraId="604E76CE" w14:textId="77777777" w:rsidR="000A583A" w:rsidRDefault="000A583A" w:rsidP="00DE6CCC">
      <w:pPr>
        <w:rPr>
          <w:rFonts w:ascii="Tahoma" w:hAnsi="Tahoma" w:cs="Tahoma"/>
        </w:rPr>
      </w:pPr>
    </w:p>
    <w:p w14:paraId="3A76A670" w14:textId="0F6CE9B5" w:rsidR="00DE6CCC" w:rsidRPr="000A583A" w:rsidRDefault="00DE6CCC" w:rsidP="00DE6CCC">
      <w:pPr>
        <w:rPr>
          <w:rFonts w:ascii="Tahoma" w:hAnsi="Tahoma" w:cs="Tahoma"/>
          <w:b/>
          <w:bCs/>
        </w:rPr>
      </w:pPr>
      <w:r w:rsidRPr="000A583A">
        <w:rPr>
          <w:rFonts w:ascii="Tahoma" w:hAnsi="Tahoma" w:cs="Tahoma"/>
          <w:b/>
          <w:bCs/>
        </w:rPr>
        <w:t>Recommendations:</w:t>
      </w:r>
    </w:p>
    <w:p w14:paraId="74DBE536" w14:textId="77777777" w:rsidR="00DE6CCC" w:rsidRPr="000A583A" w:rsidRDefault="00DE6CCC" w:rsidP="00DE6CCC">
      <w:pPr>
        <w:rPr>
          <w:rFonts w:ascii="Tahoma" w:hAnsi="Tahoma" w:cs="Tahoma"/>
          <w:b/>
          <w:bCs/>
        </w:rPr>
      </w:pPr>
      <w:r w:rsidRPr="000A583A">
        <w:rPr>
          <w:rFonts w:ascii="Tahoma" w:hAnsi="Tahoma" w:cs="Tahoma"/>
          <w:b/>
          <w:bCs/>
        </w:rPr>
        <w:t>Investment Potential:</w:t>
      </w:r>
    </w:p>
    <w:p w14:paraId="32F5303F" w14:textId="77777777" w:rsidR="00DE6CCC" w:rsidRPr="00DE6CCC" w:rsidRDefault="00DE6CCC" w:rsidP="00DE6CCC">
      <w:pPr>
        <w:rPr>
          <w:rFonts w:ascii="Tahoma" w:hAnsi="Tahoma" w:cs="Tahoma"/>
        </w:rPr>
      </w:pPr>
      <w:r w:rsidRPr="00DE6CCC">
        <w:rPr>
          <w:rFonts w:ascii="Tahoma" w:hAnsi="Tahoma" w:cs="Tahoma"/>
        </w:rPr>
        <w:t>Given the strong upward trend, investing in Apple Inc. seems promising for those seeking long-term capital growth. The company's stock is projected to continue its growth, albeit with natural fluctuations.</w:t>
      </w:r>
    </w:p>
    <w:p w14:paraId="13A6F77E" w14:textId="77777777" w:rsidR="00DE6CCC" w:rsidRPr="000A583A" w:rsidRDefault="00DE6CCC" w:rsidP="00DE6CCC">
      <w:pPr>
        <w:rPr>
          <w:rFonts w:ascii="Tahoma" w:hAnsi="Tahoma" w:cs="Tahoma"/>
          <w:b/>
          <w:bCs/>
        </w:rPr>
      </w:pPr>
      <w:r w:rsidRPr="000A583A">
        <w:rPr>
          <w:rFonts w:ascii="Tahoma" w:hAnsi="Tahoma" w:cs="Tahoma"/>
          <w:b/>
          <w:bCs/>
        </w:rPr>
        <w:t>Timing for Transactions:</w:t>
      </w:r>
    </w:p>
    <w:p w14:paraId="07715F17" w14:textId="77777777" w:rsidR="00DE6CCC" w:rsidRPr="00DE6CCC" w:rsidRDefault="00DE6CCC" w:rsidP="00DE6CCC">
      <w:pPr>
        <w:rPr>
          <w:rFonts w:ascii="Tahoma" w:hAnsi="Tahoma" w:cs="Tahoma"/>
        </w:rPr>
      </w:pPr>
      <w:r w:rsidRPr="00DE6CCC">
        <w:rPr>
          <w:rFonts w:ascii="Tahoma" w:hAnsi="Tahoma" w:cs="Tahoma"/>
        </w:rPr>
        <w:t>Investors may find opportunities to buy or sell based on weekly seasonality. For example, buying during mid-week dips and selling during end-of-week highs could be a strategy if supported by further analysis.</w:t>
      </w:r>
    </w:p>
    <w:p w14:paraId="43B42DC6" w14:textId="77777777" w:rsidR="00DE6CCC" w:rsidRPr="000A583A" w:rsidRDefault="00DE6CCC" w:rsidP="00DE6CCC">
      <w:pPr>
        <w:rPr>
          <w:rFonts w:ascii="Tahoma" w:hAnsi="Tahoma" w:cs="Tahoma"/>
          <w:b/>
          <w:bCs/>
        </w:rPr>
      </w:pPr>
      <w:r w:rsidRPr="000A583A">
        <w:rPr>
          <w:rFonts w:ascii="Tahoma" w:hAnsi="Tahoma" w:cs="Tahoma"/>
          <w:b/>
          <w:bCs/>
        </w:rPr>
        <w:t>Strategic Decisions:</w:t>
      </w:r>
    </w:p>
    <w:p w14:paraId="724CD16E" w14:textId="77777777" w:rsidR="00DE6CCC" w:rsidRPr="00DE6CCC" w:rsidRDefault="00DE6CCC" w:rsidP="00DE6CCC">
      <w:pPr>
        <w:rPr>
          <w:rFonts w:ascii="Tahoma" w:hAnsi="Tahoma" w:cs="Tahoma"/>
        </w:rPr>
      </w:pPr>
      <w:r w:rsidRPr="00DE6CCC">
        <w:rPr>
          <w:rFonts w:ascii="Tahoma" w:hAnsi="Tahoma" w:cs="Tahoma"/>
        </w:rPr>
        <w:t>Awareness of yearly seasonality patterns can inform strategic decisions, such as anticipating stock movements around key events like product launches or earnings reports.</w:t>
      </w:r>
    </w:p>
    <w:p w14:paraId="35AC4603" w14:textId="77777777" w:rsidR="00DE6CCC" w:rsidRPr="000A583A" w:rsidRDefault="00DE6CCC" w:rsidP="00DE6CCC">
      <w:pPr>
        <w:rPr>
          <w:rFonts w:ascii="Tahoma" w:hAnsi="Tahoma" w:cs="Tahoma"/>
          <w:b/>
          <w:bCs/>
        </w:rPr>
      </w:pPr>
      <w:r w:rsidRPr="000A583A">
        <w:rPr>
          <w:rFonts w:ascii="Tahoma" w:hAnsi="Tahoma" w:cs="Tahoma"/>
          <w:b/>
          <w:bCs/>
        </w:rPr>
        <w:t>Risk Management:</w:t>
      </w:r>
    </w:p>
    <w:p w14:paraId="2D06B95B" w14:textId="77777777" w:rsidR="00DE6CCC" w:rsidRPr="00DE6CCC" w:rsidRDefault="00DE6CCC" w:rsidP="00DE6CCC">
      <w:pPr>
        <w:rPr>
          <w:rFonts w:ascii="Tahoma" w:hAnsi="Tahoma" w:cs="Tahoma"/>
        </w:rPr>
      </w:pPr>
      <w:r w:rsidRPr="00DE6CCC">
        <w:rPr>
          <w:rFonts w:ascii="Tahoma" w:hAnsi="Tahoma" w:cs="Tahoma"/>
        </w:rPr>
        <w:t>The model's confidence intervals grow wider in the future, reflecting the increasing uncertainty. Investors should maintain a diversified portfolio and keep up-to-date with Apple's business and the broader market to manage risks effectively.</w:t>
      </w:r>
    </w:p>
    <w:p w14:paraId="7601B0D8" w14:textId="77777777" w:rsidR="00DE6CCC" w:rsidRPr="00DE6CCC" w:rsidRDefault="00DE6CCC" w:rsidP="00DE6CCC">
      <w:pPr>
        <w:rPr>
          <w:rFonts w:ascii="Tahoma" w:hAnsi="Tahoma" w:cs="Tahoma"/>
        </w:rPr>
      </w:pPr>
    </w:p>
    <w:p w14:paraId="7FC3BD1B" w14:textId="77777777" w:rsidR="00F000B5" w:rsidRDefault="00F000B5" w:rsidP="00DE6CCC">
      <w:pPr>
        <w:rPr>
          <w:rFonts w:ascii="Tahoma" w:hAnsi="Tahoma" w:cs="Tahoma"/>
          <w:b/>
          <w:bCs/>
        </w:rPr>
      </w:pPr>
    </w:p>
    <w:p w14:paraId="4BF1C06C" w14:textId="77777777" w:rsidR="00F000B5" w:rsidRDefault="00F000B5" w:rsidP="00DE6CCC">
      <w:pPr>
        <w:rPr>
          <w:rFonts w:ascii="Tahoma" w:hAnsi="Tahoma" w:cs="Tahoma"/>
          <w:b/>
          <w:bCs/>
        </w:rPr>
      </w:pPr>
    </w:p>
    <w:p w14:paraId="21A6B6E0" w14:textId="77777777" w:rsidR="00F000B5" w:rsidRDefault="00F000B5" w:rsidP="00DE6CCC">
      <w:pPr>
        <w:rPr>
          <w:rFonts w:ascii="Tahoma" w:hAnsi="Tahoma" w:cs="Tahoma"/>
          <w:b/>
          <w:bCs/>
        </w:rPr>
      </w:pPr>
    </w:p>
    <w:p w14:paraId="260BD7B4" w14:textId="77777777" w:rsidR="00F000B5" w:rsidRDefault="00F000B5" w:rsidP="00DE6CCC">
      <w:pPr>
        <w:rPr>
          <w:rFonts w:ascii="Tahoma" w:hAnsi="Tahoma" w:cs="Tahoma"/>
          <w:b/>
          <w:bCs/>
        </w:rPr>
      </w:pPr>
    </w:p>
    <w:p w14:paraId="62B8FAB9" w14:textId="77777777" w:rsidR="00F000B5" w:rsidRDefault="00F000B5" w:rsidP="00DE6CCC">
      <w:pPr>
        <w:rPr>
          <w:rFonts w:ascii="Tahoma" w:hAnsi="Tahoma" w:cs="Tahoma"/>
          <w:b/>
          <w:bCs/>
        </w:rPr>
      </w:pPr>
    </w:p>
    <w:p w14:paraId="1B5A8D48" w14:textId="77777777" w:rsidR="00F000B5" w:rsidRDefault="00F000B5" w:rsidP="00DE6CCC">
      <w:pPr>
        <w:rPr>
          <w:rFonts w:ascii="Tahoma" w:hAnsi="Tahoma" w:cs="Tahoma"/>
          <w:b/>
          <w:bCs/>
        </w:rPr>
      </w:pPr>
    </w:p>
    <w:p w14:paraId="39EA580A" w14:textId="6D77789A" w:rsidR="00DE6CCC" w:rsidRPr="000A583A" w:rsidRDefault="000A583A" w:rsidP="00DE6CCC">
      <w:pPr>
        <w:rPr>
          <w:rFonts w:ascii="Tahoma" w:hAnsi="Tahoma" w:cs="Tahoma"/>
          <w:b/>
          <w:bCs/>
        </w:rPr>
      </w:pPr>
      <w:r>
        <w:rPr>
          <w:rFonts w:ascii="Tahoma" w:hAnsi="Tahoma" w:cs="Tahoma"/>
          <w:b/>
          <w:bCs/>
        </w:rPr>
        <w:lastRenderedPageBreak/>
        <w:t>Conclusion</w:t>
      </w:r>
      <w:r w:rsidR="00DE6CCC" w:rsidRPr="000A583A">
        <w:rPr>
          <w:rFonts w:ascii="Tahoma" w:hAnsi="Tahoma" w:cs="Tahoma"/>
          <w:b/>
          <w:bCs/>
        </w:rPr>
        <w:t>:</w:t>
      </w:r>
    </w:p>
    <w:p w14:paraId="5F3D36DE" w14:textId="6E403DFD" w:rsidR="00DE6CCC" w:rsidRPr="00DE6CCC" w:rsidRDefault="00DE6CCC" w:rsidP="00DE6CCC">
      <w:pPr>
        <w:rPr>
          <w:rFonts w:ascii="Tahoma" w:hAnsi="Tahoma" w:cs="Tahoma"/>
        </w:rPr>
      </w:pPr>
      <w:r w:rsidRPr="00DE6CCC">
        <w:rPr>
          <w:rFonts w:ascii="Tahoma" w:hAnsi="Tahoma" w:cs="Tahoma"/>
        </w:rPr>
        <w:t>This forecasting suggests optimism for Apple Inc.'s future stock performance. However, it's crucial to remember that forecasts are not guarantees and should be one of many tools used in making informed investment decisions. Monitoring market trends, staying informed about Apple's business strategies, and understanding broader economic factors are all essential practices for investors.</w:t>
      </w:r>
    </w:p>
    <w:p w14:paraId="1CB557BC" w14:textId="70977A73" w:rsidR="00285C1E" w:rsidRDefault="00285C1E" w:rsidP="00285C1E">
      <w:pPr>
        <w:ind w:left="1440"/>
        <w:rPr>
          <w:rFonts w:ascii="Tahoma" w:hAnsi="Tahoma" w:cs="Tahoma"/>
        </w:rPr>
      </w:pPr>
    </w:p>
    <w:p w14:paraId="762839A0" w14:textId="77777777" w:rsidR="00F000B5" w:rsidRDefault="00F000B5" w:rsidP="00285C1E">
      <w:pPr>
        <w:ind w:left="1440"/>
        <w:rPr>
          <w:rFonts w:ascii="Tahoma" w:hAnsi="Tahoma" w:cs="Tahoma"/>
        </w:rPr>
      </w:pPr>
    </w:p>
    <w:p w14:paraId="70D597B6" w14:textId="77777777" w:rsidR="00F000B5" w:rsidRDefault="00F000B5" w:rsidP="00285C1E">
      <w:pPr>
        <w:ind w:left="1440"/>
        <w:rPr>
          <w:rFonts w:ascii="Tahoma" w:hAnsi="Tahoma" w:cs="Tahoma"/>
        </w:rPr>
      </w:pPr>
    </w:p>
    <w:p w14:paraId="632AD3E8" w14:textId="77777777" w:rsidR="00F000B5" w:rsidRPr="00DE6CCC" w:rsidRDefault="00F000B5" w:rsidP="00285C1E">
      <w:pPr>
        <w:ind w:left="1440"/>
        <w:rPr>
          <w:rFonts w:ascii="Tahoma" w:hAnsi="Tahoma" w:cs="Tahoma"/>
        </w:rPr>
      </w:pPr>
    </w:p>
    <w:p w14:paraId="51042159" w14:textId="1A65B0B2" w:rsidR="00285C1E" w:rsidRDefault="00A4430E" w:rsidP="00285C1E">
      <w:pPr>
        <w:rPr>
          <w:rFonts w:ascii="Tahoma" w:hAnsi="Tahoma" w:cs="Tahoma"/>
        </w:rPr>
      </w:pPr>
      <w:r>
        <w:rPr>
          <w:rFonts w:ascii="Tahoma" w:hAnsi="Tahoma" w:cs="Tahoma"/>
        </w:rPr>
        <w:t>References:</w:t>
      </w:r>
    </w:p>
    <w:p w14:paraId="66C7239D" w14:textId="77777777" w:rsidR="00A4430E" w:rsidRDefault="00A4430E" w:rsidP="00A4430E">
      <w:r>
        <w:t>Source for financial statements for Sept 30, 2023:</w:t>
      </w:r>
    </w:p>
    <w:p w14:paraId="00AE34CD" w14:textId="77777777" w:rsidR="00A4430E" w:rsidRDefault="00000000" w:rsidP="00A4430E">
      <w:hyperlink r:id="rId11" w:history="1">
        <w:r w:rsidR="00A4430E" w:rsidRPr="001535C1">
          <w:rPr>
            <w:rStyle w:val="Hyperlink"/>
          </w:rPr>
          <w:t>https://www.businesswire.com/news/home/20231102622200/en/Apple-reports-fourth-quarter-results</w:t>
        </w:r>
      </w:hyperlink>
    </w:p>
    <w:p w14:paraId="362C4C21" w14:textId="77777777" w:rsidR="00A4430E" w:rsidRDefault="00A4430E" w:rsidP="00A4430E"/>
    <w:p w14:paraId="5C71558B" w14:textId="77777777" w:rsidR="00A4430E" w:rsidRDefault="00000000" w:rsidP="00A4430E">
      <w:hyperlink r:id="rId12" w:history="1">
        <w:r w:rsidR="00A4430E" w:rsidRPr="001535C1">
          <w:rPr>
            <w:rStyle w:val="Hyperlink"/>
          </w:rPr>
          <w:t>https://finance.yahoo.com/news/apple-reports-fourth-quarter-results-203000724.html</w:t>
        </w:r>
      </w:hyperlink>
    </w:p>
    <w:p w14:paraId="02EBACB6" w14:textId="77777777" w:rsidR="00A4430E" w:rsidRDefault="00A4430E" w:rsidP="00A4430E"/>
    <w:p w14:paraId="7135BAE8" w14:textId="081F0A2F" w:rsidR="00A4430E" w:rsidRPr="00A4430E" w:rsidRDefault="00000000" w:rsidP="00285C1E">
      <w:hyperlink r:id="rId13" w:history="1">
        <w:r w:rsidR="00A4430E" w:rsidRPr="001535C1">
          <w:rPr>
            <w:rStyle w:val="Hyperlink"/>
          </w:rPr>
          <w:t>https://investor.apple.com/investor-relations/default.aspx</w:t>
        </w:r>
      </w:hyperlink>
    </w:p>
    <w:p w14:paraId="32F78684" w14:textId="77777777" w:rsidR="00A4430E" w:rsidRDefault="00A4430E" w:rsidP="00A4430E"/>
    <w:p w14:paraId="17E7461E" w14:textId="5B205586" w:rsidR="00A4430E" w:rsidRDefault="00000000" w:rsidP="00A4430E">
      <w:hyperlink r:id="rId14" w:history="1">
        <w:r w:rsidR="00A4430E" w:rsidRPr="00C005AF">
          <w:rPr>
            <w:rStyle w:val="Hyperlink"/>
          </w:rPr>
          <w:t>https://finance.yahoo.com/quote/AAPL/key-statistics</w:t>
        </w:r>
      </w:hyperlink>
    </w:p>
    <w:p w14:paraId="2D33208C" w14:textId="77777777" w:rsidR="00A4430E" w:rsidRDefault="00A4430E" w:rsidP="00285C1E">
      <w:pPr>
        <w:rPr>
          <w:rFonts w:ascii="Tahoma" w:hAnsi="Tahoma" w:cs="Tahoma"/>
        </w:rPr>
      </w:pPr>
    </w:p>
    <w:p w14:paraId="7CA36DF9" w14:textId="4EA253EA" w:rsidR="00A4430E" w:rsidRDefault="00A4430E" w:rsidP="00A4430E">
      <w:pPr>
        <w:rPr>
          <w:rStyle w:val="Hyperlink"/>
        </w:rPr>
      </w:pPr>
      <w:hyperlink r:id="rId15" w:history="1">
        <w:r w:rsidRPr="00C005AF">
          <w:rPr>
            <w:rStyle w:val="Hyperlink"/>
          </w:rPr>
          <w:t>https://home.treasury.gov/resource-center/data-chart-center/interest-rates/TextView?type=daily_treasury_yield_curve&amp;field_tdr_date_value=2024</w:t>
        </w:r>
      </w:hyperlink>
    </w:p>
    <w:p w14:paraId="0804E578" w14:textId="77777777" w:rsidR="00A4430E" w:rsidRDefault="00A4430E" w:rsidP="00A4430E">
      <w:pPr>
        <w:rPr>
          <w:rStyle w:val="Hyperlink"/>
        </w:rPr>
      </w:pPr>
    </w:p>
    <w:p w14:paraId="249D19AF" w14:textId="77777777" w:rsidR="00A4430E" w:rsidRDefault="00A4430E" w:rsidP="00A4430E"/>
    <w:p w14:paraId="4E3265E2" w14:textId="77777777" w:rsidR="00EA7843" w:rsidRDefault="00EA7843" w:rsidP="00EA7843">
      <w:pPr>
        <w:rPr>
          <w:rFonts w:ascii="Tahoma" w:hAnsi="Tahoma" w:cs="Tahoma"/>
        </w:rPr>
      </w:pPr>
    </w:p>
    <w:p w14:paraId="600290E2" w14:textId="77777777" w:rsidR="00EA7843" w:rsidRPr="0007472D" w:rsidRDefault="00EA7843" w:rsidP="00EA7843">
      <w:pPr>
        <w:rPr>
          <w:rFonts w:ascii="Tahoma" w:hAnsi="Tahoma" w:cs="Tahoma"/>
        </w:rPr>
      </w:pPr>
    </w:p>
    <w:p w14:paraId="5860BA9F" w14:textId="77777777" w:rsidR="004859FB" w:rsidRPr="007D6064" w:rsidRDefault="004859FB" w:rsidP="003354C4">
      <w:pPr>
        <w:rPr>
          <w:rFonts w:ascii="Tahoma" w:hAnsi="Tahoma" w:cs="Tahoma"/>
        </w:rPr>
      </w:pPr>
    </w:p>
    <w:sectPr w:rsidR="004859FB" w:rsidRPr="007D6064" w:rsidSect="005847F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121A"/>
    <w:multiLevelType w:val="hybridMultilevel"/>
    <w:tmpl w:val="20F6E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012B4D"/>
    <w:multiLevelType w:val="multilevel"/>
    <w:tmpl w:val="D53A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A58A7"/>
    <w:multiLevelType w:val="multilevel"/>
    <w:tmpl w:val="9DC62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F37F9"/>
    <w:multiLevelType w:val="multilevel"/>
    <w:tmpl w:val="27343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C49C2"/>
    <w:multiLevelType w:val="multilevel"/>
    <w:tmpl w:val="A870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F7DCA"/>
    <w:multiLevelType w:val="multilevel"/>
    <w:tmpl w:val="1B32D5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945B9"/>
    <w:multiLevelType w:val="multilevel"/>
    <w:tmpl w:val="09207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EE653A"/>
    <w:multiLevelType w:val="multilevel"/>
    <w:tmpl w:val="741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730A94"/>
    <w:multiLevelType w:val="multilevel"/>
    <w:tmpl w:val="1AF2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3C1533"/>
    <w:multiLevelType w:val="multilevel"/>
    <w:tmpl w:val="DA429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21EDD"/>
    <w:multiLevelType w:val="multilevel"/>
    <w:tmpl w:val="93048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382476"/>
    <w:multiLevelType w:val="multilevel"/>
    <w:tmpl w:val="E548A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445173">
    <w:abstractNumId w:val="10"/>
  </w:num>
  <w:num w:numId="2" w16cid:durableId="1075518416">
    <w:abstractNumId w:val="3"/>
  </w:num>
  <w:num w:numId="3" w16cid:durableId="400446513">
    <w:abstractNumId w:val="11"/>
  </w:num>
  <w:num w:numId="4" w16cid:durableId="240918412">
    <w:abstractNumId w:val="7"/>
  </w:num>
  <w:num w:numId="5" w16cid:durableId="424495015">
    <w:abstractNumId w:val="9"/>
  </w:num>
  <w:num w:numId="6" w16cid:durableId="1608541767">
    <w:abstractNumId w:val="2"/>
  </w:num>
  <w:num w:numId="7" w16cid:durableId="2069448782">
    <w:abstractNumId w:val="8"/>
  </w:num>
  <w:num w:numId="8" w16cid:durableId="913205919">
    <w:abstractNumId w:val="6"/>
  </w:num>
  <w:num w:numId="9" w16cid:durableId="2013870290">
    <w:abstractNumId w:val="5"/>
  </w:num>
  <w:num w:numId="10" w16cid:durableId="1200512246">
    <w:abstractNumId w:val="1"/>
  </w:num>
  <w:num w:numId="11" w16cid:durableId="1367222119">
    <w:abstractNumId w:val="4"/>
  </w:num>
  <w:num w:numId="12" w16cid:durableId="38830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C4"/>
    <w:rsid w:val="0007472D"/>
    <w:rsid w:val="000A583A"/>
    <w:rsid w:val="000C1707"/>
    <w:rsid w:val="000D715A"/>
    <w:rsid w:val="00114329"/>
    <w:rsid w:val="0014627A"/>
    <w:rsid w:val="001475FC"/>
    <w:rsid w:val="00186EEB"/>
    <w:rsid w:val="001956EB"/>
    <w:rsid w:val="00285C1E"/>
    <w:rsid w:val="003354C4"/>
    <w:rsid w:val="003A4C0C"/>
    <w:rsid w:val="003B66EE"/>
    <w:rsid w:val="004859FB"/>
    <w:rsid w:val="00496072"/>
    <w:rsid w:val="004A17B2"/>
    <w:rsid w:val="004D1AB0"/>
    <w:rsid w:val="00535767"/>
    <w:rsid w:val="005847F7"/>
    <w:rsid w:val="00585997"/>
    <w:rsid w:val="005C23D9"/>
    <w:rsid w:val="00675B60"/>
    <w:rsid w:val="006A77C1"/>
    <w:rsid w:val="006B288E"/>
    <w:rsid w:val="00747161"/>
    <w:rsid w:val="007555A7"/>
    <w:rsid w:val="00783562"/>
    <w:rsid w:val="007D6064"/>
    <w:rsid w:val="008106F2"/>
    <w:rsid w:val="008150EB"/>
    <w:rsid w:val="00874E1A"/>
    <w:rsid w:val="008E41FE"/>
    <w:rsid w:val="00A43D80"/>
    <w:rsid w:val="00A4430E"/>
    <w:rsid w:val="00AE51E5"/>
    <w:rsid w:val="00B54897"/>
    <w:rsid w:val="00B65CAA"/>
    <w:rsid w:val="00BA36CB"/>
    <w:rsid w:val="00BF0484"/>
    <w:rsid w:val="00C028B0"/>
    <w:rsid w:val="00C628E3"/>
    <w:rsid w:val="00C8213E"/>
    <w:rsid w:val="00DE07D7"/>
    <w:rsid w:val="00DE6CCC"/>
    <w:rsid w:val="00E30179"/>
    <w:rsid w:val="00E54B1E"/>
    <w:rsid w:val="00EA7843"/>
    <w:rsid w:val="00EA7FCC"/>
    <w:rsid w:val="00F000B5"/>
    <w:rsid w:val="00F629FE"/>
    <w:rsid w:val="00F96CC7"/>
    <w:rsid w:val="00FD653E"/>
    <w:rsid w:val="00FE13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F96A"/>
  <w15:chartTrackingRefBased/>
  <w15:docId w15:val="{FD639FB6-390B-43B8-9CA1-411D2998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C4"/>
    <w:pPr>
      <w:keepNext/>
      <w:keepLines/>
      <w:spacing w:before="360" w:after="80"/>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unhideWhenUsed/>
    <w:qFormat/>
    <w:rsid w:val="003354C4"/>
    <w:pPr>
      <w:keepNext/>
      <w:keepLines/>
      <w:spacing w:before="160" w:after="80"/>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3354C4"/>
    <w:pPr>
      <w:keepNext/>
      <w:keepLines/>
      <w:spacing w:before="160" w:after="80"/>
      <w:outlineLvl w:val="2"/>
    </w:pPr>
    <w:rPr>
      <w:rFonts w:eastAsiaTheme="majorEastAsia"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3354C4"/>
    <w:pPr>
      <w:keepNext/>
      <w:keepLines/>
      <w:spacing w:before="80" w:after="40"/>
      <w:outlineLvl w:val="3"/>
    </w:pPr>
    <w:rPr>
      <w:rFonts w:eastAsiaTheme="majorEastAsia" w:cstheme="majorBidi"/>
      <w:i/>
      <w:iCs/>
      <w:color w:val="6B911C" w:themeColor="accent1" w:themeShade="BF"/>
    </w:rPr>
  </w:style>
  <w:style w:type="paragraph" w:styleId="Heading5">
    <w:name w:val="heading 5"/>
    <w:basedOn w:val="Normal"/>
    <w:next w:val="Normal"/>
    <w:link w:val="Heading5Char"/>
    <w:uiPriority w:val="9"/>
    <w:semiHidden/>
    <w:unhideWhenUsed/>
    <w:qFormat/>
    <w:rsid w:val="003354C4"/>
    <w:pPr>
      <w:keepNext/>
      <w:keepLines/>
      <w:spacing w:before="80" w:after="40"/>
      <w:outlineLvl w:val="4"/>
    </w:pPr>
    <w:rPr>
      <w:rFonts w:eastAsiaTheme="majorEastAsia" w:cstheme="majorBidi"/>
      <w:color w:val="6B911C" w:themeColor="accent1" w:themeShade="BF"/>
    </w:rPr>
  </w:style>
  <w:style w:type="paragraph" w:styleId="Heading6">
    <w:name w:val="heading 6"/>
    <w:basedOn w:val="Normal"/>
    <w:next w:val="Normal"/>
    <w:link w:val="Heading6Char"/>
    <w:uiPriority w:val="9"/>
    <w:semiHidden/>
    <w:unhideWhenUsed/>
    <w:qFormat/>
    <w:rsid w:val="00335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4C4"/>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rsid w:val="003354C4"/>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3354C4"/>
    <w:rPr>
      <w:rFonts w:eastAsiaTheme="majorEastAsia"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3354C4"/>
    <w:rPr>
      <w:rFonts w:eastAsiaTheme="majorEastAsia" w:cstheme="majorBidi"/>
      <w:i/>
      <w:iCs/>
      <w:color w:val="6B911C" w:themeColor="accent1" w:themeShade="BF"/>
    </w:rPr>
  </w:style>
  <w:style w:type="character" w:customStyle="1" w:styleId="Heading5Char">
    <w:name w:val="Heading 5 Char"/>
    <w:basedOn w:val="DefaultParagraphFont"/>
    <w:link w:val="Heading5"/>
    <w:uiPriority w:val="9"/>
    <w:semiHidden/>
    <w:rsid w:val="003354C4"/>
    <w:rPr>
      <w:rFonts w:eastAsiaTheme="majorEastAsia" w:cstheme="majorBidi"/>
      <w:color w:val="6B911C" w:themeColor="accent1" w:themeShade="BF"/>
    </w:rPr>
  </w:style>
  <w:style w:type="character" w:customStyle="1" w:styleId="Heading6Char">
    <w:name w:val="Heading 6 Char"/>
    <w:basedOn w:val="DefaultParagraphFont"/>
    <w:link w:val="Heading6"/>
    <w:uiPriority w:val="9"/>
    <w:semiHidden/>
    <w:rsid w:val="00335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4C4"/>
    <w:rPr>
      <w:rFonts w:eastAsiaTheme="majorEastAsia" w:cstheme="majorBidi"/>
      <w:color w:val="272727" w:themeColor="text1" w:themeTint="D8"/>
    </w:rPr>
  </w:style>
  <w:style w:type="paragraph" w:styleId="Title">
    <w:name w:val="Title"/>
    <w:basedOn w:val="Normal"/>
    <w:next w:val="Normal"/>
    <w:link w:val="TitleChar"/>
    <w:uiPriority w:val="10"/>
    <w:qFormat/>
    <w:rsid w:val="00335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4C4"/>
    <w:pPr>
      <w:spacing w:before="160"/>
      <w:jc w:val="center"/>
    </w:pPr>
    <w:rPr>
      <w:i/>
      <w:iCs/>
      <w:color w:val="404040" w:themeColor="text1" w:themeTint="BF"/>
    </w:rPr>
  </w:style>
  <w:style w:type="character" w:customStyle="1" w:styleId="QuoteChar">
    <w:name w:val="Quote Char"/>
    <w:basedOn w:val="DefaultParagraphFont"/>
    <w:link w:val="Quote"/>
    <w:uiPriority w:val="29"/>
    <w:rsid w:val="003354C4"/>
    <w:rPr>
      <w:i/>
      <w:iCs/>
      <w:color w:val="404040" w:themeColor="text1" w:themeTint="BF"/>
    </w:rPr>
  </w:style>
  <w:style w:type="paragraph" w:styleId="ListParagraph">
    <w:name w:val="List Paragraph"/>
    <w:basedOn w:val="Normal"/>
    <w:uiPriority w:val="34"/>
    <w:qFormat/>
    <w:rsid w:val="003354C4"/>
    <w:pPr>
      <w:ind w:left="720"/>
      <w:contextualSpacing/>
    </w:pPr>
  </w:style>
  <w:style w:type="character" w:styleId="IntenseEmphasis">
    <w:name w:val="Intense Emphasis"/>
    <w:basedOn w:val="DefaultParagraphFont"/>
    <w:uiPriority w:val="21"/>
    <w:qFormat/>
    <w:rsid w:val="003354C4"/>
    <w:rPr>
      <w:i/>
      <w:iCs/>
      <w:color w:val="6B911C" w:themeColor="accent1" w:themeShade="BF"/>
    </w:rPr>
  </w:style>
  <w:style w:type="paragraph" w:styleId="IntenseQuote">
    <w:name w:val="Intense Quote"/>
    <w:basedOn w:val="Normal"/>
    <w:next w:val="Normal"/>
    <w:link w:val="IntenseQuoteChar"/>
    <w:uiPriority w:val="30"/>
    <w:qFormat/>
    <w:rsid w:val="003354C4"/>
    <w:pPr>
      <w:pBdr>
        <w:top w:val="single" w:sz="4" w:space="10" w:color="6B911C" w:themeColor="accent1" w:themeShade="BF"/>
        <w:bottom w:val="single" w:sz="4" w:space="10" w:color="6B911C" w:themeColor="accent1" w:themeShade="BF"/>
      </w:pBdr>
      <w:spacing w:before="360" w:after="360"/>
      <w:ind w:left="864" w:right="864"/>
      <w:jc w:val="center"/>
    </w:pPr>
    <w:rPr>
      <w:i/>
      <w:iCs/>
      <w:color w:val="6B911C" w:themeColor="accent1" w:themeShade="BF"/>
    </w:rPr>
  </w:style>
  <w:style w:type="character" w:customStyle="1" w:styleId="IntenseQuoteChar">
    <w:name w:val="Intense Quote Char"/>
    <w:basedOn w:val="DefaultParagraphFont"/>
    <w:link w:val="IntenseQuote"/>
    <w:uiPriority w:val="30"/>
    <w:rsid w:val="003354C4"/>
    <w:rPr>
      <w:i/>
      <w:iCs/>
      <w:color w:val="6B911C" w:themeColor="accent1" w:themeShade="BF"/>
    </w:rPr>
  </w:style>
  <w:style w:type="character" w:styleId="IntenseReference">
    <w:name w:val="Intense Reference"/>
    <w:basedOn w:val="DefaultParagraphFont"/>
    <w:uiPriority w:val="32"/>
    <w:qFormat/>
    <w:rsid w:val="003354C4"/>
    <w:rPr>
      <w:b/>
      <w:bCs/>
      <w:smallCaps/>
      <w:color w:val="6B911C" w:themeColor="accent1" w:themeShade="BF"/>
      <w:spacing w:val="5"/>
    </w:rPr>
  </w:style>
  <w:style w:type="paragraph" w:styleId="NoSpacing">
    <w:name w:val="No Spacing"/>
    <w:uiPriority w:val="1"/>
    <w:qFormat/>
    <w:rsid w:val="003354C4"/>
    <w:pPr>
      <w:spacing w:after="0" w:line="240" w:lineRule="auto"/>
    </w:pPr>
    <w:rPr>
      <w:color w:val="2C3C43" w:themeColor="text2"/>
      <w:kern w:val="0"/>
      <w:sz w:val="20"/>
      <w:szCs w:val="20"/>
      <w:lang w:val="en-US"/>
      <w14:ligatures w14:val="none"/>
    </w:rPr>
  </w:style>
  <w:style w:type="paragraph" w:customStyle="1" w:styleId="TableParagraph">
    <w:name w:val="Table Paragraph"/>
    <w:basedOn w:val="Normal"/>
    <w:uiPriority w:val="1"/>
    <w:qFormat/>
    <w:rsid w:val="004859FB"/>
    <w:pPr>
      <w:widowControl w:val="0"/>
      <w:autoSpaceDE w:val="0"/>
      <w:autoSpaceDN w:val="0"/>
      <w:spacing w:after="0" w:line="240" w:lineRule="auto"/>
    </w:pPr>
    <w:rPr>
      <w:rFonts w:ascii="Tahoma" w:eastAsia="Tahoma" w:hAnsi="Tahoma" w:cs="Tahoma"/>
      <w:kern w:val="0"/>
      <w:lang w:val="en-US"/>
      <w14:ligatures w14:val="none"/>
    </w:rPr>
  </w:style>
  <w:style w:type="paragraph" w:styleId="NormalWeb">
    <w:name w:val="Normal (Web)"/>
    <w:basedOn w:val="Normal"/>
    <w:uiPriority w:val="99"/>
    <w:semiHidden/>
    <w:unhideWhenUsed/>
    <w:rsid w:val="00285C1E"/>
    <w:rPr>
      <w:rFonts w:ascii="Times New Roman" w:hAnsi="Times New Roman" w:cs="Times New Roman"/>
      <w:sz w:val="24"/>
      <w:szCs w:val="24"/>
    </w:rPr>
  </w:style>
  <w:style w:type="character" w:styleId="Hyperlink">
    <w:name w:val="Hyperlink"/>
    <w:basedOn w:val="DefaultParagraphFont"/>
    <w:uiPriority w:val="99"/>
    <w:unhideWhenUsed/>
    <w:rsid w:val="00A4430E"/>
    <w:rPr>
      <w:color w:val="99CA3C" w:themeColor="hyperlink"/>
      <w:u w:val="single"/>
    </w:rPr>
  </w:style>
  <w:style w:type="character" w:styleId="UnresolvedMention">
    <w:name w:val="Unresolved Mention"/>
    <w:basedOn w:val="DefaultParagraphFont"/>
    <w:uiPriority w:val="99"/>
    <w:semiHidden/>
    <w:unhideWhenUsed/>
    <w:rsid w:val="00A4430E"/>
    <w:rPr>
      <w:color w:val="605E5C"/>
      <w:shd w:val="clear" w:color="auto" w:fill="E1DFDD"/>
    </w:rPr>
  </w:style>
  <w:style w:type="character" w:styleId="FollowedHyperlink">
    <w:name w:val="FollowedHyperlink"/>
    <w:basedOn w:val="DefaultParagraphFont"/>
    <w:uiPriority w:val="99"/>
    <w:semiHidden/>
    <w:unhideWhenUsed/>
    <w:rsid w:val="00A4430E"/>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702">
      <w:bodyDiv w:val="1"/>
      <w:marLeft w:val="0"/>
      <w:marRight w:val="0"/>
      <w:marTop w:val="0"/>
      <w:marBottom w:val="0"/>
      <w:divBdr>
        <w:top w:val="none" w:sz="0" w:space="0" w:color="auto"/>
        <w:left w:val="none" w:sz="0" w:space="0" w:color="auto"/>
        <w:bottom w:val="none" w:sz="0" w:space="0" w:color="auto"/>
        <w:right w:val="none" w:sz="0" w:space="0" w:color="auto"/>
      </w:divBdr>
    </w:div>
    <w:div w:id="101532612">
      <w:bodyDiv w:val="1"/>
      <w:marLeft w:val="0"/>
      <w:marRight w:val="0"/>
      <w:marTop w:val="0"/>
      <w:marBottom w:val="0"/>
      <w:divBdr>
        <w:top w:val="none" w:sz="0" w:space="0" w:color="auto"/>
        <w:left w:val="none" w:sz="0" w:space="0" w:color="auto"/>
        <w:bottom w:val="none" w:sz="0" w:space="0" w:color="auto"/>
        <w:right w:val="none" w:sz="0" w:space="0" w:color="auto"/>
      </w:divBdr>
    </w:div>
    <w:div w:id="132724682">
      <w:bodyDiv w:val="1"/>
      <w:marLeft w:val="0"/>
      <w:marRight w:val="0"/>
      <w:marTop w:val="0"/>
      <w:marBottom w:val="0"/>
      <w:divBdr>
        <w:top w:val="none" w:sz="0" w:space="0" w:color="auto"/>
        <w:left w:val="none" w:sz="0" w:space="0" w:color="auto"/>
        <w:bottom w:val="none" w:sz="0" w:space="0" w:color="auto"/>
        <w:right w:val="none" w:sz="0" w:space="0" w:color="auto"/>
      </w:divBdr>
    </w:div>
    <w:div w:id="344602224">
      <w:bodyDiv w:val="1"/>
      <w:marLeft w:val="0"/>
      <w:marRight w:val="0"/>
      <w:marTop w:val="0"/>
      <w:marBottom w:val="0"/>
      <w:divBdr>
        <w:top w:val="none" w:sz="0" w:space="0" w:color="auto"/>
        <w:left w:val="none" w:sz="0" w:space="0" w:color="auto"/>
        <w:bottom w:val="none" w:sz="0" w:space="0" w:color="auto"/>
        <w:right w:val="none" w:sz="0" w:space="0" w:color="auto"/>
      </w:divBdr>
    </w:div>
    <w:div w:id="496188924">
      <w:bodyDiv w:val="1"/>
      <w:marLeft w:val="0"/>
      <w:marRight w:val="0"/>
      <w:marTop w:val="0"/>
      <w:marBottom w:val="0"/>
      <w:divBdr>
        <w:top w:val="none" w:sz="0" w:space="0" w:color="auto"/>
        <w:left w:val="none" w:sz="0" w:space="0" w:color="auto"/>
        <w:bottom w:val="none" w:sz="0" w:space="0" w:color="auto"/>
        <w:right w:val="none" w:sz="0" w:space="0" w:color="auto"/>
      </w:divBdr>
    </w:div>
    <w:div w:id="544561206">
      <w:bodyDiv w:val="1"/>
      <w:marLeft w:val="0"/>
      <w:marRight w:val="0"/>
      <w:marTop w:val="0"/>
      <w:marBottom w:val="0"/>
      <w:divBdr>
        <w:top w:val="none" w:sz="0" w:space="0" w:color="auto"/>
        <w:left w:val="none" w:sz="0" w:space="0" w:color="auto"/>
        <w:bottom w:val="none" w:sz="0" w:space="0" w:color="auto"/>
        <w:right w:val="none" w:sz="0" w:space="0" w:color="auto"/>
      </w:divBdr>
    </w:div>
    <w:div w:id="561597880">
      <w:bodyDiv w:val="1"/>
      <w:marLeft w:val="0"/>
      <w:marRight w:val="0"/>
      <w:marTop w:val="0"/>
      <w:marBottom w:val="0"/>
      <w:divBdr>
        <w:top w:val="none" w:sz="0" w:space="0" w:color="auto"/>
        <w:left w:val="none" w:sz="0" w:space="0" w:color="auto"/>
        <w:bottom w:val="none" w:sz="0" w:space="0" w:color="auto"/>
        <w:right w:val="none" w:sz="0" w:space="0" w:color="auto"/>
      </w:divBdr>
    </w:div>
    <w:div w:id="698237605">
      <w:bodyDiv w:val="1"/>
      <w:marLeft w:val="0"/>
      <w:marRight w:val="0"/>
      <w:marTop w:val="0"/>
      <w:marBottom w:val="0"/>
      <w:divBdr>
        <w:top w:val="none" w:sz="0" w:space="0" w:color="auto"/>
        <w:left w:val="none" w:sz="0" w:space="0" w:color="auto"/>
        <w:bottom w:val="none" w:sz="0" w:space="0" w:color="auto"/>
        <w:right w:val="none" w:sz="0" w:space="0" w:color="auto"/>
      </w:divBdr>
    </w:div>
    <w:div w:id="868834636">
      <w:bodyDiv w:val="1"/>
      <w:marLeft w:val="0"/>
      <w:marRight w:val="0"/>
      <w:marTop w:val="0"/>
      <w:marBottom w:val="0"/>
      <w:divBdr>
        <w:top w:val="none" w:sz="0" w:space="0" w:color="auto"/>
        <w:left w:val="none" w:sz="0" w:space="0" w:color="auto"/>
        <w:bottom w:val="none" w:sz="0" w:space="0" w:color="auto"/>
        <w:right w:val="none" w:sz="0" w:space="0" w:color="auto"/>
      </w:divBdr>
    </w:div>
    <w:div w:id="948196920">
      <w:bodyDiv w:val="1"/>
      <w:marLeft w:val="0"/>
      <w:marRight w:val="0"/>
      <w:marTop w:val="0"/>
      <w:marBottom w:val="0"/>
      <w:divBdr>
        <w:top w:val="none" w:sz="0" w:space="0" w:color="auto"/>
        <w:left w:val="none" w:sz="0" w:space="0" w:color="auto"/>
        <w:bottom w:val="none" w:sz="0" w:space="0" w:color="auto"/>
        <w:right w:val="none" w:sz="0" w:space="0" w:color="auto"/>
      </w:divBdr>
    </w:div>
    <w:div w:id="1006522912">
      <w:bodyDiv w:val="1"/>
      <w:marLeft w:val="0"/>
      <w:marRight w:val="0"/>
      <w:marTop w:val="0"/>
      <w:marBottom w:val="0"/>
      <w:divBdr>
        <w:top w:val="none" w:sz="0" w:space="0" w:color="auto"/>
        <w:left w:val="none" w:sz="0" w:space="0" w:color="auto"/>
        <w:bottom w:val="none" w:sz="0" w:space="0" w:color="auto"/>
        <w:right w:val="none" w:sz="0" w:space="0" w:color="auto"/>
      </w:divBdr>
    </w:div>
    <w:div w:id="1039859979">
      <w:bodyDiv w:val="1"/>
      <w:marLeft w:val="0"/>
      <w:marRight w:val="0"/>
      <w:marTop w:val="0"/>
      <w:marBottom w:val="0"/>
      <w:divBdr>
        <w:top w:val="none" w:sz="0" w:space="0" w:color="auto"/>
        <w:left w:val="none" w:sz="0" w:space="0" w:color="auto"/>
        <w:bottom w:val="none" w:sz="0" w:space="0" w:color="auto"/>
        <w:right w:val="none" w:sz="0" w:space="0" w:color="auto"/>
      </w:divBdr>
    </w:div>
    <w:div w:id="1143237727">
      <w:bodyDiv w:val="1"/>
      <w:marLeft w:val="0"/>
      <w:marRight w:val="0"/>
      <w:marTop w:val="0"/>
      <w:marBottom w:val="0"/>
      <w:divBdr>
        <w:top w:val="none" w:sz="0" w:space="0" w:color="auto"/>
        <w:left w:val="none" w:sz="0" w:space="0" w:color="auto"/>
        <w:bottom w:val="none" w:sz="0" w:space="0" w:color="auto"/>
        <w:right w:val="none" w:sz="0" w:space="0" w:color="auto"/>
      </w:divBdr>
    </w:div>
    <w:div w:id="1168326209">
      <w:bodyDiv w:val="1"/>
      <w:marLeft w:val="0"/>
      <w:marRight w:val="0"/>
      <w:marTop w:val="0"/>
      <w:marBottom w:val="0"/>
      <w:divBdr>
        <w:top w:val="none" w:sz="0" w:space="0" w:color="auto"/>
        <w:left w:val="none" w:sz="0" w:space="0" w:color="auto"/>
        <w:bottom w:val="none" w:sz="0" w:space="0" w:color="auto"/>
        <w:right w:val="none" w:sz="0" w:space="0" w:color="auto"/>
      </w:divBdr>
      <w:divsChild>
        <w:div w:id="1200436349">
          <w:marLeft w:val="0"/>
          <w:marRight w:val="0"/>
          <w:marTop w:val="0"/>
          <w:marBottom w:val="0"/>
          <w:divBdr>
            <w:top w:val="none" w:sz="0" w:space="0" w:color="auto"/>
            <w:left w:val="none" w:sz="0" w:space="0" w:color="auto"/>
            <w:bottom w:val="none" w:sz="0" w:space="0" w:color="auto"/>
            <w:right w:val="none" w:sz="0" w:space="0" w:color="auto"/>
          </w:divBdr>
          <w:divsChild>
            <w:div w:id="16960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0467">
      <w:bodyDiv w:val="1"/>
      <w:marLeft w:val="0"/>
      <w:marRight w:val="0"/>
      <w:marTop w:val="0"/>
      <w:marBottom w:val="0"/>
      <w:divBdr>
        <w:top w:val="none" w:sz="0" w:space="0" w:color="auto"/>
        <w:left w:val="none" w:sz="0" w:space="0" w:color="auto"/>
        <w:bottom w:val="none" w:sz="0" w:space="0" w:color="auto"/>
        <w:right w:val="none" w:sz="0" w:space="0" w:color="auto"/>
      </w:divBdr>
    </w:div>
    <w:div w:id="1273710246">
      <w:bodyDiv w:val="1"/>
      <w:marLeft w:val="0"/>
      <w:marRight w:val="0"/>
      <w:marTop w:val="0"/>
      <w:marBottom w:val="0"/>
      <w:divBdr>
        <w:top w:val="none" w:sz="0" w:space="0" w:color="auto"/>
        <w:left w:val="none" w:sz="0" w:space="0" w:color="auto"/>
        <w:bottom w:val="none" w:sz="0" w:space="0" w:color="auto"/>
        <w:right w:val="none" w:sz="0" w:space="0" w:color="auto"/>
      </w:divBdr>
    </w:div>
    <w:div w:id="1828010680">
      <w:bodyDiv w:val="1"/>
      <w:marLeft w:val="0"/>
      <w:marRight w:val="0"/>
      <w:marTop w:val="0"/>
      <w:marBottom w:val="0"/>
      <w:divBdr>
        <w:top w:val="none" w:sz="0" w:space="0" w:color="auto"/>
        <w:left w:val="none" w:sz="0" w:space="0" w:color="auto"/>
        <w:bottom w:val="none" w:sz="0" w:space="0" w:color="auto"/>
        <w:right w:val="none" w:sz="0" w:space="0" w:color="auto"/>
      </w:divBdr>
    </w:div>
    <w:div w:id="2046366120">
      <w:bodyDiv w:val="1"/>
      <w:marLeft w:val="0"/>
      <w:marRight w:val="0"/>
      <w:marTop w:val="0"/>
      <w:marBottom w:val="0"/>
      <w:divBdr>
        <w:top w:val="none" w:sz="0" w:space="0" w:color="auto"/>
        <w:left w:val="none" w:sz="0" w:space="0" w:color="auto"/>
        <w:bottom w:val="none" w:sz="0" w:space="0" w:color="auto"/>
        <w:right w:val="none" w:sz="0" w:space="0" w:color="auto"/>
      </w:divBdr>
    </w:div>
    <w:div w:id="2054694469">
      <w:bodyDiv w:val="1"/>
      <w:marLeft w:val="0"/>
      <w:marRight w:val="0"/>
      <w:marTop w:val="0"/>
      <w:marBottom w:val="0"/>
      <w:divBdr>
        <w:top w:val="none" w:sz="0" w:space="0" w:color="auto"/>
        <w:left w:val="none" w:sz="0" w:space="0" w:color="auto"/>
        <w:bottom w:val="none" w:sz="0" w:space="0" w:color="auto"/>
        <w:right w:val="none" w:sz="0" w:space="0" w:color="auto"/>
      </w:divBdr>
    </w:div>
    <w:div w:id="208178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nvestor.apple.com/investor-relations/default.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inance.yahoo.com/news/apple-reports-fourth-quarter-results-203000724.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usinesswire.com/news/home/20231102622200/en/Apple-reports-fourth-quarter-results" TargetMode="External"/><Relationship Id="rId5" Type="http://schemas.openxmlformats.org/officeDocument/2006/relationships/webSettings" Target="webSettings.xml"/><Relationship Id="rId15" Type="http://schemas.openxmlformats.org/officeDocument/2006/relationships/hyperlink" Target="https://home.treasury.gov/resource-center/data-chart-center/interest-rates/TextView?type=daily_treasury_yield_curve&amp;field_tdr_date_value=2024"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finance.yahoo.com/quote/AAPL/key-statist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7E6522A2FA46B5B673E255BFF3B08C"/>
        <w:category>
          <w:name w:val="General"/>
          <w:gallery w:val="placeholder"/>
        </w:category>
        <w:types>
          <w:type w:val="bbPlcHdr"/>
        </w:types>
        <w:behaviors>
          <w:behavior w:val="content"/>
        </w:behaviors>
        <w:guid w:val="{97081FD8-FC76-4A71-97B4-8B49E30993D8}"/>
      </w:docPartPr>
      <w:docPartBody>
        <w:p w:rsidR="00AE0EA0" w:rsidRDefault="009A0D2B" w:rsidP="009A0D2B">
          <w:pPr>
            <w:pStyle w:val="947E6522A2FA46B5B673E255BFF3B08C"/>
          </w:pPr>
          <w:r>
            <w:rPr>
              <w:rFonts w:asciiTheme="majorHAnsi" w:hAnsiTheme="majorHAnsi"/>
              <w:color w:val="FFFFFF" w:themeColor="background1"/>
              <w:sz w:val="96"/>
              <w:szCs w:val="96"/>
            </w:rPr>
            <w:t>[Document title]</w:t>
          </w:r>
        </w:p>
      </w:docPartBody>
    </w:docPart>
    <w:docPart>
      <w:docPartPr>
        <w:name w:val="86382B3FBBE0481492C36F77336C475F"/>
        <w:category>
          <w:name w:val="General"/>
          <w:gallery w:val="placeholder"/>
        </w:category>
        <w:types>
          <w:type w:val="bbPlcHdr"/>
        </w:types>
        <w:behaviors>
          <w:behavior w:val="content"/>
        </w:behaviors>
        <w:guid w:val="{5CBFCEFC-A7CE-4097-A9B4-4B39F460DB55}"/>
      </w:docPartPr>
      <w:docPartBody>
        <w:p w:rsidR="00AE0EA0" w:rsidRDefault="009A0D2B" w:rsidP="009A0D2B">
          <w:pPr>
            <w:pStyle w:val="86382B3FBBE0481492C36F77336C475F"/>
          </w:pPr>
          <w:r>
            <w:rPr>
              <w:color w:val="FFFFFF" w:themeColor="background1"/>
              <w:sz w:val="28"/>
              <w:szCs w:val="28"/>
            </w:rPr>
            <w:t>[Author name]</w:t>
          </w:r>
        </w:p>
      </w:docPartBody>
    </w:docPart>
    <w:docPart>
      <w:docPartPr>
        <w:name w:val="6041459CE57640469DEF465B30B7284C"/>
        <w:category>
          <w:name w:val="General"/>
          <w:gallery w:val="placeholder"/>
        </w:category>
        <w:types>
          <w:type w:val="bbPlcHdr"/>
        </w:types>
        <w:behaviors>
          <w:behavior w:val="content"/>
        </w:behaviors>
        <w:guid w:val="{7484D7EB-60DF-46DB-ADFA-3E912B74B50B}"/>
      </w:docPartPr>
      <w:docPartBody>
        <w:p w:rsidR="00AE0EA0" w:rsidRDefault="009A0D2B" w:rsidP="009A0D2B">
          <w:pPr>
            <w:pStyle w:val="6041459CE57640469DEF465B30B7284C"/>
          </w:pPr>
          <w:r>
            <w:rPr>
              <w:color w:val="FFFFFF" w:themeColor="background1"/>
              <w:sz w:val="28"/>
              <w:szCs w:val="28"/>
            </w:rPr>
            <w:t>[Course title]</w:t>
          </w:r>
        </w:p>
      </w:docPartBody>
    </w:docPart>
    <w:docPart>
      <w:docPartPr>
        <w:name w:val="FEBDA7AB3AA74DCB93E1DF8A22512AB1"/>
        <w:category>
          <w:name w:val="General"/>
          <w:gallery w:val="placeholder"/>
        </w:category>
        <w:types>
          <w:type w:val="bbPlcHdr"/>
        </w:types>
        <w:behaviors>
          <w:behavior w:val="content"/>
        </w:behaviors>
        <w:guid w:val="{880ECBCB-568B-401B-9612-0A3D20492057}"/>
      </w:docPartPr>
      <w:docPartBody>
        <w:p w:rsidR="00AE0EA0" w:rsidRDefault="009A0D2B" w:rsidP="009A0D2B">
          <w:pPr>
            <w:pStyle w:val="FEBDA7AB3AA74DCB93E1DF8A22512AB1"/>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2B"/>
    <w:rsid w:val="002B4722"/>
    <w:rsid w:val="00490BA3"/>
    <w:rsid w:val="00930E6C"/>
    <w:rsid w:val="009A0D2B"/>
    <w:rsid w:val="00A11175"/>
    <w:rsid w:val="00AE0EA0"/>
    <w:rsid w:val="00DA05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7E6522A2FA46B5B673E255BFF3B08C">
    <w:name w:val="947E6522A2FA46B5B673E255BFF3B08C"/>
    <w:rsid w:val="009A0D2B"/>
  </w:style>
  <w:style w:type="paragraph" w:customStyle="1" w:styleId="86382B3FBBE0481492C36F77336C475F">
    <w:name w:val="86382B3FBBE0481492C36F77336C475F"/>
    <w:rsid w:val="009A0D2B"/>
  </w:style>
  <w:style w:type="paragraph" w:customStyle="1" w:styleId="6041459CE57640469DEF465B30B7284C">
    <w:name w:val="6041459CE57640469DEF465B30B7284C"/>
    <w:rsid w:val="009A0D2B"/>
  </w:style>
  <w:style w:type="paragraph" w:customStyle="1" w:styleId="FEBDA7AB3AA74DCB93E1DF8A22512AB1">
    <w:name w:val="FEBDA7AB3AA74DCB93E1DF8A22512AB1"/>
    <w:rsid w:val="009A0D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APPLE INC.</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INC.</dc:title>
  <dc:subject/>
  <dc:creator>Group 2</dc:creator>
  <cp:keywords/>
  <dc:description/>
  <cp:lastModifiedBy>Roshan Feroz Khan</cp:lastModifiedBy>
  <cp:revision>9</cp:revision>
  <dcterms:created xsi:type="dcterms:W3CDTF">2024-04-08T00:43:00Z</dcterms:created>
  <dcterms:modified xsi:type="dcterms:W3CDTF">2024-04-11T18:43:00Z</dcterms:modified>
  <cp:category>Financial Analytics Project</cp:category>
</cp:coreProperties>
</file>