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0f77cefcab004cdf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DC">
      <w:pPr>
        <w:pStyle w:val="Title"/>
      </w:pPr>
      <w:r>
        <w:t xml:space="preserve">LoRaWAN Research Test Results</w:t>
      </w:r>
    </w:p>
    <w:p w14:paraId="00100002" w14:textId="001000DD">
      <w:pPr>
        <w:spacing w:after="80"/>
      </w:pPr>
      <w:r>
        <w:t xml:space="preserve">P1 - Normal operation | 30-minute EMU-01 to gateway to ChirpStack to PostgreSQL to Fabric</w:t>
      </w:r>
    </w:p>
    <w:p w14:paraId="00100004" w14:textId="00100005">
      <w:r>
        <w:rPr>
          <w:b/>
        </w:rPr>
        <w:t xml:space="preserve">Recorded measurements: </w:t>
      </w:r>
      <w:r>
        <w:t>COMPLETE  •  Formal repetition: NOT ACCEPTED</w:t>
      </w:r>
    </w:p>
    <w:p w14:paraId="00100006" w14:textId="001000DE">
      <w:pPr/>
      <w:r>
        <w:t xml:space="preserve">The source, ChirpStack, database and Fabric outbox figures below were recorded during the 30-minute window. The recorder stopped before clean finalization; recovered evidence is sealed as RECORDED_WITH_ERRORS, so this run is not an accepted formal P1 repetition. The 119 confirmed outbox records have transaction IDs; independent HRC validation-code-zero and exact-byte digest evidence was not joined to this audit.</w:t>
      </w:r>
    </w:p>
    <w:p w14:paraId="00100008" w14:textId="00100009">
      <w:pPr>
        <w:pStyle w:val="Heading1"/>
      </w:pPr>
      <w:r>
        <w:t>1. Test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>
        <w:tc>
          <w:tcPr>
            <w:tcW w:w="2880" w:type="dxa"/>
            <w:shd w:val="clear" w:fill="DFEAED"/>
            <w:vAlign w:val="center"/>
          </w:tcPr>
          <w:p w14:paraId="0010000A" w14:textId="0010000B">
            <w:pPr>
              <w:spacing w:before="40" w:after="40"/>
            </w:pPr>
            <w:r>
              <w:rPr>
                <w:b/>
                <w:sz w:val="16"/>
              </w:rPr>
              <w:t>Check</w:t>
            </w:r>
          </w:p>
        </w:tc>
        <w:tc>
          <w:tcPr>
            <w:tcW w:w="4320" w:type="dxa"/>
            <w:shd w:val="clear" w:fill="DFEAED"/>
            <w:vAlign w:val="center"/>
          </w:tcPr>
          <w:p w14:paraId="0010000C" w14:textId="0010000D">
            <w:pPr>
              <w:spacing w:before="40" w:after="40"/>
            </w:pPr>
            <w:r>
              <w:rPr>
                <w:b/>
                <w:sz w:val="16"/>
              </w:rPr>
              <w:t>Recorded result</w:t>
            </w:r>
          </w:p>
        </w:tc>
        <w:tc>
          <w:tcPr>
            <w:tcW w:w="2765" w:type="dxa"/>
            <w:shd w:val="clear" w:fill="DFEAED"/>
            <w:vAlign w:val="center"/>
          </w:tcPr>
          <w:p w14:paraId="0010000E" w14:textId="0010000F">
            <w:pPr>
              <w:spacing w:before="40" w:after="40"/>
            </w:pPr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w="2880" w:type="dxa"/>
            <w:vAlign w:val="center"/>
          </w:tcPr>
          <w:p w14:paraId="00100010" w14:textId="00100011">
            <w:pPr>
              <w:spacing w:before="40" w:after="40"/>
            </w:pPr>
            <w:r>
              <w:rPr>
                <w:b w:val="0"/>
                <w:sz w:val="16"/>
              </w:rPr>
              <w:t>Window</w:t>
            </w:r>
          </w:p>
        </w:tc>
        <w:tc>
          <w:tcPr>
            <w:tcW w:w="4320" w:type="dxa"/>
            <w:vAlign w:val="center"/>
          </w:tcPr>
          <w:p w14:paraId="00100012" w14:textId="00100013">
            <w:pPr>
              <w:spacing w:before="40" w:after="40"/>
            </w:pPr>
            <w:r>
              <w:rPr>
                <w:b w:val="0"/>
                <w:sz w:val="16"/>
              </w:rPr>
              <w:t>22 Sep 2026, 02:53:04–03:23:04 UTC; 1,800 s</w:t>
            </w:r>
          </w:p>
        </w:tc>
        <w:tc>
          <w:tcPr>
            <w:tcW w:w="2765" w:type="dxa"/>
            <w:vAlign w:val="center"/>
          </w:tcPr>
          <w:p w14:paraId="00100014" w14:textId="00100015">
            <w:pPr>
              <w:spacing w:before="40" w:after="40"/>
            </w:pPr>
            <w:r>
              <w:rPr>
                <w:b w:val="0"/>
                <w:sz w:val="16"/>
              </w:rPr>
              <w:t>Full measurement window</w:t>
            </w:r>
          </w:p>
        </w:tc>
      </w:tr>
      <w:tr>
        <w:tc>
          <w:tcPr>
            <w:tcW w:w="2880" w:type="dxa"/>
            <w:shd w:val="clear" w:fill="F4F7F8"/>
            <w:vAlign w:val="center"/>
          </w:tcPr>
          <w:p w14:paraId="00100016" w14:textId="00100017">
            <w:pPr>
              <w:spacing w:before="40" w:after="40"/>
            </w:pPr>
            <w:r>
              <w:rPr>
                <w:b w:val="0"/>
                <w:sz w:val="16"/>
              </w:rPr>
              <w:t>Scheduled sensor attempts</w:t>
            </w:r>
          </w:p>
        </w:tc>
        <w:tc>
          <w:tcPr>
            <w:tcW w:w="4320" w:type="dxa"/>
            <w:shd w:val="clear" w:fill="F4F7F8"/>
            <w:vAlign w:val="center"/>
          </w:tcPr>
          <w:p w14:paraId="00100018" w14:textId="00100019">
            <w:pPr>
              <w:spacing w:before="40" w:after="40"/>
            </w:pPr>
            <w:r>
              <w:rPr>
                <w:b w:val="0"/>
                <w:sz w:val="16"/>
              </w:rPr>
              <w:t>120 of 120; 15-second profile</w:t>
            </w:r>
          </w:p>
        </w:tc>
        <w:tc>
          <w:tcPr>
            <w:tcW w:w="2765" w:type="dxa"/>
            <w:shd w:val="clear" w:fill="F4F7F8"/>
            <w:vAlign w:val="center"/>
          </w:tcPr>
          <w:p w14:paraId="0010001A" w14:textId="0010001B">
            <w:pPr>
              <w:spacing w:before="40" w:after="40"/>
            </w:pPr>
            <w:r>
              <w:rPr>
                <w:b w:val="0"/>
                <w:sz w:val="16"/>
              </w:rPr>
              <w:t>Measured</w:t>
            </w:r>
          </w:p>
        </w:tc>
      </w:tr>
      <w:tr>
        <w:tc>
          <w:tcPr>
            <w:tcW w:w="2880" w:type="dxa"/>
            <w:vAlign w:val="center"/>
          </w:tcPr>
          <w:p w14:paraId="0010001C" w14:textId="0010001D">
            <w:pPr>
              <w:spacing w:before="40" w:after="40"/>
            </w:pPr>
            <w:r>
              <w:rPr>
                <w:b w:val="0"/>
                <w:sz w:val="16"/>
              </w:rPr>
              <w:t>ChirpStack accepted</w:t>
            </w:r>
          </w:p>
        </w:tc>
        <w:tc>
          <w:tcPr>
            <w:tcW w:w="4320" w:type="dxa"/>
            <w:vAlign w:val="center"/>
          </w:tcPr>
          <w:p w14:paraId="0010001E" w14:textId="0010001F">
            <w:pPr>
              <w:spacing w:before="40" w:after="40"/>
            </w:pPr>
            <w:r>
              <w:rPr>
                <w:b w:val="0"/>
                <w:sz w:val="16"/>
              </w:rPr>
              <w:t>119 unique EMU-01 uplinks</w:t>
            </w:r>
          </w:p>
        </w:tc>
        <w:tc>
          <w:tcPr>
            <w:tcW w:w="2765" w:type="dxa"/>
            <w:vAlign w:val="center"/>
          </w:tcPr>
          <w:p w14:paraId="00100020" w14:textId="00100021">
            <w:pPr>
              <w:spacing w:before="40" w:after="40"/>
            </w:pPr>
            <w:r>
              <w:rPr>
                <w:b w:val="0"/>
                <w:sz w:val="16"/>
              </w:rPr>
              <w:t>Measured</w:t>
            </w:r>
          </w:p>
        </w:tc>
      </w:tr>
      <w:tr>
        <w:tc>
          <w:tcPr>
            <w:tcW w:w="2880" w:type="dxa"/>
            <w:shd w:val="clear" w:fill="F4F7F8"/>
            <w:vAlign w:val="center"/>
          </w:tcPr>
          <w:p w14:paraId="00100022" w14:textId="00100023">
            <w:pPr>
              <w:spacing w:before="40" w:after="40"/>
            </w:pPr>
            <w:r>
              <w:rPr>
                <w:b w:val="0"/>
                <w:sz w:val="16"/>
              </w:rPr>
              <w:t>PostgreSQL</w:t>
            </w:r>
          </w:p>
        </w:tc>
        <w:tc>
          <w:tcPr>
            <w:tcW w:w="4320" w:type="dxa"/>
            <w:shd w:val="clear" w:fill="F4F7F8"/>
            <w:vAlign w:val="center"/>
          </w:tcPr>
          <w:p w14:paraId="00100024" w14:textId="00100025">
            <w:pPr>
              <w:spacing w:before="40" w:after="40"/>
            </w:pPr>
            <w:r>
              <w:rPr>
                <w:b w:val="0"/>
                <w:sz w:val="16"/>
              </w:rPr>
              <w:t>119 uplink events; 1,547 measurement rows</w:t>
            </w:r>
          </w:p>
        </w:tc>
        <w:tc>
          <w:tcPr>
            <w:tcW w:w="2765" w:type="dxa"/>
            <w:shd w:val="clear" w:fill="F4F7F8"/>
            <w:vAlign w:val="center"/>
          </w:tcPr>
          <w:p w14:paraId="00100026" w14:textId="00100027">
            <w:pPr>
              <w:spacing w:before="40" w:after="40"/>
            </w:pPr>
            <w:r>
              <w:rPr>
                <w:b w:val="0"/>
                <w:sz w:val="16"/>
              </w:rPr>
              <w:t>Measured</w:t>
            </w:r>
          </w:p>
        </w:tc>
      </w:tr>
      <w:tr>
        <w:tc>
          <w:tcPr>
            <w:tcW w:w="2880" w:type="dxa"/>
            <w:vAlign w:val="center"/>
          </w:tcPr>
          <w:p w14:paraId="00100028" w14:textId="00100029">
            <w:pPr>
              <w:spacing w:before="40" w:after="40"/>
            </w:pPr>
            <w:r>
              <w:rPr>
                <w:b w:val="0"/>
                <w:sz w:val="16"/>
              </w:rPr>
              <w:t>Fabric outbox</w:t>
            </w:r>
          </w:p>
        </w:tc>
        <w:tc>
          <w:tcPr>
            <w:tcW w:w="4320" w:type="dxa"/>
            <w:vAlign w:val="center"/>
          </w:tcPr>
          <w:p w14:paraId="0010002A" w14:textId="0010002B">
            <w:pPr>
              <w:spacing w:before="40" w:after="40"/>
            </w:pPr>
            <w:r>
              <w:rPr>
                <w:b w:val="0"/>
                <w:sz w:val="16"/>
              </w:rPr>
              <w:t>119/119 confirmed with TxIDs</w:t>
            </w:r>
          </w:p>
        </w:tc>
        <w:tc>
          <w:tcPr>
            <w:tcW w:w="2765" w:type="dxa"/>
            <w:vAlign w:val="center"/>
          </w:tcPr>
          <w:p w14:paraId="0010002C" w14:textId="0010002D">
            <w:pPr>
              <w:spacing w:before="40" w:after="40"/>
            </w:pPr>
            <w:r>
              <w:rPr>
                <w:b w:val="0"/>
                <w:sz w:val="16"/>
              </w:rPr>
              <w:t>Measured; outbox evidence</w:t>
            </w:r>
          </w:p>
        </w:tc>
      </w:tr>
      <w:tr>
        <w:tc>
          <w:tcPr>
            <w:tcW w:w="2880" w:type="dxa"/>
            <w:shd w:val="clear" w:fill="F4F7F8"/>
            <w:vAlign w:val="center"/>
          </w:tcPr>
          <w:p w14:paraId="0010002E" w14:textId="0010002F">
            <w:pPr>
              <w:spacing w:before="40" w:after="40"/>
            </w:pPr>
            <w:r>
              <w:rPr>
                <w:b w:val="0"/>
                <w:sz w:val="16"/>
              </w:rPr>
              <w:t>Sealed evidence</w:t>
            </w:r>
          </w:p>
        </w:tc>
        <w:tc>
          <w:tcPr>
            <w:tcW w:w="4320" w:type="dxa"/>
            <w:shd w:val="clear" w:fill="F4F7F8"/>
            <w:vAlign w:val="center"/>
          </w:tcPr>
          <w:p w14:paraId="00100030" w14:textId="00100031">
            <w:pPr>
              <w:spacing w:before="40" w:after="40"/>
            </w:pPr>
            <w:r>
              <w:rPr>
                <w:b w:val="0"/>
                <w:sz w:val="16"/>
              </w:rPr>
              <w:t>63 files; SHA-256 and 2 regeneration checks PASS</w:t>
            </w:r>
          </w:p>
        </w:tc>
        <w:tc>
          <w:tcPr>
            <w:tcW w:w="2765" w:type="dxa"/>
            <w:shd w:val="clear" w:fill="F4F7F8"/>
            <w:vAlign w:val="center"/>
          </w:tcPr>
          <w:p w14:paraId="00100032" w14:textId="00100033">
            <w:pPr>
              <w:spacing w:before="40" w:after="40"/>
            </w:pPr>
            <w:r>
              <w:rPr>
                <w:b w:val="0"/>
                <w:sz w:val="16"/>
              </w:rPr>
              <w:t>Reproducible</w:t>
            </w:r>
          </w:p>
        </w:tc>
      </w:tr>
      <w:tr>
        <w:tc>
          <w:tcPr>
            <w:tcW w:w="2880" w:type="dxa"/>
            <w:vAlign w:val="center"/>
          </w:tcPr>
          <w:p w14:paraId="00100034" w14:textId="00100035">
            <w:pPr>
              <w:spacing w:before="40" w:after="40"/>
            </w:pPr>
            <w:r>
              <w:rPr>
                <w:b w:val="0"/>
                <w:sz w:val="16"/>
              </w:rPr>
              <w:t>Recorder finalization</w:t>
            </w:r>
          </w:p>
        </w:tc>
        <w:tc>
          <w:tcPr>
            <w:tcW w:w="4320" w:type="dxa"/>
            <w:vAlign w:val="center"/>
          </w:tcPr>
          <w:p w14:paraId="00100036" w14:textId="00100037">
            <w:pPr>
              <w:spacing w:before="40" w:after="40"/>
            </w:pPr>
            <w:r>
              <w:rPr>
                <w:b w:val="0"/>
                <w:sz w:val="16"/>
              </w:rPr>
              <w:t>11 collectors not alive when recovered</w:t>
            </w:r>
          </w:p>
        </w:tc>
        <w:tc>
          <w:tcPr>
            <w:tcW w:w="2765" w:type="dxa"/>
            <w:vAlign w:val="center"/>
          </w:tcPr>
          <w:p w14:paraId="00100038" w14:textId="00100039">
            <w:pPr>
              <w:spacing w:before="40" w:after="40"/>
            </w:pPr>
            <w:r>
              <w:rPr>
                <w:b w:val="0"/>
                <w:sz w:val="16"/>
              </w:rPr>
              <w:t>RECORDED_WITH_ERRORS</w:t>
            </w:r>
          </w:p>
        </w:tc>
      </w:tr>
    </w:tbl>
    <w:p w14:paraId="0010003A" w14:textId="0010003B">
      <w:pPr>
        <w:spacing w:after="20"/>
      </w:pPr>
    </w:p>
    <w:p w14:paraId="0010003C" w14:textId="0010003D">
      <w:pPr>
        <w:pStyle w:val="Heading1"/>
      </w:pPr>
      <w:r>
        <w:t>2. Zacarias Chapter 3 measurements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>
        <w:tc>
          <w:tcPr>
            <w:tcW w:w="3096" w:type="dxa"/>
            <w:shd w:val="clear" w:fill="DFEAED"/>
            <w:vAlign w:val="center"/>
          </w:tcPr>
          <w:p w14:paraId="0010003E" w14:textId="0010003F">
            <w:pPr>
              <w:spacing w:before="40" w:after="40"/>
            </w:pPr>
            <w:r>
              <w:rPr>
                <w:b/>
                <w:sz w:val="16"/>
              </w:rPr>
              <w:t>Measurement</w:t>
            </w:r>
          </w:p>
        </w:tc>
        <w:tc>
          <w:tcPr>
            <w:tcW w:w="3398" w:type="dxa"/>
            <w:shd w:val="clear" w:fill="DFEAED"/>
            <w:vAlign w:val="center"/>
          </w:tcPr>
          <w:p w14:paraId="00100040" w14:textId="00100041">
            <w:pPr>
              <w:spacing w:before="40" w:after="40"/>
            </w:pPr>
            <w:r>
              <w:rPr>
                <w:b/>
                <w:sz w:val="16"/>
              </w:rPr>
              <w:t>Recorded result</w:t>
            </w:r>
          </w:p>
        </w:tc>
        <w:tc>
          <w:tcPr>
            <w:tcW w:w="3528" w:type="dxa"/>
            <w:shd w:val="clear" w:fill="DFEAED"/>
            <w:vAlign w:val="center"/>
          </w:tcPr>
          <w:p w14:paraId="00100042" w14:textId="00100043">
            <w:pPr>
              <w:spacing w:before="40" w:after="40"/>
            </w:pPr>
            <w:r>
              <w:rPr>
                <w:b/>
                <w:sz w:val="16"/>
              </w:rPr>
              <w:t>Basis</w:t>
            </w:r>
          </w:p>
        </w:tc>
      </w:tr>
      <w:tr>
        <w:tc>
          <w:tcPr>
            <w:tcW w:w="3096" w:type="dxa"/>
            <w:vAlign w:val="center"/>
          </w:tcPr>
          <w:p w14:paraId="00100044" w14:textId="00100045">
            <w:pPr>
              <w:spacing w:before="40" w:after="40"/>
            </w:pPr>
            <w:r>
              <w:rPr>
                <w:b w:val="0"/>
                <w:sz w:val="16"/>
              </w:rPr>
              <w:t>Packet delivery rate</w:t>
            </w:r>
          </w:p>
        </w:tc>
        <w:tc>
          <w:tcPr>
            <w:tcW w:w="3398" w:type="dxa"/>
            <w:vAlign w:val="center"/>
          </w:tcPr>
          <w:p w14:paraId="00100046" w14:textId="00100047">
            <w:pPr>
              <w:spacing w:before="40" w:after="40"/>
            </w:pPr>
            <w:r>
              <w:rPr>
                <w:b w:val="0"/>
                <w:sz w:val="16"/>
              </w:rPr>
              <w:t>119 / 120 = 99.17%</w:t>
            </w:r>
          </w:p>
        </w:tc>
        <w:tc>
          <w:tcPr>
            <w:tcW w:w="3528" w:type="dxa"/>
            <w:vAlign w:val="center"/>
          </w:tcPr>
          <w:p w14:paraId="00100048" w14:textId="00100049">
            <w:pPr>
              <w:spacing w:before="40" w:after="40"/>
            </w:pPr>
            <w:r>
              <w:rPr>
                <w:b w:val="0"/>
                <w:sz w:val="16"/>
              </w:rPr>
              <w:t>Unique ChirpStack accepts / sensor attempts</w:t>
            </w:r>
          </w:p>
        </w:tc>
      </w:tr>
      <w:tr>
        <w:tc>
          <w:tcPr>
            <w:tcW w:w="3096" w:type="dxa"/>
            <w:shd w:val="clear" w:fill="F4F7F8"/>
            <w:vAlign w:val="center"/>
          </w:tcPr>
          <w:p w14:paraId="0010004A" w14:textId="0010004B">
            <w:pPr>
              <w:spacing w:before="40" w:after="40"/>
            </w:pPr>
            <w:r>
              <w:rPr>
                <w:b w:val="0"/>
                <w:sz w:val="16"/>
              </w:rPr>
              <w:t>Sensor → database latency</w:t>
            </w:r>
          </w:p>
        </w:tc>
        <w:tc>
          <w:tcPr>
            <w:tcW w:w="3398" w:type="dxa"/>
            <w:shd w:val="clear" w:fill="F4F7F8"/>
            <w:vAlign w:val="center"/>
          </w:tcPr>
          <w:p w14:paraId="0010004C" w14:textId="0010004D">
            <w:pPr>
              <w:spacing w:before="40" w:after="40"/>
            </w:pPr>
            <w:r>
              <w:rPr>
                <w:b w:val="0"/>
                <w:sz w:val="16"/>
              </w:rPr>
              <w:t>mean 628.63 ms; SD 165.63 ms</w:t>
            </w:r>
          </w:p>
        </w:tc>
        <w:tc>
          <w:tcPr>
            <w:tcW w:w="3528" w:type="dxa"/>
            <w:shd w:val="clear" w:fill="F4F7F8"/>
            <w:vAlign w:val="center"/>
          </w:tcPr>
          <w:p w14:paraId="0010004E" w14:textId="0010004F">
            <w:pPr>
              <w:spacing w:before="40" w:after="40"/>
            </w:pPr>
            <w:r>
              <w:rPr>
                <w:b w:val="0"/>
                <w:sz w:val="16"/>
              </w:rPr>
              <w:t>119 correlated deliveries</w:t>
            </w:r>
          </w:p>
        </w:tc>
      </w:tr>
      <w:tr>
        <w:tc>
          <w:tcPr>
            <w:tcW w:w="3096" w:type="dxa"/>
            <w:vAlign w:val="center"/>
          </w:tcPr>
          <w:p w14:paraId="00100050" w14:textId="00100051">
            <w:pPr>
              <w:spacing w:before="40" w:after="40"/>
            </w:pPr>
            <w:r>
              <w:rPr>
                <w:b w:val="0"/>
                <w:sz w:val="16"/>
              </w:rPr>
              <w:t>Latency range</w:t>
            </w:r>
          </w:p>
        </w:tc>
        <w:tc>
          <w:tcPr>
            <w:tcW w:w="3398" w:type="dxa"/>
            <w:vAlign w:val="center"/>
          </w:tcPr>
          <w:p w14:paraId="00100052" w14:textId="00100053">
            <w:pPr>
              <w:spacing w:before="40" w:after="40"/>
            </w:pPr>
            <w:r>
              <w:rPr>
                <w:b w:val="0"/>
                <w:sz w:val="16"/>
              </w:rPr>
              <w:t>386.08–1,144.10 ms</w:t>
            </w:r>
          </w:p>
        </w:tc>
        <w:tc>
          <w:tcPr>
            <w:tcW w:w="3528" w:type="dxa"/>
            <w:vAlign w:val="center"/>
          </w:tcPr>
          <w:p w14:paraId="00100054" w14:textId="00100055">
            <w:pPr>
              <w:spacing w:before="40" w:after="40"/>
            </w:pPr>
            <w:r>
              <w:rPr>
                <w:b w:val="0"/>
                <w:sz w:val="16"/>
              </w:rPr>
              <w:t>119 correlated deliveries</w:t>
            </w:r>
          </w:p>
        </w:tc>
      </w:tr>
      <w:tr>
        <w:tc>
          <w:tcPr>
            <w:tcW w:w="3096" w:type="dxa"/>
            <w:shd w:val="clear" w:fill="F4F7F8"/>
            <w:vAlign w:val="center"/>
          </w:tcPr>
          <w:p w14:paraId="00100056" w14:textId="00100057">
            <w:pPr>
              <w:spacing w:before="40" w:after="40"/>
            </w:pPr>
            <w:r>
              <w:rPr>
                <w:b w:val="0"/>
                <w:sz w:val="16"/>
              </w:rPr>
              <w:t>Stored-reading throughput</w:t>
            </w:r>
          </w:p>
        </w:tc>
        <w:tc>
          <w:tcPr>
            <w:tcW w:w="3398" w:type="dxa"/>
            <w:shd w:val="clear" w:fill="F4F7F8"/>
            <w:vAlign w:val="center"/>
          </w:tcPr>
          <w:p w14:paraId="00100058" w14:textId="00100059">
            <w:pPr>
              <w:spacing w:before="40" w:after="40"/>
            </w:pPr>
            <w:r>
              <w:rPr>
                <w:b w:val="0"/>
                <w:sz w:val="16"/>
              </w:rPr>
              <w:t>119 / 1,800 s = 0.0661 readings/s</w:t>
            </w:r>
          </w:p>
        </w:tc>
        <w:tc>
          <w:tcPr>
            <w:tcW w:w="3528" w:type="dxa"/>
            <w:shd w:val="clear" w:fill="F4F7F8"/>
            <w:vAlign w:val="center"/>
          </w:tcPr>
          <w:p w14:paraId="0010005A" w14:textId="0010005B">
            <w:pPr>
              <w:spacing w:before="40" w:after="40"/>
            </w:pPr>
            <w:r>
              <w:rPr>
                <w:b w:val="0"/>
                <w:sz w:val="16"/>
              </w:rPr>
              <w:t>3.97 readings/min</w:t>
            </w:r>
          </w:p>
        </w:tc>
      </w:tr>
      <w:tr>
        <w:tc>
          <w:tcPr>
            <w:tcW w:w="3096" w:type="dxa"/>
            <w:vAlign w:val="center"/>
          </w:tcPr>
          <w:p w14:paraId="0010005C" w14:textId="001000DF">
            <w:pPr>
              <w:spacing w:before="40" w:after="40"/>
            </w:pPr>
            <w:r>
              <w:rPr>
                <w:b w:val="0"/>
                <w:sz w:val="16"/>
              </w:rPr>
              <w:t xml:space="preserve">Fabric outbox confirmation</w:t>
            </w:r>
          </w:p>
        </w:tc>
        <w:tc>
          <w:tcPr>
            <w:tcW w:w="3398" w:type="dxa"/>
            <w:vAlign w:val="center"/>
          </w:tcPr>
          <w:p w14:paraId="0010005E" w14:textId="0010005F">
            <w:pPr>
              <w:spacing w:before="40" w:after="40"/>
            </w:pPr>
            <w:r>
              <w:rPr>
                <w:b w:val="0"/>
                <w:sz w:val="16"/>
              </w:rPr>
              <w:t>119 / 119 = 100%</w:t>
            </w:r>
          </w:p>
        </w:tc>
        <w:tc>
          <w:tcPr>
            <w:tcW w:w="3528" w:type="dxa"/>
            <w:vAlign w:val="center"/>
          </w:tcPr>
          <w:p w14:paraId="00100060" w14:textId="001000E0">
            <w:pPr>
              <w:spacing w:before="40" w:after="40"/>
            </w:pPr>
            <w:r>
              <w:rPr>
                <w:b w:val="0"/>
                <w:sz w:val="16"/>
              </w:rPr>
              <w:t xml:space="preserve">Confirmed outbox records with TxIDs; HRC code/digest join not verified</w:t>
            </w:r>
          </w:p>
        </w:tc>
      </w:tr>
      <w:tr>
        <w:tc>
          <w:tcPr>
            <w:tcW w:w="3096" w:type="dxa"/>
            <w:shd w:val="clear" w:fill="F4F7F8"/>
            <w:vAlign w:val="center"/>
          </w:tcPr>
          <w:p w14:paraId="00100062" w14:textId="00100063">
            <w:pPr>
              <w:spacing w:before="40" w:after="40"/>
            </w:pPr>
            <w:r>
              <w:rPr>
                <w:b w:val="0"/>
                <w:sz w:val="16"/>
              </w:rPr>
              <w:t>Application → database latency</w:t>
            </w:r>
          </w:p>
        </w:tc>
        <w:tc>
          <w:tcPr>
            <w:tcW w:w="3398" w:type="dxa"/>
            <w:shd w:val="clear" w:fill="F4F7F8"/>
            <w:vAlign w:val="center"/>
          </w:tcPr>
          <w:p w14:paraId="00100064" w14:textId="00100065">
            <w:pPr>
              <w:spacing w:before="40" w:after="40"/>
            </w:pPr>
            <w:r>
              <w:rPr>
                <w:b w:val="0"/>
                <w:sz w:val="16"/>
              </w:rPr>
              <w:t>mean 34.34 ms; SD 21.72 ms</w:t>
            </w:r>
          </w:p>
        </w:tc>
        <w:tc>
          <w:tcPr>
            <w:tcW w:w="3528" w:type="dxa"/>
            <w:shd w:val="clear" w:fill="F4F7F8"/>
            <w:vAlign w:val="center"/>
          </w:tcPr>
          <w:p w14:paraId="00100066" w14:textId="00100067">
            <w:pPr>
              <w:spacing w:before="40" w:after="40"/>
            </w:pPr>
            <w:r>
              <w:rPr>
                <w:b w:val="0"/>
                <w:sz w:val="16"/>
              </w:rPr>
              <w:t>119 events; supplementary</w:t>
            </w:r>
          </w:p>
        </w:tc>
      </w:tr>
      <w:tr>
        <w:tc>
          <w:tcPr>
            <w:tcW w:w="3096" w:type="dxa"/>
            <w:vAlign w:val="center"/>
          </w:tcPr>
          <w:p w14:paraId="00100068" w14:textId="00100069">
            <w:pPr>
              <w:spacing w:before="40" w:after="40"/>
            </w:pPr>
            <w:r>
              <w:rPr>
                <w:b w:val="0"/>
                <w:sz w:val="16"/>
              </w:rPr>
              <w:t>Duplicate database events</w:t>
            </w:r>
          </w:p>
        </w:tc>
        <w:tc>
          <w:tcPr>
            <w:tcW w:w="3398" w:type="dxa"/>
            <w:vAlign w:val="center"/>
          </w:tcPr>
          <w:p w14:paraId="0010006A" w14:textId="0010006B">
            <w:pPr>
              <w:spacing w:before="40"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3528" w:type="dxa"/>
            <w:vAlign w:val="center"/>
          </w:tcPr>
          <w:p w14:paraId="0010006C" w14:textId="0010006D">
            <w:pPr>
              <w:spacing w:before="40" w:after="40"/>
            </w:pPr>
            <w:r>
              <w:rPr>
                <w:b w:val="0"/>
                <w:sz w:val="16"/>
              </w:rPr>
              <w:t>119 unique events</w:t>
            </w:r>
          </w:p>
        </w:tc>
      </w:tr>
      <w:tr>
        <w:tc>
          <w:tcPr>
            <w:tcW w:w="3096" w:type="dxa"/>
            <w:shd w:val="clear" w:fill="F4F7F8"/>
            <w:vAlign w:val="center"/>
          </w:tcPr>
          <w:p w14:paraId="0010006E" w14:textId="0010006F">
            <w:pPr>
              <w:spacing w:before="40" w:after="40"/>
            </w:pPr>
            <w:r>
              <w:rPr>
                <w:b w:val="0"/>
                <w:sz w:val="16"/>
              </w:rPr>
              <w:t>Unaccepted in-window uplinks</w:t>
            </w:r>
          </w:p>
        </w:tc>
        <w:tc>
          <w:tcPr>
            <w:tcW w:w="3398" w:type="dxa"/>
            <w:shd w:val="clear" w:fill="F4F7F8"/>
            <w:vAlign w:val="center"/>
          </w:tcPr>
          <w:p w14:paraId="00100070" w14:textId="00100071">
            <w:pPr>
              <w:spacing w:before="40" w:after="4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3528" w:type="dxa"/>
            <w:shd w:val="clear" w:fill="F4F7F8"/>
            <w:vAlign w:val="center"/>
          </w:tcPr>
          <w:p w14:paraId="00100072" w14:textId="00100073">
            <w:pPr>
              <w:spacing w:before="40" w:after="40"/>
            </w:pPr>
            <w:r>
              <w:rPr>
                <w:b w:val="0"/>
                <w:sz w:val="16"/>
              </w:rPr>
              <w:t>Gateway saw 120, ChirpStack accepted 119</w:t>
            </w:r>
          </w:p>
        </w:tc>
      </w:tr>
    </w:tbl>
    <w:p w14:paraId="00100074" w14:textId="00100075">
      <w:pPr>
        <w:spacing w:after="20"/>
      </w:pPr>
    </w:p>
    <w:p w14:paraId="00100076" w14:textId="00100077">
      <w:r>
        <w:t>Clock correlation: PASS; end-to-start workstation/cloud offset drift 0.069546 s (limit ±0.100 s). The 121 source-log entries include one outside the calibrated 30-minute window. PDR correctly uses 120, not 121. The missing sequence cannot be assigned a precise cause from these aggregate counts alone.</w:t>
      </w:r>
    </w:p>
    <w:p w14:paraId="00100078" w14:textId="00100079">
      <w:r>
        <w:br w:type="page"/>
      </w:r>
    </w:p>
    <w:p w14:paraId="0010007A" w14:textId="0010007B">
      <w:pPr>
        <w:pStyle w:val="Heading1"/>
      </w:pPr>
      <w:r>
        <w:t>3. CPU and memory measurements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>
        <w:tc>
          <w:tcPr>
            <w:tcW w:w="1728" w:type="dxa"/>
            <w:shd w:val="clear" w:fill="DFEAED"/>
            <w:vAlign w:val="center"/>
          </w:tcPr>
          <w:p w14:paraId="0010007C" w14:textId="0010007D">
            <w:pPr>
              <w:spacing w:before="40" w:after="40"/>
            </w:pPr>
            <w:r>
              <w:rPr>
                <w:b/>
                <w:sz w:val="16"/>
              </w:rPr>
              <w:t>Observed host</w:t>
            </w:r>
          </w:p>
        </w:tc>
        <w:tc>
          <w:tcPr>
            <w:tcW w:w="3024" w:type="dxa"/>
            <w:shd w:val="clear" w:fill="DFEAED"/>
            <w:vAlign w:val="center"/>
          </w:tcPr>
          <w:p w14:paraId="0010007E" w14:textId="0010007F">
            <w:pPr>
              <w:spacing w:before="40" w:after="40"/>
            </w:pPr>
            <w:r>
              <w:rPr>
                <w:b/>
                <w:sz w:val="16"/>
              </w:rPr>
              <w:t>CPU average / maximum</w:t>
            </w:r>
          </w:p>
        </w:tc>
        <w:tc>
          <w:tcPr>
            <w:tcW w:w="3240" w:type="dxa"/>
            <w:shd w:val="clear" w:fill="DFEAED"/>
            <w:vAlign w:val="center"/>
          </w:tcPr>
          <w:p w14:paraId="00100080" w14:textId="00100081">
            <w:pPr>
              <w:spacing w:before="40" w:after="40"/>
            </w:pPr>
            <w:r>
              <w:rPr>
                <w:b/>
                <w:sz w:val="16"/>
              </w:rPr>
              <w:t>Memory average / maximum</w:t>
            </w:r>
          </w:p>
        </w:tc>
        <w:tc>
          <w:tcPr>
            <w:tcW w:w="1944" w:type="dxa"/>
            <w:shd w:val="clear" w:fill="DFEAED"/>
            <w:vAlign w:val="center"/>
          </w:tcPr>
          <w:p w14:paraId="00100082" w14:textId="00100083">
            <w:pPr>
              <w:spacing w:before="40" w:after="40"/>
            </w:pPr>
            <w:r>
              <w:rPr>
                <w:b/>
                <w:sz w:val="16"/>
              </w:rPr>
              <w:t>Samples</w:t>
            </w:r>
          </w:p>
        </w:tc>
      </w:tr>
      <w:tr>
        <w:tc>
          <w:tcPr>
            <w:tcW w:w="1728" w:type="dxa"/>
            <w:vAlign w:val="center"/>
          </w:tcPr>
          <w:p w14:paraId="00100084" w14:textId="00100085">
            <w:pPr>
              <w:spacing w:before="40" w:after="40"/>
            </w:pPr>
            <w:r>
              <w:rPr>
                <w:b w:val="0"/>
                <w:sz w:val="16"/>
              </w:rPr>
              <w:t>Gateway-01</w:t>
            </w:r>
          </w:p>
        </w:tc>
        <w:tc>
          <w:tcPr>
            <w:tcW w:w="3024" w:type="dxa"/>
            <w:vAlign w:val="center"/>
          </w:tcPr>
          <w:p w14:paraId="00100086" w14:textId="00100087">
            <w:pPr>
              <w:spacing w:before="40" w:after="40"/>
            </w:pPr>
            <w:r>
              <w:rPr>
                <w:b w:val="0"/>
                <w:sz w:val="16"/>
              </w:rPr>
              <w:t>4.90% / 9.89%</w:t>
            </w:r>
          </w:p>
        </w:tc>
        <w:tc>
          <w:tcPr>
            <w:tcW w:w="3240" w:type="dxa"/>
            <w:vAlign w:val="center"/>
          </w:tcPr>
          <w:p w14:paraId="00100088" w14:textId="00100089">
            <w:pPr>
              <w:spacing w:before="40" w:after="40"/>
            </w:pPr>
            <w:r>
              <w:rPr>
                <w:b w:val="0"/>
                <w:sz w:val="16"/>
              </w:rPr>
              <w:t>3.41% / 3.58%</w:t>
            </w:r>
          </w:p>
        </w:tc>
        <w:tc>
          <w:tcPr>
            <w:tcW w:w="1944" w:type="dxa"/>
            <w:vAlign w:val="center"/>
          </w:tcPr>
          <w:p w14:paraId="0010008A" w14:textId="0010008B">
            <w:pPr>
              <w:spacing w:before="40" w:after="40"/>
            </w:pPr>
            <w:r>
              <w:rPr>
                <w:b w:val="0"/>
                <w:sz w:val="16"/>
              </w:rPr>
              <w:t>361</w:t>
            </w:r>
          </w:p>
        </w:tc>
      </w:tr>
      <w:tr>
        <w:tc>
          <w:tcPr>
            <w:tcW w:w="1728" w:type="dxa"/>
            <w:shd w:val="clear" w:fill="F4F7F8"/>
            <w:vAlign w:val="center"/>
          </w:tcPr>
          <w:p w14:paraId="0010008C" w14:textId="0010008D">
            <w:pPr>
              <w:spacing w:before="40" w:after="40"/>
            </w:pPr>
            <w:r>
              <w:rPr>
                <w:b w:val="0"/>
                <w:sz w:val="16"/>
              </w:rPr>
              <w:t>ULC-01</w:t>
            </w:r>
          </w:p>
        </w:tc>
        <w:tc>
          <w:tcPr>
            <w:tcW w:w="3024" w:type="dxa"/>
            <w:shd w:val="clear" w:fill="F4F7F8"/>
            <w:vAlign w:val="center"/>
          </w:tcPr>
          <w:p w14:paraId="0010008E" w14:textId="0010008F">
            <w:pPr>
              <w:spacing w:before="40" w:after="40"/>
            </w:pPr>
            <w:r>
              <w:rPr>
                <w:b w:val="0"/>
                <w:sz w:val="16"/>
              </w:rPr>
              <w:t>40.05% / 68.35%</w:t>
            </w:r>
          </w:p>
        </w:tc>
        <w:tc>
          <w:tcPr>
            <w:tcW w:w="3240" w:type="dxa"/>
            <w:shd w:val="clear" w:fill="F4F7F8"/>
            <w:vAlign w:val="center"/>
          </w:tcPr>
          <w:p w14:paraId="00100090" w14:textId="00100091">
            <w:pPr>
              <w:spacing w:before="40" w:after="40"/>
            </w:pPr>
            <w:r>
              <w:rPr>
                <w:b w:val="0"/>
                <w:sz w:val="16"/>
              </w:rPr>
              <w:t>62.92% / 64.54%</w:t>
            </w:r>
          </w:p>
        </w:tc>
        <w:tc>
          <w:tcPr>
            <w:tcW w:w="1944" w:type="dxa"/>
            <w:shd w:val="clear" w:fill="F4F7F8"/>
            <w:vAlign w:val="center"/>
          </w:tcPr>
          <w:p w14:paraId="00100092" w14:textId="00100093">
            <w:pPr>
              <w:spacing w:before="40" w:after="40"/>
            </w:pPr>
            <w:r>
              <w:rPr>
                <w:b w:val="0"/>
                <w:sz w:val="16"/>
              </w:rPr>
              <w:t>358</w:t>
            </w:r>
          </w:p>
        </w:tc>
      </w:tr>
      <w:tr>
        <w:tc>
          <w:tcPr>
            <w:tcW w:w="1728" w:type="dxa"/>
            <w:vAlign w:val="center"/>
          </w:tcPr>
          <w:p w14:paraId="00100094" w14:textId="00100095">
            <w:pPr>
              <w:spacing w:before="40" w:after="40"/>
            </w:pPr>
            <w:r>
              <w:rPr>
                <w:b w:val="0"/>
                <w:sz w:val="16"/>
              </w:rPr>
              <w:t>ULC-02</w:t>
            </w:r>
          </w:p>
        </w:tc>
        <w:tc>
          <w:tcPr>
            <w:tcW w:w="3024" w:type="dxa"/>
            <w:vAlign w:val="center"/>
          </w:tcPr>
          <w:p w14:paraId="00100096" w14:textId="00100097">
            <w:pPr>
              <w:spacing w:before="40" w:after="40"/>
            </w:pPr>
            <w:r>
              <w:rPr>
                <w:b w:val="0"/>
                <w:sz w:val="16"/>
              </w:rPr>
              <w:t>60.20% / 84.23%</w:t>
            </w:r>
          </w:p>
        </w:tc>
        <w:tc>
          <w:tcPr>
            <w:tcW w:w="3240" w:type="dxa"/>
            <w:vAlign w:val="center"/>
          </w:tcPr>
          <w:p w14:paraId="00100098" w14:textId="00100099">
            <w:pPr>
              <w:spacing w:before="40" w:after="40"/>
            </w:pPr>
            <w:r>
              <w:rPr>
                <w:b w:val="0"/>
                <w:sz w:val="16"/>
              </w:rPr>
              <w:t>55.63% / 56.22%</w:t>
            </w:r>
          </w:p>
        </w:tc>
        <w:tc>
          <w:tcPr>
            <w:tcW w:w="1944" w:type="dxa"/>
            <w:vAlign w:val="center"/>
          </w:tcPr>
          <w:p w14:paraId="0010009A" w14:textId="0010009B">
            <w:pPr>
              <w:spacing w:before="40" w:after="40"/>
            </w:pPr>
            <w:r>
              <w:rPr>
                <w:b w:val="0"/>
                <w:sz w:val="16"/>
              </w:rPr>
              <w:t>358</w:t>
            </w:r>
          </w:p>
        </w:tc>
      </w:tr>
      <w:tr>
        <w:tc>
          <w:tcPr>
            <w:tcW w:w="1728" w:type="dxa"/>
            <w:shd w:val="clear" w:fill="F4F7F8"/>
            <w:vAlign w:val="center"/>
          </w:tcPr>
          <w:p w14:paraId="0010009C" w14:textId="0010009D">
            <w:pPr>
              <w:spacing w:before="40" w:after="40"/>
            </w:pPr>
            <w:r>
              <w:rPr>
                <w:b w:val="0"/>
                <w:sz w:val="16"/>
              </w:rPr>
              <w:t>ULC-03</w:t>
            </w:r>
          </w:p>
        </w:tc>
        <w:tc>
          <w:tcPr>
            <w:tcW w:w="3024" w:type="dxa"/>
            <w:shd w:val="clear" w:fill="F4F7F8"/>
            <w:vAlign w:val="center"/>
          </w:tcPr>
          <w:p w14:paraId="0010009E" w14:textId="0010009F">
            <w:pPr>
              <w:spacing w:before="40" w:after="40"/>
            </w:pPr>
            <w:r>
              <w:rPr>
                <w:b w:val="0"/>
                <w:sz w:val="16"/>
              </w:rPr>
              <w:t>60.74% / 91.12%</w:t>
            </w:r>
          </w:p>
        </w:tc>
        <w:tc>
          <w:tcPr>
            <w:tcW w:w="3240" w:type="dxa"/>
            <w:shd w:val="clear" w:fill="F4F7F8"/>
            <w:vAlign w:val="center"/>
          </w:tcPr>
          <w:p w14:paraId="001000A0" w14:textId="001000A1">
            <w:pPr>
              <w:spacing w:before="40" w:after="40"/>
            </w:pPr>
            <w:r>
              <w:rPr>
                <w:b w:val="0"/>
                <w:sz w:val="16"/>
              </w:rPr>
              <w:t>67.54% / 70.25%</w:t>
            </w:r>
          </w:p>
        </w:tc>
        <w:tc>
          <w:tcPr>
            <w:tcW w:w="1944" w:type="dxa"/>
            <w:shd w:val="clear" w:fill="F4F7F8"/>
            <w:vAlign w:val="center"/>
          </w:tcPr>
          <w:p w14:paraId="001000A2" w14:textId="001000A3">
            <w:pPr>
              <w:spacing w:before="40" w:after="40"/>
            </w:pPr>
            <w:r>
              <w:rPr>
                <w:b w:val="0"/>
                <w:sz w:val="16"/>
              </w:rPr>
              <w:t>358</w:t>
            </w:r>
          </w:p>
        </w:tc>
      </w:tr>
    </w:tbl>
    <w:p w14:paraId="001000A4" w14:textId="001000A5">
      <w:pPr>
        <w:spacing w:after="20"/>
      </w:pPr>
    </w:p>
    <w:p w14:paraId="001000A6" w14:textId="001000A7">
      <w:r>
        <w:t>Resource percentages are host utilization sampled by the recorder during the run; container-specific utilization is separately retained in raw/ulc*-docker-resource.csv. The Chapter 3 baseline CPU and memory measurements are reported above for the gateway and all three cloud nodes.</w:t>
      </w:r>
    </w:p>
    <w:p w14:paraId="001000A8" w14:textId="001000A9">
      <w:pPr>
        <w:pStyle w:val="Heading1"/>
      </w:pPr>
      <w:r>
        <w:t>4. Actual sensor and network evidence</w:t>
      </w:r>
    </w:p>
    <w:p w14:paraId="001000AA" w14:textId="001000AB">
      <w:pPr>
        <w:pStyle w:val="Heading2"/>
      </w:pPr>
      <w:r>
        <w:t>Sensor serial transmissions — original EMU-01 source-log excerpt</w:t>
      </w:r>
    </w:p>
    <w:p w14:paraId="001000AC" w14:textId="001000AD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2433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nsor-source-read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4338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AE" w14:textId="001000AF">
      <w:pPr>
        <w:pStyle w:val="Heading2"/>
      </w:pPr>
      <w:r>
        <w:t>ChirpStack acceptance — original ULC-01 event-log excerpt</w:t>
      </w:r>
    </w:p>
    <w:p w14:paraId="001000B0" w14:textId="001000B1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1259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irpstack-accepted-read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259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B2" w14:textId="001000B3">
      <w:pPr>
        <w:pStyle w:val="Heading2"/>
      </w:pPr>
      <w:r>
        <w:t>PostgreSQL accepted uplinks — original database export excerpt</w:t>
      </w:r>
    </w:p>
    <w:p w14:paraId="001000B4" w14:textId="001000B5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1259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base-uplinks-read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259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B6" w14:textId="001000B7">
      <w:pPr>
        <w:pStyle w:val="Heading2"/>
      </w:pPr>
      <w:r>
        <w:t>Fabric confirmation and transaction IDs — original outbox export excerpt</w:t>
      </w:r>
    </w:p>
    <w:p w14:paraId="001000B8" w14:textId="001000B9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1253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abric-confirmations-read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2530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BA" w14:textId="001000BB">
      <w:pPr>
        <w:pStyle w:val="Heading2"/>
      </w:pPr>
      <w:r>
        <w:t>Recorded PDR, latency and throughput — original run-summary.csv</w:t>
      </w:r>
    </w:p>
    <w:p w14:paraId="001000BC" w14:textId="001000BD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34278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ormal-measurements-read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278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BE" w14:textId="001000BF">
      <w:pPr>
        <w:pStyle w:val="Heading2"/>
      </w:pPr>
      <w:r>
        <w:t>Recorded time correlation, gateway and cloud CPU/memory — run-summary.json excerpt</w:t>
      </w:r>
    </w:p>
    <w:p w14:paraId="001000C0" w14:textId="001000C1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897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ock-resource-read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8976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C2" w14:textId="001000C3">
      <w:pPr>
        <w:pStyle w:val="Heading2"/>
      </w:pPr>
      <w:r>
        <w:t>Fabric settlement — 119/119 confirmed in original fabric-settle.json</w:t>
      </w:r>
    </w:p>
    <w:p w14:paraId="001000C4" w14:textId="001000C5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17108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abric-settlement-read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7108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C6" w14:textId="001000C7">
      <w:pPr>
        <w:pStyle w:val="Heading2"/>
      </w:pPr>
      <w:r>
        <w:t>Independent seal and summary verification — 63 files, two identical regenerated summaries</w:t>
      </w:r>
    </w:p>
    <w:p w14:paraId="001000C8" w14:textId="001000C9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13494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roducibility-read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3494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CA" w14:textId="001000CB">
      <w:pPr>
        <w:pStyle w:val="Heading1"/>
      </w:pPr>
      <w:r>
        <w:t>5. Finalization finding</w:t>
      </w:r>
    </w:p>
    <w:p w14:paraId="001000CC" w14:textId="001000CD">
      <w:pPr>
        <w:pStyle w:val="Heading2"/>
      </w:pPr>
      <w:r>
        <w:t>Recorder recovery — 11 collector processes already stopped before finalization</w:t>
      </w:r>
    </w:p>
    <w:p w14:paraId="001000CE" w14:textId="001000CF"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44768" cy="14398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covery-classification-read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4398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D0" w14:textId="001000D1">
      <w:r>
        <w:t>Final recorded state: RECORDED_WITH_ERRORS. The 30-minute observations and 63-file seal are preserved and reproducible; the interrupted recorder supervision prevents counting this attempt as a clean formal P1 repetition. Do not overwrite, reclassify, or delete the original run.</w:t>
      </w:r>
    </w:p>
    <w:p w14:paraId="001000D2" w14:textId="001000D3">
      <w:pPr>
        <w:pStyle w:val="Heading1"/>
      </w:pPr>
      <w:r>
        <w:t>6. Original evidence</w:t>
      </w:r>
    </w:p>
    <w:p w14:paraId="001000D4" w14:textId="001000D5">
      <w:r>
        <w:rPr>
          <w:b/>
        </w:rPr>
        <w:t xml:space="preserve">Run: </w:t>
      </w:r>
      <w:r>
        <w:t>chapter4-results/normal-operation/P1-1-20260922-105310/</w:t>
      </w:r>
    </w:p>
    <w:p w14:paraId="001000D6" w14:textId="001000D7">
      <w:r>
        <w:rPr>
          <w:b/>
        </w:rPr>
        <w:t xml:space="preserve">Operator recovery: </w:t>
      </w:r>
      <w:r>
        <w:t>chapter4-results/normal-operation/_operator-P1-20260922T025309Z/</w:t>
      </w:r>
    </w:p>
    <w:p w14:paraId="001000D8" w14:textId="001000D9">
      <w:r>
        <w:t>Retain source log, both ChirpStack logs, uplinks.csv, measurements.csv, fabric-outbox.csv, host/docker resource CSVs, calibrated run-summary.json, fabric-settle.json, stop-errors.txt, run-status.txt, and SHA256SUMS.csv. Source archive: P1-original-audit-evidence.zip.</w:t>
      </w:r>
    </w:p>
    <w:p w14:paraId="001000DA" w14:textId="001000DB">
      <w:r>
        <w:t>For the three formal P1 repetitions required by Chapter 3, run in a persistent PowerShell session through the full 30-minute measurement period, Fabric settlement, and recorder finalization; accept a repetition only when its own exit code, run-status, expected 120 attempts, timing, Fabric confirmation and evidence verification are valid.</w:t>
      </w:r>
    </w:p>
    <w:p w14:paraId="001000E1" w14:textId="001000E2">
      <w:pPr>
        <w:pStyle w:val="Heading2"/>
      </w:pPr>
      <w:r>
        <w:rPr/>
        <w:t xml:space="preserve">P1 missing uplink - ChirpStack deduplication error</w:t>
      </w:r>
    </w:p>
    <w:p w14:paraId="001000E3" w14:textId="001000E4">
      <w:pPr>
        <w:pStyle w:val="Normal"/>
      </w:pPr>
      <w:r>
        <w:rPr/>
        <w:t xml:space="preserve">Missing reading: EMU-01 sequence 123 / LoRaWAN FCnt 122. The sensor recorded send_status=0; the gateway concentrator received uplink 2736020495 on 923.4 MHz at SF7. The gateway forwarded it over MQTT; gateway event 22753 was recorded at 11:20:18 AM (UTC+8), RSSI -31 dBm, SNR +13.75 dB.</w:t>
      </w:r>
    </w:p>
    <w:p w14:paraId="001000E5" w14:textId="001000E6">
      <w:pPr>
        <w:pStyle w:val="Normal"/>
      </w:pPr>
      <w:r>
        <w:rPr/>
        <w:t xml:space="preserve">ULC-01 ChirpStack logged reception of the gateway event, followed 0.684 seconds later by: ERROR chirpstack::uplink: Deduplication error error=Zero items in collect set. No application uplink or database reading was created for this transmission. The next reading, sequence 124 / FCnt 123, was accepted.</w:t>
      </w:r>
    </w:p>
    <w:p w14:paraId="001000E7" w14:textId="001000E8">
      <w:pPr>
        <w:pStyle w:val="Normal"/>
      </w:pPr>
      <w:r>
        <w:rPr/>
        <w:t xml:space="preserve">Loss occurred during ChirpStack uplink deduplication, not at the radio, gateway, LTE/MQTT forwarding, database or Fabric. The available logs do not establish why the deduplication collection was empty.</w:t>
      </w:r>
    </w:p>
    <w:p w14:paraId="001000E9" w14:textId="001000EA">
      <w:pPr>
        <w:pStyle w:val="Normal"/>
      </w:pPr>
      <w:r>
        <w:rPr/>
        <w:t xml:space="preserve">Recorded originals: raw/emu-01-source.log, raw/gateway.log, raw/gateway-mqtt-events.csv, raw/ulc01-chirpstack.log, raw/ulc02-chirpstack.log and raw/uplinks.csv, under chapter4-results/normal-operation/P1-1-20260922-105310/.</w:t>
      </w:r>
    </w:p>
    <w:p w14:paraId="001000EB" w14:textId="0010011F">
      <w:pPr>
        <w:keepLines/>
      </w:pPr>
      <w:r>
        <w:rPr/>
        <w:t xml:space="preserve">ChirpStack correction: the default 200 ms deduplication delay implies a 400 ms Redis collection lifetime. The observed 684 ms gateway-ingress-to-error interval is consistent with expiry, but does not prove the internal cause. Administrative SSH is not authorized; no server settings were changed. Keep the original 119/120 measurement until a new verified trial.</w:t>
      </w:r>
    </w:p>
    <w:p w14:paraId="001000ED" w14:textId="001000EE">
      <w:pPr>
        <w:pStyle w:val="Heading2"/>
      </w:pPr>
      <w:r>
        <w:rPr>
          <w:b/>
          <w:sz w:val="32"/>
        </w:rPr>
        <w:t xml:space="preserve">P1 - Recorder correction check</w:t>
      </w:r>
    </w:p>
    <w:p w14:paraId="001000EF" w14:textId="001000F0">
      <w:pPr/>
      <w:r>
        <w:rPr/>
        <w:t xml:space="preserve">The 90-second non-counted run manual-P1-rehearsal-20260922-132449 used a persistent managed test process instead of a one-shot command. The whole collection and Fabric settlement finished; the process exited 0.</w:t>
      </w:r>
    </w:p>
    <w:tbl>
      <w:tblPr>
        <w:tblW w:w="992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960"/>
        <w:gridCol w:w="4960"/>
      </w:tblGrid>
      <w:tr>
        <w:tc>
          <w:p w14:paraId="001000F1" w14:textId="001000F2">
            <w:r>
              <w:t xml:space="preserve">Check</w:t>
            </w:r>
          </w:p>
        </w:tc>
        <w:tc>
          <w:p w14:paraId="001000F3" w14:textId="001000F4">
            <w:r>
              <w:t xml:space="preserve">Actual result</w:t>
            </w:r>
          </w:p>
        </w:tc>
      </w:tr>
      <w:tr>
        <w:tc>
          <w:p w14:paraId="001000F5" w14:textId="001000F6">
            <w:r>
              <w:t xml:space="preserve">Full run duration</w:t>
            </w:r>
          </w:p>
        </w:tc>
        <w:tc>
          <w:p w14:paraId="001000F7" w14:textId="001000F8">
            <w:r>
              <w:t xml:space="preserve">90 seconds</w:t>
            </w:r>
          </w:p>
        </w:tc>
      </w:tr>
      <w:tr>
        <w:tc>
          <w:p w14:paraId="001000F9" w14:textId="001000FA">
            <w:r>
              <w:t xml:space="preserve">Scheduled sensor attempts</w:t>
            </w:r>
          </w:p>
        </w:tc>
        <w:tc>
          <w:p w14:paraId="001000FB" w14:textId="001000FC">
            <w:r>
              <w:t xml:space="preserve">6</w:t>
            </w:r>
          </w:p>
        </w:tc>
      </w:tr>
      <w:tr>
        <w:tc>
          <w:p w14:paraId="001000FD" w14:textId="001000FE">
            <w:r>
              <w:t xml:space="preserve">ChirpStack accepted uplinks</w:t>
            </w:r>
          </w:p>
        </w:tc>
        <w:tc>
          <w:p w14:paraId="001000FF" w14:textId="00100100">
            <w:r>
              <w:t xml:space="preserve">6 / 6</w:t>
            </w:r>
          </w:p>
        </w:tc>
      </w:tr>
      <w:tr>
        <w:tc>
          <w:p w14:paraId="00100101" w14:textId="00100102">
            <w:r>
              <w:t xml:space="preserve">Database-matched latency</w:t>
            </w:r>
          </w:p>
        </w:tc>
        <w:tc>
          <w:p w14:paraId="00100103" w14:textId="00100104">
            <w:r>
              <w:t xml:space="preserve">6 samples; mean 608.099 ms</w:t>
            </w:r>
          </w:p>
        </w:tc>
      </w:tr>
      <w:tr>
        <w:tc>
          <w:p w14:paraId="00100105" w14:textId="00100106">
            <w:r>
              <w:t xml:space="preserve">Fabric outbox confirmed</w:t>
            </w:r>
          </w:p>
        </w:tc>
        <w:tc>
          <w:p w14:paraId="00100107" w14:textId="00100108">
            <w:r>
              <w:t xml:space="preserve">6 / 6</w:t>
            </w:r>
          </w:p>
        </w:tc>
      </w:tr>
      <w:tr>
        <w:tc>
          <w:p w14:paraId="00100109" w14:textId="0010010A">
            <w:r>
              <w:t xml:space="preserve">ChirpStack deduplication errors</w:t>
            </w:r>
          </w:p>
        </w:tc>
        <w:tc>
          <w:p w14:paraId="0010010B" w14:textId="0010010C">
            <w:r>
              <w:t xml:space="preserve">0 on ULC-01; 0 on ULC-02 during this run</w:t>
            </w:r>
          </w:p>
        </w:tc>
      </w:tr>
      <w:tr>
        <w:tc>
          <w:p w14:paraId="0010010D" w14:textId="0010010E">
            <w:r>
              <w:t xml:space="preserve">Supervisor</w:t>
            </w:r>
          </w:p>
        </w:tc>
        <w:tc>
          <w:p w14:paraId="0010010F" w14:textId="00100110">
            <w:r>
              <w:t xml:space="preserve">Seven PASS checks; no collector errors</w:t>
            </w:r>
          </w:p>
        </w:tc>
      </w:tr>
      <w:tr>
        <w:tc>
          <w:p w14:paraId="00100111" w14:textId="00100112">
            <w:r>
              <w:t xml:space="preserve">Sealed evidence</w:t>
            </w:r>
          </w:p>
        </w:tc>
        <w:tc>
          <w:p w14:paraId="00100113" w14:textId="00100114">
            <w:r>
              <w:t xml:space="preserve">62 files verified; two summaries regenerated identically</w:t>
            </w:r>
          </w:p>
        </w:tc>
      </w:tr>
      <w:tr>
        <w:tc>
          <w:p w14:paraId="00100115" w14:textId="00100116">
            <w:r>
              <w:t xml:space="preserve">Recorder exit</w:t>
            </w:r>
          </w:p>
        </w:tc>
        <w:tc>
          <w:p w14:paraId="00100117" w14:textId="00100118">
            <w:r>
              <w:t xml:space="preserve">0; RECORDED_UNCLASSIFIED</w:t>
            </w:r>
          </w:p>
        </w:tc>
      </w:tr>
      <w:tr>
        <w:tc>
          <w:p w14:paraId="00100119" w14:textId="0010011A">
            <w:r>
              <w:t xml:space="preserve">Formal P1 repetition</w:t>
            </w:r>
          </w:p>
        </w:tc>
        <w:tc>
          <w:p w14:paraId="0010011B" w14:textId="0010011C">
            <w:r>
              <w:t xml:space="preserve">NOT COUNTED - 90-second rehearsal only</w:t>
            </w:r>
          </w:p>
        </w:tc>
      </w:tr>
    </w:tbl>
    <w:p w14:paraId="0010011D" w14:textId="0010011E">
      <w:pPr/>
      <w:r>
        <w:rPr/>
        <w:t xml:space="preserve">The interrupted 30-minute P1 remains 119/120 (99.17%) and RECORDED_WITH_ERRORS. The persistent-process procedure fixes that capture-session failure. The isolated ChirpStack deduplication failure has not been repaired at server configuration level; six clean later readings do not prove that it cannot recur.</w:t>
      </w:r>
    </w:p>
    <w:p w14:paraId="00100120" w14:textId="00100121">
      <w:pPr>
        <w:pStyle w:val="Heading 1"/>
      </w:pPr>
      <w:r>
        <w:rPr/>
        <w:t xml:space="preserve">P1 Restarted Run Audit — 22 September 2026</w:t>
      </w:r>
    </w:p>
    <w:p w14:paraId="00100122" w14:textId="00100123">
      <w:pPr/>
      <w:r>
        <w:rPr/>
        <w:t xml:space="preserve">Run P1-1-20260922-134254. Formal 30-minute window: 13:42:53–14:12:53 Philippine time. Final disposition: NOT ACCEPTED / RECORDED_WITH_ERRORS; launcher exit code 2. Measured delivery: 120 sensor attempts, 56 unique target uplinks accepted by ChirpStack, formal PDR 46.67%; 56 database events and 728 measurement rows. Gateway MQTT captured 62 unique uplink PHY payloads, so six gateway-received frames did not reach application acceptance. Deduplication audit found zero 'Zero items in collect set' and zero deduplication-error strings in both ChirpStack logs; all 123 supervisor health records were PASS. Fabric settlement caused rejection: 56 outbox rows, 54 confirmed with transaction IDs, 2 pending at bounded timeout. Clock calibration PASS with 0.026362 s start-to-end drift. Calibrated sensor-to-database latency: mean 3926.99 ms, min 427.97 ms, max 79329.29 ms; application-event-to-database mean 40.69 ms, min 10.15 ms, max 242.16 ms. SHA-256 manifest: 63 entries, independently rehashed with 0 mismatches. Earlier power-interrupted P1 evidence remains preserved separately and is not counted.</w:t>
      </w:r>
    </w:p>
    <w:sectPr w:rsidRPr="0006063C" w:rsidR="00FC693F" w:rsidSect="00034616">
      <w:pgSz w:w="11909" w:h="16834"/>
      <w:pgMar w:top="922" w:right="994" w:bottom="821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00"/>
    </w:pPr>
    <w:rPr>
      <w:rFonts w:ascii="Aptos" w:hAnsi="Aptos"/>
      <w:color w:val="1E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" w:hAnsi="Aptos" w:asciiTheme="majorHAnsi" w:hAnsiTheme="majorHAnsi" w:eastAsiaTheme="majorEastAsia" w:cstheme="majorBidi"/>
      <w:b/>
      <w:bCs/>
      <w:color w:val="18394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" w:hAnsi="Aptos" w:asciiTheme="majorHAnsi" w:hAnsiTheme="majorHAnsi" w:eastAsiaTheme="majorEastAsia" w:cstheme="majorBidi"/>
      <w:b/>
      <w:bCs/>
      <w:color w:val="18394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83949"/>
      <w:spacing w:val="5"/>
      <w:kern w:val="28"/>
      <w:sz w:val="3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2026-09-22T06:35:37Z</vt:lpwstr>
  </op:property>
</op:Properties>
</file>