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Migración administrativa a Django</w:t>
      </w:r>
    </w:p>
    <w:p>
      <w:r>
        <w:t>Informe de implementación y verificación para Jery Becerra Ninaquispe</w:t>
        <w:br/>
        <w:t>22 de octubre de 2026  •  Hora de Bogotá</w:t>
      </w:r>
    </w:p>
    <w:p>
      <w:r>
        <w:t>Se migraron los módulos administrativos restantes a Django conforme al diagrama proporcionado. React administrativo accede directamente a Django y comparte MySQL con Spring Boot, que mantiene la aplicación de usuarios y Android. Los cambios se publicaron directamente en main en cuatro commits separados. La migración técnica no significa que todo el proyecto ni su aceptación académica estén terminados.</w:t>
      </w:r>
    </w:p>
    <w:p>
      <w:pPr>
        <w:pStyle w:val="Heading1"/>
      </w:pPr>
      <w:r>
        <w:t>Módulos entregados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Módulo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Cambio realizado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Cursos y matrículas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Alta y edición de cursos con versión; docente activo; listado, alta y revocación idempotente de matrícula; auditoría.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Identidades y vínculos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Alta de alumnos, docentes y familiares; contraseña y deshabilitación; parentescos, contactos autorizados y reportes.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Horarios y notas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Alta y retiro de clases con control de cruces; registro y edición de notas de estudiantes matriculados, con validación y control de versión.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Moderación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Colas y revisión de mensajes y estados; archivos privados con comprobación de integridad; publicación y notificación transaccionales.</w:t>
            </w:r>
          </w:p>
        </w:tc>
      </w:tr>
    </w:tbl>
    <w:p>
      <w:pPr>
        <w:pStyle w:val="Heading1"/>
      </w:pPr>
      <w:r>
        <w:t>Aportes y responsabilidad original</w:t>
      </w:r>
    </w:p>
    <w:p>
      <w:r>
        <w:t>Michael Julian Fernandez Camarena aportó los contratos y la administración Spring inicial. Pamela Regina Meneses Mayhua aportó la interfaz React reutilizada. La migración, correcciones y ensayos de este corte son ejecución asistida por encargo de Jery Becerra Ninaquispe. No se atribuye a los otros integrantes revisión personal ni se certifica una omisión individual sin evidencia. El informe del 21 de octubre conserva el detalle histórico de las tarjetas del día 12.</w:t>
      </w:r>
    </w:p>
    <w:p>
      <w:r>
        <w:t>Flyway conserva el esquema de negocio; Django no recrea tablas académicas. La cuenta web dispone de permisos por tabla y no de DDL. La base H2 de ensayos anteriores se preservó separada; no se migró todo su contenido histórico.</w:t>
      </w:r>
    </w:p>
    <w:p>
      <w:r>
        <w:br w:type="page"/>
      </w:r>
    </w:p>
    <w:p>
      <w:pPr>
        <w:pStyle w:val="Heading1"/>
      </w:pPr>
      <w:r>
        <w:t>Pruebas y comportamiento comprobados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Verificación del corte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Resultado y alcance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Servidor Maven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104 casos; cero fallos, errores y omitidos. Incluye tres pruebas nuevas de revocación SQL y dos del límite administrativo Django.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Django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32 casos en SQLite desechable; permisos, CSRF, validación, versiones, auditoría y reversión de transacciones.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Formularios web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4 casos aprobados. React recompilado y JavaScript de moderación validado.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Android y MySQL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3 casos instrumentados aprobados en Android 17: arquitectura compartida y contrato de detalle. No se reejecutó aquí toda la batería histórica móvil.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HTTP académico e identidad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13 verificaciones de cursos/matrículas y 17 de identidad, parentescos, contactos y revocación de sesiones entre servidores.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HTTP horarios y notas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15 verificaciones: horario compartido, cruce rechazado, nota creada/editada y acceso retirado al revocar matrícula.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HTTP moderación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38 verificaciones: rechazo, corrección, aprobación actual, adjuntos, notificación y privacidad de estados de texto e imagen.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Persistencia y separación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16 verificaciones de la actividad original tras reiniciar Spring y 6 del cierre de sus rutas administrativas.</w:t>
            </w:r>
          </w:p>
        </w:tc>
      </w:tr>
    </w:tbl>
    <w:p>
      <w:r>
        <w:t>Los conteos corresponden a suites distintas y recorridos por módulo; no son una medida de aceptación del equipo ni de porcentaje global del proyecto. Las pruebas HTTP utilizan cuentas nuevas y datos sintéticos. Los cursos y notas de ensayo se conservan para inspección; sus matrículas temporales de horario/notas quedaron revocadas.</w:t>
      </w:r>
    </w:p>
    <w:p>
      <w:pPr>
        <w:pStyle w:val="Heading1"/>
      </w:pPr>
      <w:r>
        <w:t>Controles preservados</w:t>
      </w:r>
    </w:p>
    <w:p>
      <w:r>
        <w:t>Una contraseña modificada, un cambio de rol o una deshabilitación en la identidad SQL invalida la sesión Spring existente. Django revalida igualmente su sesión administrativa. No se crean administradores desde la pantalla de cuentas ni se devuelven hashes.</w:t>
      </w:r>
    </w:p>
    <w:p>
      <w:r>
        <w:t>La moderación exige decisión explícita y huella de la revisión actual. Una revisión antigua no puede publicar una corrección. Los adjuntos necesitan confirmación de revisión completa y verificación de integridad; las descargas usan no-store y nosniff. No se invocó IA ni se autoaprobó contenido por falta de proveedor.</w:t>
      </w:r>
    </w:p>
    <w:p>
      <w:r>
        <w:t>Se detectó y corrigió un permiso insuficiente de bloqueo en MySQL. El primer intento móvil no encontró dispositivo tras cerrarse el emulador; se reabrió con renderizado por software y se repitieron los tres casos correctamente. El navegador confirmó navegación y rechazo sintético sobre Django; su servicio de captura de pantalla falló y no se inventó evidencia visual.</w:t>
      </w:r>
    </w:p>
    <w:p>
      <w:r>
        <w:br w:type="page"/>
      </w:r>
    </w:p>
    <w:p>
      <w:pPr>
        <w:pStyle w:val="Heading1"/>
      </w:pPr>
      <w:r>
        <w:t>Cambios publicados en main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Commit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685b383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Cursos, matrículas y auditoría administrativa Django.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58f2c11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Cuentas, vínculos y revocación de sesiones compartidas.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35996fe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Horarios y notas administrativas sobre las tablas compartidas.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a20a3e4</w:t>
            </w:r>
          </w:p>
        </w:tc>
        <w:tc>
          <w:tcPr>
            <w:tcW w:type="dxa" w:w="5040"/>
          </w:tcPr>
          <w:p>
            <w:pPr>
              <w:spacing w:after="100"/>
            </w:pPr>
            <w:r>
              <w:rPr>
                <w:sz w:val="20"/>
              </w:rPr>
              <w:t>Moderación, adjuntos y cierre de la administración histórica Spring.</w:t>
            </w:r>
          </w:p>
        </w:tc>
      </w:tr>
    </w:tbl>
    <w:p>
      <w:r>
        <w:t>Repositorio: https://github.com/JeryBn/Proyecto-Integrador-MAIN</w:t>
        <w:br/>
        <w:t>Contrato y evidencias: docs/MIGRACION_DJANGO_22_OCT.md y docs/informes/2026-10-22-django/. Los cambios no requieren otra rama.</w:t>
      </w:r>
    </w:p>
    <w:p>
      <w:pPr>
        <w:pStyle w:val="Heading1"/>
      </w:pPr>
      <w:r>
        <w:t>Cómo revisar el entorno local</w:t>
      </w:r>
    </w:p>
    <w:p>
      <w:pPr>
        <w:pStyle w:val="ListNumber"/>
      </w:pPr>
      <w:r>
        <w:t>Abrir http://127.0.0.1:8090/admin.html con la cuenta administrativa de ensayo ya configurada. Revisar Actividades, Cuentas y vínculos, Cursos y matrículas y Revisar contenido.</w:t>
      </w:r>
    </w:p>
    <w:p>
      <w:pPr>
        <w:pStyle w:val="ListNumber"/>
      </w:pPr>
      <w:r>
        <w:t>La web de usuarios está en http://127.0.0.1:8088/. Android utiliza ese mismo servidor. La app quedó reinstalada y abierta en el emulador después de aprobar las pruebas.</w:t>
      </w:r>
    </w:p>
    <w:p>
      <w:pPr>
        <w:pStyle w:val="ListNumber"/>
      </w:pPr>
      <w:r>
        <w:t>El iniciador compartido establece MAIN_ADMIN_LEGACY_ENABLED=false. Las rutas administrativas antiguas de Spring responden 410; escrituras sin CSRF pueden ser rechazadas antes con 403. El código histórico sigue disponible solo como compatibilidad explícita.</w:t>
      </w:r>
    </w:p>
    <w:p>
      <w:pPr>
        <w:pStyle w:val="ListNumber"/>
      </w:pPr>
      <w:r>
        <w:t>Los horarios y notas administrativos conservan su API Django. La edición docente y consulta estudiantil de notas siguen en la app y API Spring. No se añadió en este corte una nueva pantalla web para cada operación API.</w:t>
      </w:r>
    </w:p>
    <w:p>
      <w:pPr>
        <w:pStyle w:val="Heading1"/>
      </w:pPr>
      <w:r>
        <w:t>Pendientes y datos que faltan</w:t>
      </w:r>
    </w:p>
    <w:p>
      <w:pPr>
        <w:pStyle w:val="ListBullet"/>
      </w:pPr>
      <w:r>
        <w:t>M21 conserva consumos web de usuarios pendientes; M22 mantiene seguimiento de contratos y validación conjunta. No se marca paridad global ni aceptación del profesor como terminadas.</w:t>
      </w:r>
    </w:p>
    <w:p>
      <w:pPr>
        <w:pStyle w:val="ListBullet"/>
      </w:pPr>
      <w:r>
        <w:t>Jery debe indicar quién revisará apelaciones y el plazo de conservación de contenido rechazado.</w:t>
      </w:r>
    </w:p>
    <w:p>
      <w:pPr>
        <w:pStyle w:val="ListBullet"/>
      </w:pPr>
      <w:r>
        <w:t>Para despliegue y entrega faltan destino de servidor y dominio HTTPS, firma Android y validación en teléfono físico con aceptación del usuario/equipo.</w:t>
      </w:r>
    </w:p>
    <w:p>
      <w:pPr>
        <w:pStyle w:val="ListBullet"/>
      </w:pPr>
      <w:r>
        <w:t>La cuota de OpenAI agotada en el corte anterior no se volvió a comprobar. Se requiere disponibilidad de cuota para certificar una respuesta de IA real.</w:t>
      </w:r>
    </w:p>
    <w:p>
      <w:pPr>
        <w:pStyle w:val="ListBullet"/>
      </w:pPr>
      <w:r>
        <w:t>Este informe amplía el reporte histórico del 21 de octubre; no aplica sanciones ni atribuye nuevas tareas a otros integrantes.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MAIN  •  22 de octubre de 2026  •  Informe para Jery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