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Regularización de MAIN al 25 de octubre de 2026</w:t>
      </w:r>
    </w:p>
    <w:p>
      <w:r>
        <w:t>Informe para Jery Becerra Ninaquispe. El corte previsto del sprint 2 era el 20 de octubre. Los cambios del 22 y 25 son posteriores a ese plazo; su integración no acredita entrega puntual ni aceptación del docente. Se preservan autores y fechas de Git, asignaciones históricas de Trello y los informes anteriores.</w:t>
      </w:r>
    </w:p>
    <w:p>
      <w:pPr>
        <w:pStyle w:val="Heading1"/>
      </w:pPr>
      <w:r>
        <w:t>Cambios integrados</w:t>
      </w:r>
    </w:p>
    <w:p>
      <w:r>
        <w:t>Pamela Regina Meneses Mayhua aportó los commits originales 9dc5d67, eaea920 y 3adfe0e el 22/10: navegación adaptable y accesibilidad web, revisión de T03/T04, pendientes de T11 y casos sintéticos M20. Se integraron por avance directo de main, sin reescribirlos ni atribuirlos a Jery.</w:t>
      </w:r>
    </w:p>
    <w:p>
      <w:r>
        <w:t>Por encargo de Jery se implementaron el 25/10: f22131c, reconexión web con espera progresiva de hasta 60 segundos, recuperación al volver online y descarte de lecturas de otra cuenta; 2764fe2, carga parametrizable con entorno real declarado; 45469c2, captura web opcional de foto, video con audio y audio; cf1fd88, espera del arranque de MySQL antes de Spring; aa1ee72, ensayo de respaldo y restauración local con comparación de contenidos. Son trabajo asistido registrado con la identidad Git de Jery; no acreditan ejecución personal de sus compañeros.</w:t>
      </w:r>
    </w:p>
    <w:p>
      <w:r>
        <w:t>La captura solo comienza por acción del usuario. Se detienen los dispositivos al cancelar, ocultar la página o desmontar el formulario; límites de 55 segundos y 12 MB. El resultado queda como adjunto local y requiere envío explícito y moderación. Las pruebas controladas no sustituyen la verificación de cámara/micrófono real, que sigue pendiente por interrupción del control de Chrome. No se publicaron capturas personales a contactos.</w:t>
      </w:r>
    </w:p>
    <w:p>
      <w:pPr>
        <w:pStyle w:val="Heading1"/>
      </w:pPr>
      <w:r>
        <w:t>Sprint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6336"/>
      </w:tblGrid>
      <w:tr>
        <w:trPr>
          <w:cantSplit/>
          <w:tblHeader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  <w:shd w:fill="E8ECEF"/>
          </w:tcPr>
          <w:p>
            <w:pPr>
              <w:spacing w:after="60" w:before="40"/>
            </w:pPr>
            <w:r>
              <w:rPr>
                <w:b/>
              </w:rPr>
              <w:t>Tarjetas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  <w:shd w:fill="E8ECEF"/>
          </w:tcPr>
          <w:p>
            <w:pPr>
              <w:spacing w:after="60" w:before="40"/>
            </w:pPr>
            <w:r>
              <w:rPr>
                <w:b/>
              </w:rPr>
              <w:t>Asignación original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  <w:shd w:fill="E8ECEF"/>
          </w:tcPr>
          <w:p>
            <w:pPr>
              <w:spacing w:after="60" w:before="40"/>
            </w:pPr>
            <w:r>
              <w:rPr>
                <w:b/>
              </w:rPr>
              <w:t>Estado verificable y pendiente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T01 y T02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Becerra Ninaquispe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API de listado/detalle y autorización implementadas; regresión Spring aprobada.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T03 y T04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Pamela Regina Meneses Mayhua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Web de listado/detalle cerrada técnicamente antes; nueva revisión asistida de Pamela y sus capturas integradas.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T05 y T06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Michael Julian Fernandez Camarena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Cierre técnico delegado previo conservado; nueva regresión no se atribuye como prueba independiente de Michael.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T07 y T08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Becerra Ninaquispe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Cliente Kotlin, vacío, errores, reintento, detalle, rotación y sesión comprobados de nuevo en emulador.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T09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Michael Julian Fernandez Camarena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Operación administrativa implementada y regularizada en Django conforme a la arquitectura; falta acuerdo/aceptación de HU administrativa.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T10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y Michael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MySQL compartido, Flyway y contratos implementados; falta acuerdo humano del propietario de migraciones.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T11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Pamela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React administrativo/Django ya implementados y verificados técnicamente; pendiente acuerdo de alcance y ronda Django/MySQL en su PC.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Preparaciones JERY y MICHAEL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y Michael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Código y preparación técnica existentes; conservar pendientes de alcance/aceptación.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Preparación PAMELA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Pamela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Evidencia T03/T04 de su PC aportada; no demuestra ZIP administrativo actualizado ni acuerdo T11.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HU06 y HU07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Los tres integrantes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Recorridos implementados y probados; aceptación conjunta pendiente.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EQUIPO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Los tres integrantes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Objetivo, capacidad y definición de terminado requieren confirmación humana.</w:t>
            </w:r>
          </w:p>
        </w:tc>
      </w:tr>
    </w:tbl>
    <w:p>
      <w:pPr>
        <w:spacing w:after="40"/>
      </w:pPr>
    </w:p>
    <w:p>
      <w:r>
        <w:t>No se inventa un identificador oficial de HU administrativa ni se firma aceptación en nombre del equipo o docente.</w:t>
      </w:r>
    </w:p>
    <w:p>
      <w:pPr>
        <w:pStyle w:val="Heading1"/>
      </w:pPr>
      <w:r>
        <w:t>Sprint 2</w:t>
      </w:r>
    </w:p>
    <w:p>
      <w:r>
        <w:t>En la tabla, los nombres abreviados corresponden a Jery Becerra Ninaquispe, Pamela Regina Meneses Mayhua y Michael Julian Fernandez Camarena. Asignaciones según el backlog histórico, no autoría de cada línea del código.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6336"/>
      </w:tblGrid>
      <w:tr>
        <w:trPr>
          <w:cantSplit/>
          <w:tblHeader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  <w:shd w:fill="E8ECEF"/>
          </w:tcPr>
          <w:p>
            <w:pPr>
              <w:spacing w:after="60" w:before="40"/>
            </w:pPr>
            <w:r>
              <w:rPr>
                <w:b/>
              </w:rPr>
              <w:t>Tarjeta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  <w:shd w:fill="E8ECEF"/>
          </w:tcPr>
          <w:p>
            <w:pPr>
              <w:spacing w:after="60" w:before="40"/>
            </w:pPr>
            <w:r>
              <w:rPr>
                <w:b/>
              </w:rPr>
              <w:t>Responsable histórico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  <w:shd w:fill="E8ECEF"/>
          </w:tcPr>
          <w:p>
            <w:pPr>
              <w:spacing w:after="60" w:before="40"/>
            </w:pPr>
            <w:r>
              <w:rPr>
                <w:b/>
              </w:rPr>
              <w:t>Situación al 25 de octubre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M01 alcance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Equipo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Inventario y criterios disponibles; faltan estimaciones y aceptación acordadas.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M02 arquitectura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y Michael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Django administrativo, Spring usuarios y MySQL probados; acuerdo de migraciones pendiente.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M03 identidades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y Michael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Cierre técnico existente; 17 comprobaciones HTTP de identidad repetidas.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M04 diseño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y Pamela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Aporte adaptable de Pamela integrado; faltan zoom real, lector de pantalla y teléfono.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M05 Inicio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Finalizado técnicamente; conserva cursos, notas y tareas.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M06 privados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y Michael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Funcional y persistido; reconexión web mejorada. No se certifican desconexiones prolongadas ni entrega en segundo plano.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M07 grupos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y Michael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Cierre técnico existente; invitaciones, roles y revocación conservados.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M08 medios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y Michael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Adjuntos implementados; captura web añadida, pendiente comprobación física.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M09 estados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y Michael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Texto/medios/audiencias y revisión humana existentes; moderación automática multimodal pendiente.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M10 avisos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y Michael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Buzón persistente y consulta implementados; push y entrega con aplicación cerrada pendientes.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M11 proveedor IA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y Michael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Asistente definido; evaluación de moderación multimodal y política de datos pendientes.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M12 asistente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Integración existente; último intento real bloqueado por cuota. No hay nueva respuesta real aprobada.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M13 administración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Michael y Pamela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Migración Django implementada anteriormente; regresiones administrativas repetidas.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M14 perfil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y Pamela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Cierre técnico existente; navegación de perfil comprobada en Android.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M15 pruebas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Michael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Nuevas regresiones, HTTP y carga local aprobadas por encargo de Jery; faltan entorno real, red prolongada y aceptación independiente.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M16 operación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Michael y Jery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Arranque corregido y restauración local probada; hosting/HTTPS, custodia y operación reales pendientes.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M17 entrega Android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APK debug, 3 unitarias y 8 instrumentadas aprobadas; firma release, teléfono y aceptación pendientes.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M18 documentación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Equipo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Informe y evidencias regularizados; cierre final depende de entrega y aceptación.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M19 moderación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Jery y Michael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Revisión humana, hash/revisión, privacidad y corrección probadas; clasificación automática multimodal pendiente.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M20 normas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Equipo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Categorías iniciales aprobadas y casos de Pamela integrados; revisor, retención y evaluación humana pendientes.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M21 web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Pamela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Incremento técnico cerrado anteriormente; ajustes integrados y nueva regresión web aprobada.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M22 API compartida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Michael y Jery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Cierre técnico existente; autorización y cruce Django/Spring/MySQL comprobados de nuevo.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M23 traspaso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Equipo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Guía y matriz existentes; este informe añade resultados y límites actuales.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M24 paridad</w:t>
            </w:r>
          </w:p>
        </w:tc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Equipo</w:t>
            </w:r>
          </w:p>
        </w:tc>
        <w:tc>
          <w:tcPr>
            <w:tcW w:type="dxa" w:w="63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Cierre del incremento anterior conservado; nueva ronda Android no reemplaza todos los cruces multimedia históricos.</w:t>
            </w:r>
          </w:p>
        </w:tc>
      </w:tr>
    </w:tbl>
    <w:p>
      <w:pPr>
        <w:spacing w:after="40"/>
      </w:pPr>
    </w:p>
    <w:p>
      <w:pPr>
        <w:pStyle w:val="Heading1"/>
      </w:pPr>
      <w:r>
        <w:t>Evidencia de la ronda nueva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  <w:shd w:fill="E8ECEF"/>
          </w:tcPr>
          <w:p>
            <w:pPr>
              <w:spacing w:after="60" w:before="40"/>
            </w:pPr>
            <w:r>
              <w:rPr>
                <w:b/>
              </w:rPr>
              <w:t>Comprobación</w:t>
            </w:r>
          </w:p>
        </w:tc>
        <w:tc>
          <w:tcPr>
            <w:tcW w:type="dxa" w:w="8352"/>
            <w:tcMar>
              <w:top w:w="90" w:type="dxa"/>
              <w:left w:w="90" w:type="dxa"/>
              <w:bottom w:w="90" w:type="dxa"/>
              <w:right w:w="90" w:type="dxa"/>
            </w:tcMar>
            <w:shd w:fill="E8ECEF"/>
          </w:tcPr>
          <w:p>
            <w:pPr>
              <w:spacing w:after="60" w:before="40"/>
            </w:pPr>
            <w:r>
              <w:rPr>
                <w:b/>
              </w:rPr>
              <w:t>Resultado y alcance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Spring con Java 21</w:t>
            </w:r>
          </w:p>
        </w:tc>
        <w:tc>
          <w:tcPr>
            <w:tcW w:type="dxa" w:w="835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107 pruebas, cero fallos y errores. Primer intento con Java 25 produjo errores de Mockito; no se ocultó ni se contó como aprobado.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Django con SQLite de pruebas</w:t>
            </w:r>
          </w:p>
        </w:tc>
        <w:tc>
          <w:tcPr>
            <w:tcW w:type="dxa" w:w="835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32 pruebas, cero fallos; no representan por sí solas MySQL real.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Cliente web</w:t>
            </w:r>
          </w:p>
        </w:tc>
        <w:tc>
          <w:tcPr>
            <w:tcW w:type="dxa" w:w="835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30 pruebas aprobadas y compilación React. Incluye 4 nuevas de reconexión y 7 de captura controlada.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Android local</w:t>
            </w:r>
          </w:p>
        </w:tc>
        <w:tc>
          <w:tcPr>
            <w:tcW w:type="dxa" w:w="835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3 unitarias; assembleDebug y lintDebug aprobados. Lint conserva 9 advertencias y 4 sugerencias, cero errores.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Android instrumentado</w:t>
            </w:r>
          </w:p>
        </w:tc>
        <w:tc>
          <w:tcPr>
            <w:tcW w:type="dxa" w:w="835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8 pruebas en Medium_Phone, Android 17 y API 37 comprobados con getprop; cero fallos/errores/omitidas.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Django y Spring con MySQL real aislado</w:t>
            </w:r>
          </w:p>
        </w:tc>
        <w:tc>
          <w:tcPr>
            <w:tcW w:type="dxa" w:w="835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17 identidad, 13 académico, 15 horarios/notas y 38 moderación: 83 comprobaciones HTTP; cuentas sintéticas.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Carga local</w:t>
            </w:r>
          </w:p>
        </w:tc>
        <w:tc>
          <w:tcPr>
            <w:tcW w:type="dxa" w:w="835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800 GET autenticados, 8 trabajadores, cero errores; p95 21.12 ms en esta ronda. No es capacidad de producción.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Restauración local</w:t>
            </w:r>
          </w:p>
        </w:tc>
        <w:tc>
          <w:tcPr>
            <w:tcW w:type="dxa" w:w="835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t>29 tablas y 618 filas comparadas con contenido idéntico; base temporal eliminada; dump privado fuera de Git.</w:t>
            </w:r>
          </w:p>
        </w:tc>
      </w:tr>
    </w:tbl>
    <w:p>
      <w:pPr>
        <w:spacing w:after="40"/>
      </w:pPr>
    </w:p>
    <w:p>
      <w:r>
        <w:t>Las rondas de 107/32/30/3/8 se informan por separado; no se suman como un porcentaje global. No se volvió a ejecutar todo el inventario histórico de multimedia/paridad ni se acreditan teléfonos físicos, IA real, push o producción.</w:t>
      </w:r>
    </w:p>
    <w:p>
      <w:pPr>
        <w:pStyle w:val="Heading1"/>
      </w:pPr>
      <w:r>
        <w:t>Bloqueos y aportes necesarios</w:t>
      </w:r>
    </w:p>
    <w:p>
      <w:r>
        <w:t xml:space="preserve">1. </w:t>
      </w:r>
      <w:r>
        <w:rPr>
          <w:b/>
        </w:rPr>
        <w:t>IA:</w:t>
      </w:r>
      <w:r>
        <w:t xml:space="preserve"> Jery habilita saldo/cuota en el proyecto de la clave existente y confirma disponibilidad. No enviar la clave por chat ni crear otra para intentar saltar la cuota.</w:t>
      </w:r>
    </w:p>
    <w:p>
      <w:r>
        <w:t xml:space="preserve">2. </w:t>
      </w:r>
      <w:r>
        <w:rPr>
          <w:b/>
        </w:rPr>
        <w:t>Firma:</w:t>
      </w:r>
      <w:r>
        <w:t xml:space="preserve"> Jery indica ubicación local del keystore y alias, configura contraseñas de forma privada y aprueba la huella del certificado. Después se puede ejecutar PREPARAR-ENTREGA.ps1 y validar APK.</w:t>
      </w:r>
    </w:p>
    <w:p>
      <w:r>
        <w:t xml:space="preserve">3. </w:t>
      </w:r>
      <w:r>
        <w:rPr>
          <w:b/>
        </w:rPr>
        <w:t>Teléfono:</w:t>
      </w:r>
      <w:r>
        <w:t xml:space="preserve"> conectar Android 8 o superior por USB, autorizar depuración e instalación y acordar reemplazo de instalaciones previas. Emulador aprobado no equivale a teléfono probado.</w:t>
      </w:r>
    </w:p>
    <w:p>
      <w:r>
        <w:t xml:space="preserve">4. </w:t>
      </w:r>
      <w:r>
        <w:rPr>
          <w:b/>
        </w:rPr>
        <w:t>Servidor:</w:t>
      </w:r>
      <w:r>
        <w:t xml:space="preserve"> elegir destino y presupuesto; proporcionar acceso seguro al entorno. Verificar HTTPS, base durable y recuperación desde dos dispositivos; la prueba de respaldo local no acredita ese despliegue.</w:t>
      </w:r>
    </w:p>
    <w:p>
      <w:r>
        <w:t xml:space="preserve">5. </w:t>
      </w:r>
      <w:r>
        <w:rPr>
          <w:b/>
        </w:rPr>
        <w:t>Moderación:</w:t>
      </w:r>
      <w:r>
        <w:t xml:space="preserve"> designar revisor de apelaciones y suplente, días de conservación y regla de borrado de pendientes/rechazados/auditoría. Definir aprobación para tratamiento por proveedores externos antes de enviar contenidos reales.</w:t>
      </w:r>
    </w:p>
    <w:p>
      <w:r>
        <w:t xml:space="preserve">6. </w:t>
      </w:r>
      <w:r>
        <w:rPr>
          <w:b/>
        </w:rPr>
        <w:t>Push:</w:t>
      </w:r>
      <w:r>
        <w:t xml:space="preserve"> confirmar proyecto y proveedor de notificaciones, dispositivos objetivo y acceso seguro a configuración; el buzón existente no entrega avisos con la aplicación cerrada.</w:t>
      </w:r>
    </w:p>
    <w:p>
      <w:r>
        <w:t xml:space="preserve">7. </w:t>
      </w:r>
      <w:r>
        <w:rPr>
          <w:b/>
        </w:rPr>
        <w:t>Aceptación:</w:t>
      </w:r>
      <w:r>
        <w:t xml:space="preserve"> equipo/docente confirma HU administrativa, contratos, responsable de migraciones, alcance y resultados por historia. No se sustituyen esos acuerdos con checklists automáticos.</w:t>
      </w:r>
    </w:p>
    <w:p>
      <w:r>
        <w:t xml:space="preserve">8. </w:t>
      </w:r>
      <w:r>
        <w:rPr>
          <w:b/>
        </w:rPr>
        <w:t>Cámara web:</w:t>
      </w:r>
      <w:r>
        <w:t xml:space="preserve"> completar prueba real autorizada cuando Chrome permita el control. La sesión anterior terminó antes de confirmar el permiso y la captura; no se afirma aprobación física.</w:t>
      </w:r>
    </w:p>
    <w:p>
      <w:pPr>
        <w:pStyle w:val="Heading1"/>
      </w:pPr>
      <w:r>
        <w:t>Reproducción y fuentes</w:t>
      </w:r>
    </w:p>
    <w:p>
      <w:r>
        <w:t xml:space="preserve">Usar Java 21. Ejecutar </w:t>
      </w:r>
      <w:r>
        <w:t>mvn verify</w:t>
      </w:r>
      <w:r>
        <w:t xml:space="preserve">; en frontend </w:t>
      </w:r>
      <w:r>
        <w:t>node --test test/*.test.*</w:t>
      </w:r>
      <w:r>
        <w:t xml:space="preserve"> y </w:t>
      </w:r>
      <w:r>
        <w:t>node build.mjs</w:t>
      </w:r>
      <w:r>
        <w:t xml:space="preserve">; en admin-django </w:t>
      </w:r>
      <w:r>
        <w:t>manage.py test --settings=main_admin.test_settings</w:t>
      </w:r>
      <w:r>
        <w:t xml:space="preserve"> con el entorno Python preparado. Android: </w:t>
      </w:r>
      <w:r>
        <w:t>testDebugUnitTest assembleDebug lintDebug</w:t>
      </w:r>
      <w:r>
        <w:t>; las instrumentadas seleccionaron NavigationUiTest, PendingUiTest y DetailUiTest con puentes ADB a 8088/8090.</w:t>
      </w:r>
    </w:p>
    <w:p>
      <w:r>
        <w:t>La arquitectura local usa MySQL aislado en loopback 3307, Spring 8088 y Django 8090. Credenciales, claves, keystore y dumps permanecen fuera del repositorio. Para restauración, ejecutar verificar_restauracion_local.py solo en la base sintética indicada; requiere binarios MySQL y un usuario local autorizado, nunca una contraseña como argumento público.</w:t>
      </w:r>
    </w:p>
    <w:p>
      <w:r>
        <w:t>Fuentes versionadas: docs/REGULARIZACION_SPRINT_12_OCT.md, docs/PARIDAD_WEB_22_OCT.md, docs/revision/pamela/REVISION_2026_10_22.md y docs/mobile/CIERRE_JERY_SPRINT_2.md. Evidencia nueva en docs/informes/2026-10-25-cierre/. Trello conserva las fechas históricas; las tarjetas del sprint 3 vencen el 27/10 y no modifican el cumplimiento de los sprints anteriores.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MAIN   |   Regularización de sprints 1 y 2   |   25 de octubre de 2026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Regularización de MAIN al 25 de octubre de 2026</dc:title>
  <dc:subject/>
  <dc:creator>Jery Becerra Ninaquispe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