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5" w:name="X566774094d52cf990a6e24e51222b598cd01e54"/>
    <w:p>
      <w:pPr>
        <w:pStyle w:val="Heading1"/>
      </w:pPr>
      <w:r>
        <w:t xml:space="preserve">Projekt-Dokumentation: Forex, News-Sentiment &amp; Ölpreise</w:t>
      </w:r>
    </w:p>
    <w:p>
      <w:pPr>
        <w:pStyle w:val="FirstParagraph"/>
      </w:pPr>
      <w:r>
        <w:rPr>
          <w:b/>
          <w:bCs/>
        </w:rPr>
        <w:t xml:space="preserve">Modul:</w:t>
      </w:r>
      <w:r>
        <w:t xml:space="preserve"> </w:t>
      </w:r>
      <w:r>
        <w:t xml:space="preserve">Data Engineering &amp; Wrangling, BAI, FHNW (26FS)</w:t>
      </w:r>
      <w:r>
        <w:t xml:space="preserve"> </w:t>
      </w:r>
      <w:r>
        <w:rPr>
          <w:b/>
          <w:bCs/>
        </w:rPr>
        <w:t xml:space="preserve">Zeitraum der Daten:</w:t>
      </w:r>
      <w:r>
        <w:t xml:space="preserve"> </w:t>
      </w:r>
      <w:r>
        <w:t xml:space="preserve">2022-01-01 bis 2026-04-22</w:t>
      </w:r>
      <w:r>
        <w:t xml:space="preserve"> </w:t>
      </w:r>
      <w:r>
        <w:rPr>
          <w:b/>
          <w:bCs/>
        </w:rPr>
        <w:t xml:space="preserve">Stand des Dokuments:</w:t>
      </w:r>
      <w:r>
        <w:t xml:space="preserve"> </w:t>
      </w:r>
      <w:r>
        <w:t xml:space="preserve">2026-05-06</w:t>
      </w:r>
    </w:p>
    <w:p>
      <w:r>
        <w:pict>
          <v:rect style="width:0;height:1.5pt" o:hralign="center" o:hrstd="t" o:hr="t"/>
        </w:pict>
      </w:r>
    </w:p>
    <w:bookmarkStart w:id="12" w:name="projektziel-und-fragestellung"/>
    <w:p>
      <w:pPr>
        <w:pStyle w:val="Heading2"/>
      </w:pPr>
      <w:r>
        <w:t xml:space="preserve">1. Projektziel und Fragestellung</w:t>
      </w:r>
    </w:p>
    <w:p>
      <w:pPr>
        <w:pStyle w:val="FirstParagraph"/>
      </w:pPr>
      <w:r>
        <w:t xml:space="preserve">Das Projekt untersucht, ob sich zwischen</w:t>
      </w:r>
      <w:r>
        <w:t xml:space="preserve"> </w:t>
      </w:r>
      <w:r>
        <w:rPr>
          <w:b/>
          <w:bCs/>
        </w:rPr>
        <w:t xml:space="preserve">Wechselkursen</w:t>
      </w:r>
      <w:r>
        <w:t xml:space="preserve"> </w:t>
      </w:r>
      <w:r>
        <w:t xml:space="preserve">(EUR/USD, EUR/CHF, GBP/USD),</w:t>
      </w:r>
      <w:r>
        <w:t xml:space="preserve"> </w:t>
      </w:r>
      <w:r>
        <w:rPr>
          <w:b/>
          <w:bCs/>
        </w:rPr>
        <w:t xml:space="preserve">Finanznachrichten-Sentiment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Ölpreisen</w:t>
      </w:r>
      <w:r>
        <w:t xml:space="preserve"> </w:t>
      </w:r>
      <w:r>
        <w:t xml:space="preserve">ein nachvollziehbarer Zusammenhang erkennen lässt.</w:t>
      </w:r>
    </w:p>
    <w:bookmarkStart w:id="9" w:name="hypothese"/>
    <w:p>
      <w:pPr>
        <w:pStyle w:val="Heading3"/>
      </w:pPr>
      <w:r>
        <w:t xml:space="preserve">Hypothese</w:t>
      </w:r>
    </w:p>
    <w:p>
      <w:pPr>
        <w:pStyle w:val="BlockText"/>
      </w:pPr>
      <w:r>
        <w:rPr>
          <w:i/>
          <w:iCs/>
        </w:rPr>
        <w:t xml:space="preserve">Hat das Sentiment von Finanznachrichten einen Einfluss auf Währungskurse — und wenn ja, wie viel?</w:t>
      </w:r>
    </w:p>
    <w:p>
      <w:pPr>
        <w:pStyle w:val="FirstParagraph"/>
      </w:pPr>
      <w:r>
        <w:t xml:space="preserve">Methodisch konkretisiert in eine</w:t>
      </w:r>
      <w:r>
        <w:t xml:space="preserve"> </w:t>
      </w:r>
      <w:r>
        <w:rPr>
          <w:b/>
          <w:bCs/>
        </w:rPr>
        <w:t xml:space="preserve">Lead/Lag-Frage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Hypothese H1</w:t>
      </w:r>
      <w:r>
        <w:t xml:space="preserve"> </w:t>
      </w:r>
      <w:r>
        <w:t xml:space="preserve">(Sentiment führt): Sentiment am Tag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sagt Returns am Tag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vorher (für ein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). Wenn negative News heute auftauchen, fällt der Kurs in den folgenden Tagen.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Alternative A1</w:t>
      </w:r>
      <w:r>
        <w:t xml:space="preserve"> </w:t>
      </w:r>
      <w:r>
        <w:t xml:space="preserve">(gleichzeitig): Sentiment und Returns bewegen sich gemeinsam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), Sentiment ist Begleitinformation, kein Vorlauf.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Alternative A2</w:t>
      </w:r>
      <w:r>
        <w:t xml:space="preserve"> </w:t>
      </w:r>
      <w:r>
        <w:t xml:space="preserve">(Markt führt): Returns laufen Sentiment voraus (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), die News reagieren auf den Markt, nicht umgekehrt.</w:t>
      </w:r>
    </w:p>
    <w:p>
      <w:pPr>
        <w:pStyle w:val="FirstParagraph"/>
      </w:pPr>
      <w:r>
        <w:t xml:space="preserve">Die Operationalisierung erfolgt im Notebook</w:t>
      </w:r>
      <w:r>
        <w:t xml:space="preserve"> </w:t>
      </w:r>
      <w:r>
        <w:rPr>
          <w:rStyle w:val="VerbatimChar"/>
        </w:rPr>
        <w:t xml:space="preserve">notebooks/datenverarbeitung/sentiment_kurs_lead_lag_analyse.ipynb</w:t>
      </w:r>
      <w:r>
        <w:t xml:space="preserve">. Resultate stehen in Abschnitt 12.</w:t>
      </w:r>
    </w:p>
    <w:bookmarkEnd w:id="9"/>
    <w:bookmarkStart w:id="10" w:name="wie-der-dozent-das-projekt-geframet-hat"/>
    <w:p>
      <w:pPr>
        <w:pStyle w:val="Heading3"/>
      </w:pPr>
      <w:r>
        <w:t xml:space="preserve">Wie der Dozent das Projekt geframet hat</w:t>
      </w:r>
    </w:p>
    <w:p>
      <w:pPr>
        <w:pStyle w:val="FirstParagraph"/>
      </w:pPr>
      <w:r>
        <w:t xml:space="preserve">Bewertet wird</w:t>
      </w:r>
      <w:r>
        <w:t xml:space="preserve"> </w:t>
      </w:r>
      <w:r>
        <w:rPr>
          <w:b/>
          <w:bCs/>
        </w:rPr>
        <w:t xml:space="preserve">nicht das Prognose-Modell</w:t>
      </w:r>
      <w:r>
        <w:t xml:space="preserve">, sondern der Umgang mit unsauberen Daten: aus heterogenen Quellen vergleichbare Reihen bauen, Qualitätsprobleme erkennen und dokumentieren, Methodenentscheidungen begründen. Die Hypothesen-Antwort ist ein Anwendungsbeispiel; die Datenaufbereitung ist das eigentliche Produkt.</w:t>
      </w:r>
    </w:p>
    <w:p>
      <w:pPr>
        <w:pStyle w:val="BodyText"/>
      </w:pPr>
      <w:r>
        <w:t xml:space="preserve">Die Pflicht-Verarbeitungsschritte gemäss Vorgaben-Folie sind:</w:t>
      </w:r>
      <w:r>
        <w:t xml:space="preserve"> </w:t>
      </w:r>
      <w:r>
        <w:rPr>
          <w:b/>
          <w:bCs/>
        </w:rPr>
        <w:t xml:space="preserve">Datenbereinigung, Datentransformation, Qualitätsprüfung, Pipeline, Visualisierung, Analyse</w:t>
      </w:r>
      <w:r>
        <w:t xml:space="preserve"> </w:t>
      </w:r>
      <w:r>
        <w:t xml:space="preserve">— diese gliedern auch die Doku (Abschnitte 4–12).</w:t>
      </w:r>
    </w:p>
    <w:bookmarkEnd w:id="10"/>
    <w:bookmarkStart w:id="11" w:name="was-das-projekt-nicht-ist"/>
    <w:p>
      <w:pPr>
        <w:pStyle w:val="Heading3"/>
      </w:pPr>
      <w:r>
        <w:t xml:space="preserve">Was das Projekt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ist</w:t>
      </w:r>
    </w:p>
    <w:p>
      <w:pPr>
        <w:pStyle w:val="Compact"/>
        <w:numPr>
          <w:ilvl w:val="0"/>
          <w:numId w:val="1002"/>
        </w:numPr>
      </w:pPr>
      <w:r>
        <w:t xml:space="preserve">Kein Trading-System, kein Backtesting.</w:t>
      </w:r>
    </w:p>
    <w:p>
      <w:pPr>
        <w:pStyle w:val="Compact"/>
        <w:numPr>
          <w:ilvl w:val="0"/>
          <w:numId w:val="1002"/>
        </w:numPr>
      </w:pPr>
      <w:r>
        <w:t xml:space="preserve">Kein Maschinelles-Lernen-Modell.</w:t>
      </w:r>
    </w:p>
    <w:p>
      <w:pPr>
        <w:pStyle w:val="Compact"/>
        <w:numPr>
          <w:ilvl w:val="0"/>
          <w:numId w:val="1002"/>
        </w:numPr>
      </w:pPr>
      <w:r>
        <w:t xml:space="preserve">Keine Kausalaussage (</w:t>
      </w:r>
      <w:r>
        <w:t xml:space="preserve">“Sentiment verursacht Kursbewegung”</w:t>
      </w:r>
      <w:r>
        <w:t xml:space="preserve">), sondern eine deskriptive Beobachtung zeitlicher Vorhersagbarkeit. Granger-Causality oder ökonometrische Identifikation sind in Sektion 12 als Erweiterung vermerkt, aber nicht implementiert.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datenquellen"/>
    <w:p>
      <w:pPr>
        <w:pStyle w:val="Heading2"/>
      </w:pPr>
      <w:r>
        <w:t xml:space="preserve">2. Datenquellen</w:t>
      </w:r>
    </w:p>
    <w:p>
      <w:pPr>
        <w:pStyle w:val="FirstParagraph"/>
      </w:pPr>
      <w:r>
        <w:t xml:space="preserve">Es wurden bewusst</w:t>
      </w:r>
      <w:r>
        <w:t xml:space="preserve"> </w:t>
      </w:r>
      <w:r>
        <w:rPr>
          <w:b/>
          <w:bCs/>
        </w:rPr>
        <w:t xml:space="preserve">mehrere Quellen</w:t>
      </w:r>
      <w:r>
        <w:t xml:space="preserve"> </w:t>
      </w:r>
      <w:r>
        <w:t xml:space="preserve">pro Datentyp integriert, damit Unstimmigkeiten aufgedeckt werden können und die Abhängigkeit von einer einzelnen Quelle vermieden wird.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Datentyp</w:t>
            </w:r>
          </w:p>
        </w:tc>
        <w:tc>
          <w:tcPr/>
          <w:p>
            <w:pPr>
              <w:pStyle w:val="Compact"/>
            </w:pPr>
            <w:r>
              <w:t xml:space="preserve">Quelle</w:t>
            </w:r>
          </w:p>
        </w:tc>
        <w:tc>
          <w:tcPr/>
          <w:p>
            <w:pPr>
              <w:pStyle w:val="Compact"/>
            </w:pPr>
            <w:r>
              <w:t xml:space="preserve">Zugang</w:t>
            </w:r>
          </w:p>
        </w:tc>
        <w:tc>
          <w:tcPr/>
          <w:p>
            <w:pPr>
              <w:pStyle w:val="Compact"/>
            </w:pPr>
            <w:r>
              <w:t xml:space="preserve">Historie im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Forex</w:t>
            </w:r>
          </w:p>
        </w:tc>
        <w:tc>
          <w:tcPr/>
          <w:p>
            <w:pPr>
              <w:pStyle w:val="Compact"/>
            </w:pPr>
            <w:r>
              <w:t xml:space="preserve">Yahoo Finance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yfinance</w:t>
            </w:r>
            <w:r>
              <w:t xml:space="preserve"> </w:t>
            </w:r>
            <w:r>
              <w:t xml:space="preserve">(ohne Auth)</w:t>
            </w:r>
          </w:p>
        </w:tc>
        <w:tc>
          <w:tcPr/>
          <w:p>
            <w:pPr>
              <w:pStyle w:val="Compact"/>
            </w:pPr>
            <w:r>
              <w:t xml:space="preserve">2022-01-03 – 2026-04-21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Forex</w:t>
            </w:r>
          </w:p>
        </w:tc>
        <w:tc>
          <w:tcPr/>
          <w:p>
            <w:pPr>
              <w:pStyle w:val="Compact"/>
            </w:pPr>
            <w:r>
              <w:t xml:space="preserve">EODHD</w:t>
            </w:r>
          </w:p>
        </w:tc>
        <w:tc>
          <w:tcPr/>
          <w:p>
            <w:pPr>
              <w:pStyle w:val="Compact"/>
            </w:pPr>
            <w:r>
              <w:t xml:space="preserve">REST-API mit API-Key</w:t>
            </w:r>
          </w:p>
        </w:tc>
        <w:tc>
          <w:tcPr/>
          <w:p>
            <w:pPr>
              <w:pStyle w:val="Compact"/>
            </w:pPr>
            <w:r>
              <w:t xml:space="preserve">2022-01-02 – 2026-04-22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Forex</w:t>
            </w:r>
          </w:p>
        </w:tc>
        <w:tc>
          <w:tcPr/>
          <w:p>
            <w:pPr>
              <w:pStyle w:val="Compact"/>
            </w:pPr>
            <w:r>
              <w:t xml:space="preserve">MetaTrader 5</w:t>
            </w:r>
          </w:p>
        </w:tc>
        <w:tc>
          <w:tcPr/>
          <w:p>
            <w:pPr>
              <w:pStyle w:val="Compact"/>
            </w:pPr>
            <w:r>
              <w:t xml:space="preserve">Manuelle CSV-Exporte (Daily + M15)</w:t>
            </w:r>
          </w:p>
        </w:tc>
        <w:tc>
          <w:tcPr/>
          <w:p>
            <w:pPr>
              <w:pStyle w:val="Compact"/>
            </w:pPr>
            <w:r>
              <w:t xml:space="preserve">2022-01-03 – 2025-12-26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</w:pPr>
            <w:r>
              <w:t xml:space="preserve">EODHD</w:t>
            </w:r>
          </w:p>
        </w:tc>
        <w:tc>
          <w:tcPr/>
          <w:p>
            <w:pPr>
              <w:pStyle w:val="Compact"/>
            </w:pPr>
            <w:r>
              <w:t xml:space="preserve">REST-API, Tagesfeld, vorberechnete Polarity</w:t>
            </w:r>
          </w:p>
        </w:tc>
        <w:tc>
          <w:tcPr/>
          <w:p>
            <w:pPr>
              <w:pStyle w:val="Compact"/>
            </w:pPr>
            <w:r>
              <w:t xml:space="preserve">2022-01 – 2026-04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</w:pPr>
            <w:r>
              <w:t xml:space="preserve">RSS-Feeds (ForexLive, FXStreet, Yahoo Finance, Google News, DailyFX)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feedparser</w:t>
            </w:r>
          </w:p>
        </w:tc>
        <w:tc>
          <w:tcPr/>
          <w:p>
            <w:pPr>
              <w:pStyle w:val="Compact"/>
            </w:pPr>
            <w:r>
              <w:t xml:space="preserve">Scrape-Schnappschüsse von 2024-09 bis 2026-04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</w:pPr>
            <w:r>
              <w:t xml:space="preserve">Reddit (r/Forex, r/investing, r/economics)</w:t>
            </w:r>
          </w:p>
        </w:tc>
        <w:tc>
          <w:tcPr/>
          <w:p>
            <w:pPr>
              <w:pStyle w:val="Compact"/>
            </w:pPr>
            <w:r>
              <w:t xml:space="preserve">JSON-Endpunkt</w:t>
            </w:r>
          </w:p>
        </w:tc>
        <w:tc>
          <w:tcPr/>
          <w:p>
            <w:pPr>
              <w:pStyle w:val="Compact"/>
            </w:pPr>
            <w:r>
              <w:t xml:space="preserve">Gleiches Fenster wie 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Öl</w:t>
            </w:r>
          </w:p>
        </w:tc>
        <w:tc>
          <w:tcPr/>
          <w:p>
            <w:pPr>
              <w:pStyle w:val="Compact"/>
            </w:pPr>
            <w:r>
              <w:t xml:space="preserve">Yahoo Finance (WTI</w:t>
            </w:r>
            <w:r>
              <w:t xml:space="preserve"> </w:t>
            </w:r>
            <w:r>
              <w:rPr>
                <w:rStyle w:val="VerbatimChar"/>
              </w:rPr>
              <w:t xml:space="preserve">CL=F</w:t>
            </w:r>
            <w:r>
              <w:t xml:space="preserve">, Brent</w:t>
            </w:r>
            <w:r>
              <w:t xml:space="preserve"> </w:t>
            </w:r>
            <w:r>
              <w:rPr>
                <w:rStyle w:val="VerbatimChar"/>
              </w:rPr>
              <w:t xml:space="preserve">BZ=F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yfinance</w:t>
            </w:r>
          </w:p>
        </w:tc>
        <w:tc>
          <w:tcPr/>
          <w:p>
            <w:pPr>
              <w:pStyle w:val="Compact"/>
            </w:pPr>
            <w:r>
              <w:t xml:space="preserve">2022-01-03 – 2026-04-21</w:t>
            </w:r>
          </w:p>
        </w:tc>
      </w:tr>
    </w:tbl>
    <w:bookmarkStart w:id="13" w:name="warum-diese-kombination"/>
    <w:p>
      <w:pPr>
        <w:pStyle w:val="Heading3"/>
      </w:pPr>
      <w:r>
        <w:t xml:space="preserve">Warum diese Kombination?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Yahoo + EODHD</w:t>
      </w:r>
      <w:r>
        <w:t xml:space="preserve"> </w:t>
      </w:r>
      <w:r>
        <w:t xml:space="preserve">— zwei unabhängige, öffentlich zugängliche Forex-Anbieter. Yahoo ist kostenlos, EODHD liefert zusätzlich Sonntagsdaten (globaler Forex öffnet Sonntag abends in Asien) und bringt das Nachrichten-Feed plus bereits aggregierte Sentiment-Werte. So sind Datenvergleich und Cross-Check möglich.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MetaTrader 5</w:t>
      </w:r>
      <w:r>
        <w:t xml:space="preserve"> </w:t>
      </w:r>
      <w:r>
        <w:t xml:space="preserve">— Broker-nahe Daten, die als „Ground Truth” für eine technische Sicht dienen. Werden hier nur für den</w:t>
      </w:r>
      <w:r>
        <w:t xml:space="preserve"> </w:t>
      </w:r>
      <w:r>
        <w:rPr>
          <w:b/>
          <w:bCs/>
        </w:rPr>
        <w:t xml:space="preserve">Quellenvergleich</w:t>
      </w:r>
      <w:r>
        <w:t xml:space="preserve"> </w:t>
      </w:r>
      <w:r>
        <w:t xml:space="preserve">(siehe Abschnitt 5.1) genutzt, nicht für die Sentiment-Korrelation, weil MT5-Daten nur lokal exportiert werden können und bis 2025-12-26 reichen.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EODHD-News</w:t>
      </w:r>
      <w:r>
        <w:t xml:space="preserve"> </w:t>
      </w:r>
      <w:r>
        <w:t xml:space="preserve">— fertig annotiert mit Polarity pro Artikel → schneller Einstieg und Referenz für eine eigene Sentiment-Analyse.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RSS + Reddit</w:t>
      </w:r>
      <w:r>
        <w:t xml:space="preserve"> </w:t>
      </w:r>
      <w:r>
        <w:t xml:space="preserve">— zweite, unabhängige Nachrichtenquelle für den Proof-of-Concept (siehe Abschnitt 8). Rohe Texte, keine vorberechneten Scores.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Öl (WTI + Brent)</w:t>
      </w:r>
      <w:r>
        <w:t xml:space="preserve"> </w:t>
      </w:r>
      <w:r>
        <w:t xml:space="preserve">— häufig genannter makroökonomischer Einflussfaktor auf Rohstoff- und Petro-Währungen. Dient im Dashboard als Overlay.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architektur-der-datenpipeline"/>
    <w:p>
      <w:pPr>
        <w:pStyle w:val="Heading2"/>
      </w:pPr>
      <w:r>
        <w:t xml:space="preserve">3. Architektur der Datenpipeline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Loader   ┌────────────┐   Notebooks/   ┌────────────┐   Dashboard</w:t>
      </w:r>
      <w:r>
        <w:br/>
      </w:r>
      <w:r>
        <w:rPr>
          <w:rStyle w:val="VerbatimChar"/>
        </w:rPr>
        <w:t xml:space="preserve">│ externe APIs │ ─────────▶ │ data/raw/  │ ─ scripts/ ──▶ │data/process│ ───────────▶ Streamlit</w:t>
      </w:r>
      <w:r>
        <w:br/>
      </w:r>
      <w:r>
        <w:rPr>
          <w:rStyle w:val="VerbatimChar"/>
        </w:rPr>
        <w:t xml:space="preserve">│ (Yahoo, …)   │            │            │                │   ed/      │</w:t>
      </w:r>
      <w:r>
        <w:br/>
      </w:r>
      <w:r>
        <w:rPr>
          <w:rStyle w:val="VerbatimChar"/>
        </w:rPr>
        <w:t xml:space="preserve">└──────────────┘            └────────────┘                └────────────┘</w:t>
      </w:r>
    </w:p>
    <w:p>
      <w:pPr>
        <w:pStyle w:val="FirstParagraph"/>
      </w:pPr>
      <w:r>
        <w:t xml:space="preserve">Drei Schichten: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data/raw/</w:t>
      </w:r>
      <w:r>
        <w:t xml:space="preserve"> </w:t>
      </w:r>
      <w:r>
        <w:t xml:space="preserve">— unveränderte Rohdaten. Jede Datei ist durch Quelle + Datum im Dateinamen identifizierbar. Keine Veränderung nach dem Laden.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data/processed/</w:t>
      </w:r>
      <w:r>
        <w:t xml:space="preserve"> </w:t>
      </w:r>
      <w:r>
        <w:t xml:space="preserve">— harmonisierte, zusammengeführte Zwischenergebnisse. Produziert durch die Notebooks oder die Helper-Scripts in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data/final/</w:t>
      </w:r>
      <w:r>
        <w:t xml:space="preserve"> </w:t>
      </w:r>
      <w:r>
        <w:t xml:space="preserve">— fertige End-Datensätze, die in Bericht oder Dashboard einfließen.</w:t>
      </w:r>
    </w:p>
    <w:p>
      <w:pPr>
        <w:pStyle w:val="FirstParagraph"/>
      </w:pPr>
      <w:r>
        <w:rPr>
          <w:b/>
          <w:bCs/>
        </w:rPr>
        <w:t xml:space="preserve">Reproduzierbarkeit:</w:t>
      </w:r>
      <w:r>
        <w:t xml:space="preserve"> </w:t>
      </w:r>
      <w:r>
        <w:t xml:space="preserve">Jeder Schritt kann mit einem einzigen Befehl neu ausgeführt werden. Siehe Abschnitt 13.</w:t>
      </w:r>
    </w:p>
    <w:p>
      <w:pPr>
        <w:pStyle w:val="BodyText"/>
      </w:pPr>
      <w:r>
        <w:rPr>
          <w:b/>
          <w:bCs/>
        </w:rPr>
        <w:t xml:space="preserve">Visualisierung:</w:t>
      </w:r>
      <w:r>
        <w:t xml:space="preserve"> </w:t>
      </w:r>
      <w:r>
        <w:t xml:space="preserve">Das Pipeline-Diagramm ist als Graphviz-Quelle in</w:t>
      </w:r>
      <w:r>
        <w:t xml:space="preserve"> </w:t>
      </w:r>
      <w:r>
        <w:rPr>
          <w:rStyle w:val="VerbatimChar"/>
        </w:rPr>
        <w:t xml:space="preserve">docs/architektur/pipeline.gv</w:t>
      </w:r>
      <w:r>
        <w:t xml:space="preserve"> </w:t>
      </w:r>
      <w:r>
        <w:t xml:space="preserve">abgelegt; gerenderte Versionen liegen als</w:t>
      </w:r>
      <w:r>
        <w:t xml:space="preserve"> </w:t>
      </w:r>
      <w:r>
        <w:rPr>
          <w:rStyle w:val="VerbatimChar"/>
        </w:rPr>
        <w:t xml:space="preserve">pipeline.png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pipeline.svg</w:t>
      </w:r>
      <w:r>
        <w:t xml:space="preserve"> </w:t>
      </w:r>
      <w:r>
        <w:t xml:space="preserve">daneben.</w:t>
      </w:r>
    </w:p>
    <w:p>
      <w:pPr>
        <w:pStyle w:val="CaptionedFigure"/>
      </w:pPr>
      <w:r>
        <w:drawing>
          <wp:inline>
            <wp:extent cx="5334000" cy="1948961"/>
            <wp:effectExtent b="0" l="0" r="0" t="0"/>
            <wp:docPr descr="Pipeline-Diagramm" title="" id="16" name="Picture"/>
            <a:graphic>
              <a:graphicData uri="http://schemas.openxmlformats.org/drawingml/2006/picture">
                <pic:pic>
                  <pic:nvPicPr>
                    <pic:cNvPr descr="docs/architektur/pipelin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Pipeline-Diagramm</w:t>
      </w:r>
    </w:p>
    <w:p>
      <w:pPr>
        <w:pStyle w:val="BodyText"/>
      </w:pPr>
      <w:r>
        <w:t xml:space="preserve">Im Dashboard ist dasselbe Diagramm interaktiv unter der Seite</w:t>
      </w:r>
      <w:r>
        <w:t xml:space="preserve"> </w:t>
      </w:r>
      <w:r>
        <w:t xml:space="preserve">“Workflow”</w:t>
      </w:r>
      <w:r>
        <w:t xml:space="preserve"> </w:t>
      </w:r>
      <w:r>
        <w:t xml:space="preserve">erreichbar. Render-Anleitung für eigene Anpassungen steht in</w:t>
      </w:r>
      <w:r>
        <w:t xml:space="preserve"> </w:t>
      </w:r>
      <w:r>
        <w:rPr>
          <w:rStyle w:val="VerbatimChar"/>
        </w:rPr>
        <w:t xml:space="preserve">docs/architektur/README.md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3" w:name="umgang-mit-fehlenden-werten"/>
    <w:p>
      <w:pPr>
        <w:pStyle w:val="Heading2"/>
      </w:pPr>
      <w:r>
        <w:t xml:space="preserve">4. Umgang mit fehlenden Werten</w:t>
      </w:r>
    </w:p>
    <w:p>
      <w:pPr>
        <w:pStyle w:val="FirstParagraph"/>
      </w:pPr>
      <w:r>
        <w:t xml:space="preserve">Der Umgang wurde für jeden Datentyp separat entschieden. Generelles Prinzip:</w:t>
      </w:r>
      <w:r>
        <w:t xml:space="preserve"> </w:t>
      </w:r>
      <w:r>
        <w:rPr>
          <w:b/>
          <w:bCs/>
        </w:rPr>
        <w:t xml:space="preserve">nur dort interpolieren, wo die Lücke technisch entsteht und nicht inhaltlich ist</w:t>
      </w:r>
      <w:r>
        <w:t xml:space="preserve">.</w:t>
      </w:r>
    </w:p>
    <w:bookmarkStart w:id="19" w:name="forex-wochenenden-und-feiertage"/>
    <w:p>
      <w:pPr>
        <w:pStyle w:val="Heading3"/>
      </w:pPr>
      <w:r>
        <w:t xml:space="preserve">4.1 Forex: Wochenenden und Feiertage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Samstage:</w:t>
      </w:r>
      <w:r>
        <w:t xml:space="preserve"> </w:t>
      </w:r>
      <w:r>
        <w:t xml:space="preserve">Fehlen bei allen Quellen, weil der Forex-Markt weltweit geschlossen ist. → nicht ausgefüllt, ist erwartet.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Sonntage:</w:t>
      </w:r>
      <w:r>
        <w:t xml:space="preserve"> </w:t>
      </w:r>
      <w:r>
        <w:t xml:space="preserve">EODHD liefert Werte (Markteröffnung Asien ab Sonntagabend UTC), Yahoo und MT5 nicht. → Sonntagsdaten werden</w:t>
      </w:r>
      <w:r>
        <w:t xml:space="preserve"> </w:t>
      </w:r>
      <w:r>
        <w:rPr>
          <w:b/>
          <w:bCs/>
        </w:rPr>
        <w:t xml:space="preserve">behalten</w:t>
      </w:r>
      <w:r>
        <w:t xml:space="preserve">, wo vorhanden. Sie gehen als normaler Tag in Zeitreihen ein, weil sie reale Marktdaten sind.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Feiertage (z.B. 1. Januar, Karfreitag):</w:t>
      </w:r>
      <w:r>
        <w:t xml:space="preserve"> </w:t>
      </w:r>
      <w:r>
        <w:t xml:space="preserve">In Yahoo fehlend, in EODHD teilweise vorhanden. →</w:t>
      </w:r>
      <w:r>
        <w:t xml:space="preserve"> </w:t>
      </w:r>
      <w:r>
        <w:rPr>
          <w:b/>
          <w:bCs/>
        </w:rPr>
        <w:t xml:space="preserve">nicht interpoliert</w:t>
      </w:r>
      <w:r>
        <w:t xml:space="preserve">, weil das den Markt zu diesem Zeitpunkt nicht repräsentiert. In der kombinierten Tabelle wird per</w:t>
      </w:r>
      <w:r>
        <w:t xml:space="preserve"> </w:t>
      </w:r>
      <w:r>
        <w:rPr>
          <w:rStyle w:val="VerbatimChar"/>
        </w:rPr>
        <w:t xml:space="preserve">has_gap</w:t>
      </w:r>
      <w:r>
        <w:t xml:space="preserve">-Flag markiert, dass eine Quelle fehlt.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Interpolation als Dashboard-Option:</w:t>
      </w:r>
      <w:r>
        <w:t xml:space="preserve"> </w:t>
      </w:r>
      <w:r>
        <w:t xml:space="preserve">Im Dashboard gibt es einen Schalter „Fehlende Tage interpolieren (linear, vor Aggregation)“. Dieser wirkt</w:t>
      </w:r>
      <w:r>
        <w:t xml:space="preserve"> </w:t>
      </w:r>
      <w:r>
        <w:rPr>
          <w:b/>
          <w:bCs/>
        </w:rPr>
        <w:t xml:space="preserve">ausschließlich auf Forex- und Öl-Reihen</w:t>
      </w:r>
      <w:r>
        <w:t xml:space="preserve">, niemals auf Sentiment. Außerdem wirkt er nur auf die Anzeige, schreibt keine Werte zurück. So bleibt die Rohdaten-Integrität gewahrt und der User sieht, wo der Effekt auftritt.</w:t>
      </w:r>
    </w:p>
    <w:bookmarkEnd w:id="19"/>
    <w:bookmarkStart w:id="20" w:name="news-sentiment-tage-ohne-artikel"/>
    <w:p>
      <w:pPr>
        <w:pStyle w:val="Heading3"/>
      </w:pPr>
      <w:r>
        <w:t xml:space="preserve">4.2 News-Sentiment: Tage ohne Artikel</w:t>
      </w:r>
    </w:p>
    <w:p>
      <w:pPr>
        <w:pStyle w:val="Compact"/>
        <w:numPr>
          <w:ilvl w:val="0"/>
          <w:numId w:val="1006"/>
        </w:numPr>
      </w:pPr>
      <w:r>
        <w:t xml:space="preserve">Wenn an einem Tag</w:t>
      </w:r>
      <w:r>
        <w:t xml:space="preserve"> </w:t>
      </w:r>
      <w:r>
        <w:rPr>
          <w:b/>
          <w:bCs/>
        </w:rPr>
        <w:t xml:space="preserve">kein Artikel</w:t>
      </w:r>
      <w:r>
        <w:t xml:space="preserve"> </w:t>
      </w:r>
      <w:r>
        <w:t xml:space="preserve">in EODHD oder im Webscraping-Pool vorliegt (typisch: Wochenenden, Feiertage, thin-news-Tage), bleibt die Sentiment-Zeitreihe</w:t>
      </w:r>
      <w:r>
        <w:t xml:space="preserve"> </w:t>
      </w:r>
      <w:r>
        <w:rPr>
          <w:b/>
          <w:bCs/>
        </w:rPr>
        <w:t xml:space="preserve">NaN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Kein Interpolieren — nirgends.</w:t>
      </w:r>
      <w:r>
        <w:t xml:space="preserve"> </w:t>
      </w:r>
      <w:r>
        <w:t xml:space="preserve">Weder im Rohdatenlayer noch im Processing, noch im Dashboard. Selbst wenn der User im Dashboard die Interpolations-Checkbox aktiviert, werden Sentiment-Reihen explizit ausgenommen.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Begründung methodisch (MNAR):</w:t>
      </w:r>
      <w:r>
        <w:t xml:space="preserve"> </w:t>
      </w:r>
      <w:r>
        <w:t xml:space="preserve">Die Vorlesung W2 (</w:t>
      </w:r>
      <w:r>
        <w:rPr>
          <w:rStyle w:val="VerbatimChar"/>
        </w:rPr>
        <w:t xml:space="preserve">slides/Folien.pdf</w:t>
      </w:r>
      <w:r>
        <w:t xml:space="preserve">, S. 11) unterscheidet MCAR / MAR / MNAR. Tage ohne Artikel sind hier</w:t>
      </w:r>
      <w:r>
        <w:t xml:space="preserve"> </w:t>
      </w:r>
      <w:r>
        <w:rPr>
          <w:b/>
          <w:bCs/>
        </w:rPr>
        <w:t xml:space="preserve">MNAR</w:t>
      </w:r>
      <w:r>
        <w:t xml:space="preserve">: ob ein Artikel existiert, hängt direkt davon ab, ob etwas passiert ist — also vom</w:t>
      </w:r>
      <w:r>
        <w:t xml:space="preserve"> </w:t>
      </w:r>
      <w:r>
        <w:rPr>
          <w:i/>
          <w:iCs/>
        </w:rPr>
        <w:t xml:space="preserve">fehlenden Wert selbst</w:t>
      </w:r>
      <w:r>
        <w:t xml:space="preserve">. Imputation bei MNAR erzeugt strukturelle Verzerrung, weil</w:t>
      </w:r>
      <w:r>
        <w:t xml:space="preserve"> </w:t>
      </w:r>
      <w:r>
        <w:t xml:space="preserve">“kein Artikel”</w:t>
      </w:r>
      <w:r>
        <w:t xml:space="preserve"> </w:t>
      </w:r>
      <w:r>
        <w:t xml:space="preserve">inhaltlich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“neutraler Artikel”</w:t>
      </w:r>
      <w:r>
        <w:t xml:space="preserve"> </w:t>
      </w:r>
      <w:r>
        <w:t xml:space="preserve">bedeutet. Eine Null-Imputation oder Zeit-Interpolation würde eine Nachrichtenlage vortäuschen, die es nicht gab.</w:t>
      </w:r>
    </w:p>
    <w:p>
      <w:pPr>
        <w:pStyle w:val="Compact"/>
        <w:numPr>
          <w:ilvl w:val="0"/>
          <w:numId w:val="1006"/>
        </w:numPr>
      </w:pPr>
      <w:r>
        <w:t xml:space="preserve">Die Slides empfehlen für Zeitreihen zwar grundsätzlich</w:t>
      </w:r>
      <w:r>
        <w:t xml:space="preserve"> </w:t>
      </w:r>
      <w:r>
        <w:t xml:space="preserve">“vorherige oder zukünftige Werte zum Auffüllen”</w:t>
      </w:r>
      <w:r>
        <w:t xml:space="preserve"> </w:t>
      </w:r>
      <w:r>
        <w:t xml:space="preserve">(W2, S. 16) — wir weichen für Sentiment</w:t>
      </w:r>
      <w:r>
        <w:t xml:space="preserve"> </w:t>
      </w:r>
      <w:r>
        <w:rPr>
          <w:b/>
          <w:bCs/>
        </w:rPr>
        <w:t xml:space="preserve">bewusst</w:t>
      </w:r>
      <w:r>
        <w:t xml:space="preserve"> </w:t>
      </w:r>
      <w:r>
        <w:t xml:space="preserve">davon ab, weil die Auffüll-Logik dort für stetige physikalische Grössen gedacht ist, nicht für ereignisbedingte Zähldaten.</w:t>
      </w:r>
    </w:p>
    <w:p>
      <w:pPr>
        <w:pStyle w:val="Compact"/>
        <w:numPr>
          <w:ilvl w:val="0"/>
          <w:numId w:val="1006"/>
        </w:numPr>
      </w:pPr>
      <w:r>
        <w:t xml:space="preserve">Bei der Aggregation auf Wochen/Monate ignoriert pandas NaN automatisch (</w:t>
      </w:r>
      <w:r>
        <w:rPr>
          <w:rStyle w:val="VerbatimChar"/>
        </w:rPr>
        <w:t xml:space="preserve">skipna=True</w:t>
      </w:r>
      <w:r>
        <w:t xml:space="preserve">), d.h. Wochen mit 2 statt 5 News-Tagen werden weiterhin aggregierbar, nur eben auf Basis der vorhandenen Tage.</w:t>
      </w:r>
    </w:p>
    <w:bookmarkEnd w:id="20"/>
    <w:bookmarkStart w:id="21" w:name="öl-daten"/>
    <w:p>
      <w:pPr>
        <w:pStyle w:val="Heading3"/>
      </w:pPr>
      <w:r>
        <w:t xml:space="preserve">4.3 Öl-Daten</w:t>
      </w:r>
    </w:p>
    <w:p>
      <w:pPr>
        <w:pStyle w:val="Compact"/>
        <w:numPr>
          <w:ilvl w:val="0"/>
          <w:numId w:val="1007"/>
        </w:numPr>
      </w:pPr>
      <w:r>
        <w:t xml:space="preserve">Auch hier: Feiertage und Wochenenden fehlen, werden behalten als Marktereignisse. Keine Interpolation im Rohdatenlayer.</w:t>
      </w:r>
    </w:p>
    <w:bookmarkEnd w:id="21"/>
    <w:bookmarkStart w:id="22" w:name="sonderfall-eurchf-news"/>
    <w:p>
      <w:pPr>
        <w:pStyle w:val="Heading3"/>
      </w:pPr>
      <w:r>
        <w:t xml:space="preserve">4.4 Sonderfall EUR/CHF-News</w:t>
      </w:r>
    </w:p>
    <w:p>
      <w:pPr>
        <w:pStyle w:val="Compact"/>
        <w:numPr>
          <w:ilvl w:val="0"/>
          <w:numId w:val="1008"/>
        </w:numPr>
      </w:pPr>
      <w:r>
        <w:t xml:space="preserve">Die EODHD-News-Abdeckung für EUR/CHF ist</w:t>
      </w:r>
      <w:r>
        <w:t xml:space="preserve"> </w:t>
      </w:r>
      <w:r>
        <w:rPr>
          <w:b/>
          <w:bCs/>
        </w:rPr>
        <w:t xml:space="preserve">extrem dünn</w:t>
      </w:r>
      <w:r>
        <w:t xml:space="preserve"> </w:t>
      </w:r>
      <w:r>
        <w:t xml:space="preserve">(ca. 13 Artikel im gesamten Zeitraum). Das liegt an der geringeren internationalen Medienaufmerksamkeit für dieses Paar.</w:t>
      </w:r>
    </w:p>
    <w:p>
      <w:pPr>
        <w:pStyle w:val="Compact"/>
        <w:numPr>
          <w:ilvl w:val="0"/>
          <w:numId w:val="1008"/>
        </w:numPr>
      </w:pPr>
      <w:r>
        <w:t xml:space="preserve">Keine Füllung möglich — und sinnvoll. Wir dokumentieren es offen und führen für EUR/CHF keine Sentiment-Korrelation durch, nur Forex-Quellenvergleich und Ölkontext. Im Bericht wird diese Einschränkung explizit genannt.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umgang-mit-duplikaten"/>
    <w:p>
      <w:pPr>
        <w:pStyle w:val="Heading2"/>
      </w:pPr>
      <w:r>
        <w:t xml:space="preserve">5. Umgang mit Duplikaten</w:t>
      </w:r>
    </w:p>
    <w:bookmarkStart w:id="24" w:name="forex"/>
    <w:p>
      <w:pPr>
        <w:pStyle w:val="Heading3"/>
      </w:pPr>
      <w:r>
        <w:t xml:space="preserve">5.1 Forex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Duplikate im Datumsindex</w:t>
      </w:r>
      <w:r>
        <w:t xml:space="preserve"> </w:t>
      </w:r>
      <w:r>
        <w:t xml:space="preserve">werden je Quelle mit</w:t>
      </w:r>
      <w:r>
        <w:t xml:space="preserve"> </w:t>
      </w:r>
      <w:r>
        <w:rPr>
          <w:rStyle w:val="VerbatimChar"/>
        </w:rPr>
        <w:t xml:space="preserve">df[~df.index.duplicated(keep="first")]</w:t>
      </w:r>
      <w:r>
        <w:t xml:space="preserve"> </w:t>
      </w:r>
      <w:r>
        <w:t xml:space="preserve">entfernt. Ursache sind meist Zeitzonen-bedingte Mehrfacheinträge (z.B. Yahoo liefert EUR/USD mit 23:00-UTC-Zeitstempel, der durch das Runden auf den nächsten Tag kollidiert).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Inhaltliche Duplikate</w:t>
      </w:r>
      <w:r>
        <w:t xml:space="preserve"> </w:t>
      </w:r>
      <w:r>
        <w:t xml:space="preserve">(exakt gleiche OHLC-Werte an unterschiedlichen Tagen) werden</w:t>
      </w:r>
      <w:r>
        <w:t xml:space="preserve"> </w:t>
      </w:r>
      <w:r>
        <w:rPr>
          <w:i/>
          <w:iCs/>
        </w:rPr>
        <w:t xml:space="preserve">nicht</w:t>
      </w:r>
      <w:r>
        <w:t xml:space="preserve"> </w:t>
      </w:r>
      <w:r>
        <w:t xml:space="preserve">entfernt — sie können durch ruhige Marktphasen legitim entstehen, und ein automatisches Entfernen wäre gefährlich.</w:t>
      </w:r>
    </w:p>
    <w:bookmarkEnd w:id="24"/>
    <w:bookmarkStart w:id="25" w:name="news"/>
    <w:p>
      <w:pPr>
        <w:pStyle w:val="Heading3"/>
      </w:pPr>
      <w:r>
        <w:t xml:space="preserve">5.2 News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Webscraping:</w:t>
      </w:r>
      <w:r>
        <w:t xml:space="preserve"> </w:t>
      </w:r>
      <w:r>
        <w:t xml:space="preserve">Artikel erscheinen mehrfach in aufeinanderfolgenden Scrape-Schnappschüssen, solange sie im Feed stehen. Deduplikation erfolgt auf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(eindeutige URL) mit</w:t>
      </w:r>
      <w:r>
        <w:t xml:space="preserve"> </w:t>
      </w:r>
      <w:r>
        <w:rPr>
          <w:rStyle w:val="VerbatimChar"/>
        </w:rPr>
        <w:t xml:space="preserve">drop_duplicates(subset="link", keep="first")</w:t>
      </w:r>
      <w:r>
        <w:t xml:space="preserve">. Das ist robust, weil derselbe Artikel nicht mit unterschiedlichem Text existiert.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Nicht auf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title</w:t>
      </w:r>
      <w:r>
        <w:rPr>
          <w:b/>
          <w:bCs/>
        </w:rPr>
        <w:t xml:space="preserve"> </w:t>
      </w:r>
      <w:r>
        <w:rPr>
          <w:b/>
          <w:bCs/>
        </w:rPr>
        <w:t xml:space="preserve">dedupliziert</w:t>
      </w:r>
      <w:r>
        <w:t xml:space="preserve">, weil RSS-Feeds denselben Artikel mit leicht unterschiedlich formatiertem Titel ausspielen können (z.B. mit/ohne Quellen-Suffix).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EODHD-News:</w:t>
      </w:r>
      <w:r>
        <w:t xml:space="preserve"> </w:t>
      </w:r>
      <w:r>
        <w:t xml:space="preserve">Die API liefert pro Artikel eine einzigartige Paginierung, echte Duplikate sind selten. Beobachtet: 0 Duplikate bei EUR/CHF, kleine Anzahl bei EUR/USD/GBP — werden über denselben Mechanismus entfernt.</w:t>
      </w:r>
    </w:p>
    <w:bookmarkEnd w:id="25"/>
    <w:bookmarkStart w:id="26" w:name="reddit-spezifität"/>
    <w:p>
      <w:pPr>
        <w:pStyle w:val="Heading3"/>
      </w:pPr>
      <w:r>
        <w:t xml:space="preserve">5.3 Reddit-Spezifität</w:t>
      </w:r>
    </w:p>
    <w:p>
      <w:pPr>
        <w:pStyle w:val="Compact"/>
        <w:numPr>
          <w:ilvl w:val="0"/>
          <w:numId w:val="1011"/>
        </w:numPr>
      </w:pPr>
      <w:r>
        <w:t xml:space="preserve">Reddit-Posts können in</w:t>
      </w:r>
      <w:r>
        <w:t xml:space="preserve"> </w:t>
      </w:r>
      <w:r>
        <w:rPr>
          <w:rStyle w:val="VerbatimChar"/>
        </w:rPr>
        <w:t xml:space="preserve">hot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gleichzeitig auftauchen. Der Loader erkennt das und entfernt die Duplikate direkt nach dem Scrape (Spalte</w:t>
      </w:r>
      <w:r>
        <w:t xml:space="preserve"> </w:t>
      </w:r>
      <w:r>
        <w:rPr>
          <w:rStyle w:val="VerbatimChar"/>
        </w:rPr>
        <w:t xml:space="preserve">link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atenharmonisierung"/>
    <w:p>
      <w:pPr>
        <w:pStyle w:val="Heading2"/>
      </w:pPr>
      <w:r>
        <w:t xml:space="preserve">6. Datenharmonisierung</w:t>
      </w:r>
    </w:p>
    <w:p>
      <w:pPr>
        <w:pStyle w:val="FirstParagraph"/>
      </w:pPr>
      <w:r>
        <w:t xml:space="preserve">Ziel: Alle Quellen mit demselben Schema ansprechbar machen, damit ein Vergleich möglich ist.</w:t>
      </w:r>
    </w:p>
    <w:p>
      <w:pPr>
        <w:pStyle w:val="BodyText"/>
      </w:pPr>
      <w:r>
        <w:rPr>
          <w:b/>
          <w:bCs/>
        </w:rPr>
        <w:t xml:space="preserve">Theorie-Bezug (W4,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slides/W04_dwae.pdf</w:t>
      </w:r>
      <w:r>
        <w:rPr>
          <w:b/>
          <w:bCs/>
        </w:rPr>
        <w:t xml:space="preserve">, S. 8):</w:t>
      </w:r>
      <w:r>
        <w:t xml:space="preserve"> </w:t>
      </w:r>
      <w:r>
        <w:t xml:space="preserve">Die Vorlesung unterscheidet drei Dimensionen der Heterogenität, an denen wir uns hier explizit ausrichten: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Syntax</w:t>
      </w:r>
      <w:r>
        <w:t xml:space="preserve"> </w:t>
      </w:r>
      <w:r>
        <w:t xml:space="preserve">— unterschiedliche Datenformate (CSV, JSON, HTML, Tab-getrennt für MT5).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Struktur</w:t>
      </w:r>
      <w:r>
        <w:t xml:space="preserve"> </w:t>
      </w:r>
      <w:r>
        <w:t xml:space="preserve">— unterschiedliche Schemas (Spaltenreihenfolgen, geschachtelte Dicts vs. flach).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Semantik</w:t>
      </w:r>
      <w:r>
        <w:t xml:space="preserve"> </w:t>
      </w:r>
      <w:r>
        <w:t xml:space="preserve">— gleiche Begriffe, unterschiedliche Bedeutungen (z. B.</w:t>
      </w:r>
      <w:r>
        <w:t xml:space="preserve"> </w:t>
      </w:r>
      <w:r>
        <w:t xml:space="preserve">“close”</w:t>
      </w:r>
      <w:r>
        <w:t xml:space="preserve"> </w:t>
      </w:r>
      <w:r>
        <w:t xml:space="preserve">als New-York-Schluss vs. London-Schluss).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 (W4)</w:t>
            </w:r>
          </w:p>
        </w:tc>
        <w:tc>
          <w:tcPr/>
          <w:p>
            <w:pPr>
              <w:pStyle w:val="Compact"/>
            </w:pPr>
            <w:r>
              <w:t xml:space="preserve">Ausgangslage</w:t>
            </w:r>
          </w:p>
        </w:tc>
        <w:tc>
          <w:tcPr/>
          <w:p>
            <w:pPr>
              <w:pStyle w:val="Compact"/>
            </w:pPr>
            <w:r>
              <w:t xml:space="preserve">Harmonisierung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Syntax — Zeitzone</w:t>
            </w:r>
          </w:p>
        </w:tc>
        <w:tc>
          <w:tcPr/>
          <w:p>
            <w:pPr>
              <w:pStyle w:val="Compact"/>
            </w:pPr>
            <w:r>
              <w:t xml:space="preserve">Yahoo UTC, EODHD naive lokal, MT5 Broker-TZ, RSS/Reddit je nach Feed</w:t>
            </w:r>
          </w:p>
        </w:tc>
        <w:tc>
          <w:tcPr/>
          <w:p>
            <w:pPr>
              <w:pStyle w:val="Compact"/>
            </w:pPr>
            <w:r>
              <w:t xml:space="preserve">Alle auf timezone-naive normalisiert, auf Tagesebene gerundet (</w:t>
            </w:r>
            <w:r>
              <w:rPr>
                <w:rStyle w:val="VerbatimChar"/>
              </w:rPr>
              <w:t xml:space="preserve">.normalize()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.ceil("D")</w:t>
            </w:r>
            <w:r>
              <w:t xml:space="preserve"> </w:t>
            </w:r>
            <w:r>
              <w:t xml:space="preserve">je nach Quelle)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Struktur — Spaltennamen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Open/High/Low/Close</w:t>
            </w:r>
            <w:r>
              <w:t xml:space="preserve"> </w:t>
            </w:r>
            <w:r>
              <w:t xml:space="preserve">(Yahoo),</w:t>
            </w:r>
            <w:r>
              <w:t xml:space="preserve"> </w:t>
            </w:r>
            <w:r>
              <w:rPr>
                <w:rStyle w:val="VerbatimChar"/>
              </w:rPr>
              <w:t xml:space="preserve">open/high/low/close</w:t>
            </w:r>
            <w:r>
              <w:t xml:space="preserve"> </w:t>
            </w:r>
            <w:r>
              <w:t xml:space="preserve">(EODHD),</w:t>
            </w:r>
            <w:r>
              <w:t xml:space="preserve"> </w:t>
            </w:r>
            <w:r>
              <w:rPr>
                <w:rStyle w:val="VerbatimChar"/>
              </w:rPr>
              <w:t xml:space="preserve">&lt;OPEN&gt;/&lt;HIGH&gt;/…</w:t>
            </w:r>
            <w:r>
              <w:t xml:space="preserve"> </w:t>
            </w:r>
            <w:r>
              <w:t xml:space="preserve">(MT5)</w:t>
            </w:r>
          </w:p>
        </w:tc>
        <w:tc>
          <w:tcPr/>
          <w:p>
            <w:pPr>
              <w:pStyle w:val="Compact"/>
            </w:pPr>
            <w:r>
              <w:t xml:space="preserve">Alle auf lowercase</w:t>
            </w:r>
            <w:r>
              <w:t xml:space="preserve"> </w:t>
            </w:r>
            <w:r>
              <w:rPr>
                <w:rStyle w:val="VerbatimChar"/>
              </w:rPr>
              <w:t xml:space="preserve">open/high/low/close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Syntax — Datumsformat</w:t>
            </w:r>
          </w:p>
        </w:tc>
        <w:tc>
          <w:tcPr/>
          <w:p>
            <w:pPr>
              <w:pStyle w:val="Compact"/>
            </w:pPr>
            <w:r>
              <w:t xml:space="preserve">ISO-Strings, YYYY.MM.DD (MT5), Epoch-Sekunden (Reddit)</w:t>
            </w:r>
          </w:p>
        </w:tc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pd.Timestamp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pd.to_datetime(..., errors="coerce")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Semantik — Währungspaar-Schreibweise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EURUSD=X</w:t>
            </w:r>
            <w:r>
              <w:t xml:space="preserve"> </w:t>
            </w:r>
            <w:r>
              <w:t xml:space="preserve">(Yahoo),</w:t>
            </w:r>
            <w:r>
              <w:t xml:space="preserve"> </w:t>
            </w:r>
            <w:r>
              <w:rPr>
                <w:rStyle w:val="VerbatimChar"/>
              </w:rPr>
              <w:t xml:space="preserve">EURUSD.FOREX</w:t>
            </w:r>
            <w:r>
              <w:t xml:space="preserve"> </w:t>
            </w:r>
            <w:r>
              <w:t xml:space="preserve">(EODHD),</w:t>
            </w:r>
            <w:r>
              <w:t xml:space="preserve"> </w:t>
            </w:r>
            <w:r>
              <w:rPr>
                <w:rStyle w:val="VerbatimChar"/>
              </w:rPr>
              <w:t xml:space="preserve">EURUSD</w:t>
            </w:r>
            <w:r>
              <w:t xml:space="preserve"> </w:t>
            </w:r>
            <w:r>
              <w:t xml:space="preserve">(MT5)</w:t>
            </w:r>
          </w:p>
        </w:tc>
        <w:tc>
          <w:tcPr/>
          <w:p>
            <w:pPr>
              <w:pStyle w:val="Compact"/>
            </w:pPr>
            <w:r>
              <w:t xml:space="preserve">Intern einheitlich</w:t>
            </w:r>
            <w:r>
              <w:t xml:space="preserve"> </w:t>
            </w:r>
            <w:r>
              <w:rPr>
                <w:rStyle w:val="VerbatimChar"/>
              </w:rPr>
              <w:t xml:space="preserve">EUR_USD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EUR_CHF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GBP_USD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Struktur — News-Felder</w:t>
            </w:r>
          </w:p>
        </w:tc>
        <w:tc>
          <w:tcPr/>
          <w:p>
            <w:pPr>
              <w:pStyle w:val="Compact"/>
            </w:pPr>
            <w:r>
              <w:t xml:space="preserve">Sentiment als verschachteltes Dict (EODHD) vs. kein Sentiment (RSS)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pd.json_normalize()</w:t>
            </w:r>
            <w:r>
              <w:t xml:space="preserve"> </w:t>
            </w:r>
            <w:r>
              <w:t xml:space="preserve">flattet das EODHD-Dict zu</w:t>
            </w:r>
            <w:r>
              <w:t xml:space="preserve"> </w:t>
            </w:r>
            <w:r>
              <w:rPr>
                <w:rStyle w:val="VerbatimChar"/>
              </w:rPr>
              <w:t xml:space="preserve">polarity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</w:t>
            </w:r>
          </w:p>
        </w:tc>
      </w:tr>
    </w:tbl>
    <w:p>
      <w:pPr>
        <w:pStyle w:val="BodyText"/>
      </w:pPr>
      <w:r>
        <w:t xml:space="preserve">W4 (S. 13) kategorisiert die Harmonisierung als</w:t>
      </w:r>
      <w:r>
        <w:t xml:space="preserve"> </w:t>
      </w:r>
      <w:r>
        <w:rPr>
          <w:b/>
          <w:bCs/>
        </w:rPr>
        <w:t xml:space="preserve">retrospektiv</w:t>
      </w:r>
      <w:r>
        <w:t xml:space="preserve"> </w:t>
      </w:r>
      <w:r>
        <w:t xml:space="preserve">— sie passiert</w:t>
      </w:r>
      <w:r>
        <w:t xml:space="preserve"> </w:t>
      </w:r>
      <w:r>
        <w:rPr>
          <w:i/>
          <w:iCs/>
        </w:rPr>
        <w:t xml:space="preserve">nach</w:t>
      </w:r>
      <w:r>
        <w:t xml:space="preserve"> </w:t>
      </w:r>
      <w:r>
        <w:t xml:space="preserve">der Datenerhebung, weil wir keine Kontrolle über die Quellsysteme haben. Das ist gemäss Slide</w:t>
      </w:r>
      <w:r>
        <w:t xml:space="preserve"> </w:t>
      </w:r>
      <w:r>
        <w:t xml:space="preserve">“die häufigste Form in der Praxis”</w:t>
      </w:r>
      <w:r>
        <w:t xml:space="preserve">, limitiert aber die erreichbare Datenqualität (S. 15: Trade-offs zwischen Validität, Reliabilität, Abdeckung, Granularität).</w:t>
      </w:r>
    </w:p>
    <w:p>
      <w:pPr>
        <w:pStyle w:val="BodyText"/>
      </w:pPr>
      <w:r>
        <w:t xml:space="preserve">Der harmonisierte Forex-Output liegt in</w:t>
      </w:r>
      <w:r>
        <w:t xml:space="preserve"> </w:t>
      </w:r>
      <w:r>
        <w:rPr>
          <w:rStyle w:val="VerbatimChar"/>
        </w:rPr>
        <w:t xml:space="preserve">data/processed/forex/forex_alle_quellen_kombiniert.csv</w:t>
      </w:r>
      <w:r>
        <w:t xml:space="preserve">: Ein Long-Format, in dem jede Zeile eine Paar-Datum-Kombination ist und Spalten wie</w:t>
      </w:r>
      <w:r>
        <w:t xml:space="preserve"> </w:t>
      </w:r>
      <w:r>
        <w:rPr>
          <w:rStyle w:val="VerbatimChar"/>
        </w:rPr>
        <w:t xml:space="preserve">yahoo_close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eodhd_close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metatrader_close</w:t>
      </w:r>
      <w:r>
        <w:t xml:space="preserve"> </w:t>
      </w:r>
      <w:r>
        <w:t xml:space="preserve">nebeneinander stehen. Zusätzlich:</w:t>
      </w:r>
      <w:r>
        <w:t xml:space="preserve"> </w:t>
      </w:r>
      <w:r>
        <w:rPr>
          <w:rStyle w:val="VerbatimChar"/>
        </w:rPr>
        <w:t xml:space="preserve">weekday</w:t>
      </w:r>
      <w:r>
        <w:t xml:space="preserve">,</w:t>
      </w:r>
      <w:r>
        <w:t xml:space="preserve"> </w:t>
      </w:r>
      <w:r>
        <w:rPr>
          <w:rStyle w:val="VerbatimChar"/>
        </w:rPr>
        <w:t xml:space="preserve">is_weekend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n_sources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has_gap</w:t>
      </w:r>
      <w:r>
        <w:t xml:space="preserve"> </w:t>
      </w:r>
      <w:r>
        <w:t xml:space="preserve">für spätere Filter.</w:t>
      </w:r>
    </w:p>
    <w:p>
      <w:r>
        <w:pict>
          <v:rect style="width:0;height:1.5pt" o:hralign="center" o:hrstd="t" o:hr="t"/>
        </w:pict>
      </w:r>
    </w:p>
    <w:bookmarkEnd w:id="28"/>
    <w:bookmarkStart w:id="34" w:name="datentransformation-feature-engineering"/>
    <w:p>
      <w:pPr>
        <w:pStyle w:val="Heading2"/>
      </w:pPr>
      <w:r>
        <w:t xml:space="preserve">7. Datentransformation &amp; Feature Engineering</w:t>
      </w:r>
    </w:p>
    <w:bookmarkStart w:id="29" w:name="aggregation-auf-tagesebene-news"/>
    <w:p>
      <w:pPr>
        <w:pStyle w:val="Heading3"/>
      </w:pPr>
      <w:r>
        <w:t xml:space="preserve">7.1 Aggregation auf Tagesebene (News)</w:t>
      </w:r>
    </w:p>
    <w:p>
      <w:pPr>
        <w:pStyle w:val="Compact"/>
        <w:numPr>
          <w:ilvl w:val="0"/>
          <w:numId w:val="1013"/>
        </w:numPr>
      </w:pPr>
      <w:r>
        <w:t xml:space="preserve">Tagesbasis = erste sinnvolle gemeinsame Auflösung mit Forex-Daten.</w:t>
      </w:r>
    </w:p>
    <w:p>
      <w:pPr>
        <w:pStyle w:val="Compact"/>
        <w:numPr>
          <w:ilvl w:val="0"/>
          <w:numId w:val="1013"/>
        </w:numPr>
      </w:pPr>
      <w:r>
        <w:t xml:space="preserve">Aggregation der Polarity über alle Artikel eines Tages: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statt Mittel.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Begründung mit Slides-Bezug (W3,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slides/Folien 2.pdf</w:t>
      </w:r>
      <w:r>
        <w:rPr>
          <w:b/>
          <w:bCs/>
        </w:rPr>
        <w:t xml:space="preserve">, S. 19/25):</w:t>
      </w:r>
      <w:r>
        <w:t xml:space="preserve"> </w:t>
      </w:r>
      <w:r>
        <w:t xml:space="preserve">Die Vorlesung empfiehlt für ausreisser-anfällige Daten den</w:t>
      </w:r>
      <w:r>
        <w:t xml:space="preserve"> </w:t>
      </w:r>
      <w:r>
        <w:rPr>
          <w:rStyle w:val="VerbatimChar"/>
        </w:rPr>
        <w:t xml:space="preserve">RobustScaler</w:t>
      </w:r>
      <w:r>
        <w:t xml:space="preserve">, der genau die Kombination Median + IQR verwendet — mit der Begründung</w:t>
      </w:r>
      <w:r>
        <w:t xml:space="preserve"> </w:t>
      </w:r>
      <w:r>
        <w:t xml:space="preserve">“Ausreisser beeinflussen Median &amp; IQR kaum → robustere Skalierung”</w:t>
      </w:r>
      <w:r>
        <w:t xml:space="preserve">. Wir wenden dieselbe Logik auf die Tages-Aggregation der Polarity an: Ein einzelner Artikel mit extremer Polarity (±1.0) kann den Tagesmittelwert stark verziehen, der Median bleibt davon unbeeinflusst.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Quantitatives Bild der Verteilung:</w:t>
      </w:r>
      <w:r>
        <w:t xml:space="preserve"> </w:t>
      </w:r>
      <w:r>
        <w:t xml:space="preserve">Die Polarity-Werte sind nicht normalverteilt, sondern haben starke Konzentrationen bei 0 (TextBlob-Default für Texte ohne Lexikon-Treffer) und vereinzelte Extremwerte. Bei dieser Verteilungsform ist der Median fast immer aussagekräftiger als das Mittel.</w:t>
      </w:r>
    </w:p>
    <w:bookmarkEnd w:id="29"/>
    <w:bookmarkStart w:id="30" w:name="aggregation-auf-wochenmonatequartale"/>
    <w:p>
      <w:pPr>
        <w:pStyle w:val="Heading3"/>
      </w:pPr>
      <w:r>
        <w:t xml:space="preserve">7.2 Aggregation auf Wochen/Monate/Quartale</w:t>
      </w:r>
    </w:p>
    <w:p>
      <w:pPr>
        <w:pStyle w:val="Compact"/>
        <w:numPr>
          <w:ilvl w:val="0"/>
          <w:numId w:val="1014"/>
        </w:numPr>
      </w:pPr>
      <w:r>
        <w:t xml:space="preserve">Im Dashboard (Master Grafik 1 und 2) zur Wahl. Über</w:t>
      </w:r>
      <w:r>
        <w:t xml:space="preserve"> </w:t>
      </w:r>
      <w:r>
        <w:rPr>
          <w:rStyle w:val="VerbatimChar"/>
        </w:rPr>
        <w:t xml:space="preserve">pd.DataFrame.resample</w:t>
      </w:r>
      <w:r>
        <w:t xml:space="preserve"> </w:t>
      </w:r>
      <w:r>
        <w:t xml:space="preserve">mit konfigurierbarer Aggregationsfunktion (Mittel, Median, Letzter, Min, Max, Summe).</w:t>
      </w:r>
    </w:p>
    <w:p>
      <w:pPr>
        <w:pStyle w:val="Compact"/>
        <w:numPr>
          <w:ilvl w:val="0"/>
          <w:numId w:val="1014"/>
        </w:numPr>
      </w:pPr>
      <w:r>
        <w:t xml:space="preserve">Fehlende Tage werden</w:t>
      </w:r>
      <w:r>
        <w:t xml:space="preserve"> </w:t>
      </w:r>
      <w:r>
        <w:rPr>
          <w:b/>
          <w:bCs/>
        </w:rPr>
        <w:t xml:space="preserve">nicht vorher gefüllt</w:t>
      </w:r>
      <w:r>
        <w:t xml:space="preserve">;</w:t>
      </w:r>
      <w:r>
        <w:t xml:space="preserve"> </w:t>
      </w:r>
      <w:r>
        <w:rPr>
          <w:rStyle w:val="VerbatimChar"/>
        </w:rPr>
        <w:t xml:space="preserve">resample</w:t>
      </w:r>
      <w:r>
        <w:t xml:space="preserve"> </w:t>
      </w:r>
      <w:r>
        <w:t xml:space="preserve">ignoriert NaN automatisch.</w:t>
      </w:r>
    </w:p>
    <w:p>
      <w:pPr>
        <w:pStyle w:val="Compact"/>
        <w:numPr>
          <w:ilvl w:val="0"/>
          <w:numId w:val="1014"/>
        </w:numPr>
      </w:pPr>
      <w:r>
        <w:t xml:space="preserve">Wochen beginnen Montag (</w:t>
      </w:r>
      <w:r>
        <w:rPr>
          <w:rStyle w:val="VerbatimChar"/>
        </w:rPr>
        <w:t xml:space="preserve">W-MON</w:t>
      </w:r>
      <w:r>
        <w:t xml:space="preserve">), Monate/Quartale am Monatsanfang (</w:t>
      </w:r>
      <w:r>
        <w:rPr>
          <w:rStyle w:val="VerbatimChar"/>
        </w:rPr>
        <w:t xml:space="preserve">MS</w:t>
      </w:r>
      <w:r>
        <w:t xml:space="preserve">,</w:t>
      </w:r>
      <w:r>
        <w:t xml:space="preserve"> </w:t>
      </w:r>
      <w:r>
        <w:rPr>
          <w:rStyle w:val="VerbatimChar"/>
        </w:rPr>
        <w:t xml:space="preserve">QS</w:t>
      </w:r>
      <w:r>
        <w:t xml:space="preserve">).</w:t>
      </w:r>
    </w:p>
    <w:bookmarkEnd w:id="30"/>
    <w:bookmarkStart w:id="31" w:name="normalisierung-index100"/>
    <w:p>
      <w:pPr>
        <w:pStyle w:val="Heading3"/>
      </w:pPr>
      <w:r>
        <w:t xml:space="preserve">7.3 Normalisierung (Index=100)</w:t>
      </w:r>
    </w:p>
    <w:p>
      <w:pPr>
        <w:pStyle w:val="Compact"/>
        <w:numPr>
          <w:ilvl w:val="0"/>
          <w:numId w:val="1015"/>
        </w:numPr>
      </w:pPr>
      <w:r>
        <w:t xml:space="preserve">Dashboard-Feature, keine Rohdaten-Veränderung.</w:t>
      </w:r>
    </w:p>
    <w:p>
      <w:pPr>
        <w:pStyle w:val="Compact"/>
        <w:numPr>
          <w:ilvl w:val="0"/>
          <w:numId w:val="1015"/>
        </w:numPr>
      </w:pPr>
      <w:r>
        <w:t xml:space="preserve">Teilt jede Reihe durch ihren ersten gültigen Wert im Zeitraum und multipliziert mit 100. Dadurch werden Reihen mit sehr unterschiedlichen Skalen (Forex 1.15, Öl 80, Sentiment 0.1) optisch vergleichbar.</w:t>
      </w:r>
    </w:p>
    <w:bookmarkEnd w:id="31"/>
    <w:bookmarkStart w:id="32" w:name="forex-mittelwert-aus-yahooeodhd"/>
    <w:p>
      <w:pPr>
        <w:pStyle w:val="Heading3"/>
      </w:pPr>
      <w:r>
        <w:t xml:space="preserve">7.4 Forex-Mittelwert aus Yahoo+EODHD</w:t>
      </w:r>
    </w:p>
    <w:p>
      <w:pPr>
        <w:pStyle w:val="Compact"/>
        <w:numPr>
          <w:ilvl w:val="0"/>
          <w:numId w:val="1016"/>
        </w:numPr>
      </w:pPr>
      <w:r>
        <w:t xml:space="preserve">Im Dashboard per Dropdown wählbar („mittelwert” vs. einzelne Quelle).</w:t>
      </w:r>
    </w:p>
    <w:p>
      <w:pPr>
        <w:pStyle w:val="Compact"/>
        <w:numPr>
          <w:ilvl w:val="0"/>
          <w:numId w:val="1016"/>
        </w:numPr>
      </w:pPr>
      <w:r>
        <w:t xml:space="preserve">Mittelwert nur dort gebildet, wo</w:t>
      </w:r>
      <w:r>
        <w:t xml:space="preserve"> </w:t>
      </w:r>
      <w:r>
        <w:rPr>
          <w:b/>
          <w:bCs/>
        </w:rPr>
        <w:t xml:space="preserve">beide</w:t>
      </w:r>
      <w:r>
        <w:t xml:space="preserve"> </w:t>
      </w:r>
      <w:r>
        <w:t xml:space="preserve">Quellen Daten haben (</w:t>
      </w:r>
      <w:r>
        <w:rPr>
          <w:rStyle w:val="VerbatimChar"/>
        </w:rPr>
        <w:t xml:space="preserve">skipna=False</w:t>
      </w:r>
      <w:r>
        <w:t xml:space="preserve">), damit kein Bias durch einseitige Tage entsteht.</w:t>
      </w:r>
    </w:p>
    <w:bookmarkEnd w:id="32"/>
    <w:bookmarkStart w:id="33" w:name="metatrader-m15-daily"/>
    <w:p>
      <w:pPr>
        <w:pStyle w:val="Heading3"/>
      </w:pPr>
      <w:r>
        <w:t xml:space="preserve">7.5 MetaTrader M15 → Daily</w:t>
      </w:r>
    </w:p>
    <w:p>
      <w:pPr>
        <w:pStyle w:val="Compact"/>
        <w:numPr>
          <w:ilvl w:val="0"/>
          <w:numId w:val="1017"/>
        </w:numPr>
      </w:pPr>
      <w:r>
        <w:t xml:space="preserve">Die 15-Minuten-Bars werden im Forex-EDA-Notebook auf Tagesbasis aggregiert (</w:t>
      </w:r>
      <w:r>
        <w:rPr>
          <w:rStyle w:val="VerbatimChar"/>
        </w:rPr>
        <w:t xml:space="preserve">Open=first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High=max</w:t>
      </w:r>
      <w:r>
        <w:t xml:space="preserve">,</w:t>
      </w:r>
      <w:r>
        <w:t xml:space="preserve"> </w:t>
      </w:r>
      <w:r>
        <w:rPr>
          <w:rStyle w:val="VerbatimChar"/>
        </w:rPr>
        <w:t xml:space="preserve">Low=min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Close=last</w:t>
      </w:r>
      <w:r>
        <w:t xml:space="preserve">). Validierungscheck: Die aggregierten Werte müssen mit dem separat gelieferten MT5-Daily-Export exakt übereinstimmen (100% Match in allen OHLC-Feldern). Dient als Sanity-Check für die Aggregationslogik.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sentiment-analyse-drei-parallele-wege"/>
    <w:p>
      <w:pPr>
        <w:pStyle w:val="Heading2"/>
      </w:pPr>
      <w:r>
        <w:t xml:space="preserve">8. Sentiment-Analyse: drei parallele Wege</w:t>
      </w:r>
    </w:p>
    <w:p>
      <w:pPr>
        <w:pStyle w:val="FirstParagraph"/>
      </w:pPr>
      <w:r>
        <w:t xml:space="preserve">Wir berechnen Sentiment auf</w:t>
      </w:r>
      <w:r>
        <w:t xml:space="preserve"> </w:t>
      </w:r>
      <w:r>
        <w:rPr>
          <w:b/>
          <w:bCs/>
        </w:rPr>
        <w:t xml:space="preserve">drei unterschiedliche Arten</w:t>
      </w:r>
      <w:r>
        <w:t xml:space="preserve">, damit Methodenabhängigkeiten sichtbar werden.</w:t>
      </w:r>
    </w:p>
    <w:bookmarkStart w:id="35" w:name="eodhd-polarity-vorberechnet"/>
    <w:p>
      <w:pPr>
        <w:pStyle w:val="Heading3"/>
      </w:pPr>
      <w:r>
        <w:t xml:space="preserve">8.1 EODHD-Polarity (vorberechnet)</w:t>
      </w:r>
    </w:p>
    <w:p>
      <w:pPr>
        <w:pStyle w:val="Compact"/>
        <w:numPr>
          <w:ilvl w:val="0"/>
          <w:numId w:val="1018"/>
        </w:numPr>
      </w:pPr>
      <w:r>
        <w:t xml:space="preserve">EODHD liefert pro Nachrichtenartikel bereits eine Polarity-Zahl in</w:t>
      </w:r>
      <w:r>
        <w:t xml:space="preserve"> </w:t>
      </w:r>
      <w:r>
        <w:rPr>
          <w:rStyle w:val="VerbatimChar"/>
        </w:rPr>
        <w:t xml:space="preserve">[-1, 1]</w:t>
      </w:r>
      <w:r>
        <w:t xml:space="preserve"> </w:t>
      </w:r>
      <w:r>
        <w:t xml:space="preserve">plus separate Scores für negativ, neutral, positiv.</w:t>
      </w:r>
    </w:p>
    <w:p>
      <w:pPr>
        <w:pStyle w:val="Compact"/>
        <w:numPr>
          <w:ilvl w:val="0"/>
          <w:numId w:val="1018"/>
        </w:numPr>
      </w:pPr>
      <w:r>
        <w:t xml:space="preserve">Methode nicht öffentlich dokumentiert, wir behandeln sie als Black-Box-Quelle.</w:t>
      </w:r>
    </w:p>
    <w:p>
      <w:pPr>
        <w:pStyle w:val="Compact"/>
        <w:numPr>
          <w:ilvl w:val="0"/>
          <w:numId w:val="1018"/>
        </w:numPr>
      </w:pPr>
      <w:r>
        <w:t xml:space="preserve">Einsatz: Master Grafik 1 (saubere Methodik-Referenz).</w:t>
      </w:r>
    </w:p>
    <w:bookmarkEnd w:id="35"/>
    <w:bookmarkStart w:id="36" w:name="eigene-textblob-analyse-auf-eodhd-text"/>
    <w:p>
      <w:pPr>
        <w:pStyle w:val="Heading3"/>
      </w:pPr>
      <w:r>
        <w:t xml:space="preserve">8.2 Eigene TextBlob-Analyse auf EODHD-Text</w:t>
      </w:r>
    </w:p>
    <w:p>
      <w:pPr>
        <w:pStyle w:val="Compact"/>
        <w:numPr>
          <w:ilvl w:val="0"/>
          <w:numId w:val="1019"/>
        </w:numPr>
      </w:pPr>
      <w:r>
        <w:t xml:space="preserve">Wir nehmen</w:t>
      </w:r>
      <w:r>
        <w:t xml:space="preserve"> </w:t>
      </w:r>
      <w:r>
        <w:rPr>
          <w:b/>
          <w:bCs/>
        </w:rPr>
        <w:t xml:space="preserve">denselben</w:t>
      </w:r>
      <w:r>
        <w:t xml:space="preserve"> </w:t>
      </w:r>
      <w:r>
        <w:t xml:space="preserve">Artikeltext (Titel + Content) und lassen</w:t>
      </w:r>
      <w:r>
        <w:t xml:space="preserve"> </w:t>
      </w:r>
      <w:r>
        <w:rPr>
          <w:rStyle w:val="VerbatimChar"/>
        </w:rPr>
        <w:t xml:space="preserve">textblob.TextBlob(text).sentiment.polarity</w:t>
      </w:r>
      <w:r>
        <w:t xml:space="preserve"> </w:t>
      </w:r>
      <w:r>
        <w:t xml:space="preserve">darüber laufen.</w:t>
      </w:r>
    </w:p>
    <w:p>
      <w:pPr>
        <w:pStyle w:val="Compact"/>
        <w:numPr>
          <w:ilvl w:val="0"/>
          <w:numId w:val="1019"/>
        </w:numPr>
      </w:pPr>
      <w:r>
        <w:t xml:space="preserve">Ergebnis wird mit der EODHD-Polarity verglichen (Notebook</w:t>
      </w:r>
      <w:r>
        <w:t xml:space="preserve"> </w:t>
      </w:r>
      <w:r>
        <w:rPr>
          <w:rStyle w:val="VerbatimChar"/>
        </w:rPr>
        <w:t xml:space="preserve">sentiment_analyse_vergleich.ipynb</w:t>
      </w:r>
      <w:r>
        <w:t xml:space="preserve">, Dashboard-Seite „Sentiment-Vergleich”).</w:t>
      </w:r>
    </w:p>
    <w:p>
      <w:pPr>
        <w:pStyle w:val="Compact"/>
        <w:numPr>
          <w:ilvl w:val="0"/>
          <w:numId w:val="1019"/>
        </w:numPr>
      </w:pPr>
      <w:r>
        <w:t xml:space="preserve">Zweck: Ist die EODHD-Polarity ein mehr-oder-weniger-komplexes Modell? Wie nah kommt ein simples lexikonbasiertes Verfahren?</w:t>
      </w:r>
    </w:p>
    <w:bookmarkEnd w:id="36"/>
    <w:bookmarkStart w:id="37" w:name="X6ca6b15dd66a6dd35f394116785b24d2146c31f"/>
    <w:p>
      <w:pPr>
        <w:pStyle w:val="Heading3"/>
      </w:pPr>
      <w:r>
        <w:t xml:space="preserve">8.3 Eigene TextBlob-Analyse auf Webscraping-Text</w:t>
      </w:r>
    </w:p>
    <w:p>
      <w:pPr>
        <w:pStyle w:val="Compact"/>
        <w:numPr>
          <w:ilvl w:val="0"/>
          <w:numId w:val="1020"/>
        </w:numPr>
      </w:pPr>
      <w:r>
        <w:t xml:space="preserve">Titel + Summary der gescrapten RSS/Reddit-Artikel gehen in TextBlob.</w:t>
      </w:r>
    </w:p>
    <w:p>
      <w:pPr>
        <w:pStyle w:val="Compact"/>
        <w:numPr>
          <w:ilvl w:val="0"/>
          <w:numId w:val="1020"/>
        </w:numPr>
      </w:pPr>
      <w:r>
        <w:t xml:space="preserve">Tagesmedian über alle Artikel, gleiche Aggregationsregel wie in 7.1.</w:t>
      </w:r>
    </w:p>
    <w:p>
      <w:pPr>
        <w:pStyle w:val="Compact"/>
        <w:numPr>
          <w:ilvl w:val="0"/>
          <w:numId w:val="1020"/>
        </w:numPr>
      </w:pPr>
      <w:r>
        <w:t xml:space="preserve">Einsatz: Master Grafik 2 (Proof of Concept mit unabhängiger Nachrichtenquelle).</w:t>
      </w:r>
    </w:p>
    <w:bookmarkEnd w:id="37"/>
    <w:bookmarkStart w:id="38" w:name="methodische-hinweise-zu-textblob"/>
    <w:p>
      <w:pPr>
        <w:pStyle w:val="Heading3"/>
      </w:pPr>
      <w:r>
        <w:t xml:space="preserve">8.4 Methodische Hinweise zu TextBlob</w:t>
      </w:r>
    </w:p>
    <w:p>
      <w:pPr>
        <w:pStyle w:val="Compact"/>
        <w:numPr>
          <w:ilvl w:val="0"/>
          <w:numId w:val="1021"/>
        </w:numPr>
      </w:pPr>
      <w:r>
        <w:t xml:space="preserve">TextBlob ist</w:t>
      </w:r>
      <w:r>
        <w:t xml:space="preserve"> </w:t>
      </w:r>
      <w:r>
        <w:rPr>
          <w:b/>
          <w:bCs/>
        </w:rPr>
        <w:t xml:space="preserve">lexikonbasiert</w:t>
      </w:r>
      <w:r>
        <w:t xml:space="preserve">, vergleichsweise einfach, und liefert für</w:t>
      </w:r>
      <w:r>
        <w:t xml:space="preserve"> </w:t>
      </w:r>
      <w:r>
        <w:rPr>
          <w:b/>
          <w:bCs/>
        </w:rPr>
        <w:t xml:space="preserve">finanzspezifische</w:t>
      </w:r>
      <w:r>
        <w:t xml:space="preserve"> </w:t>
      </w:r>
      <w:r>
        <w:t xml:space="preserve">Texte regelmäßig</w:t>
      </w:r>
      <w:r>
        <w:t xml:space="preserve"> </w:t>
      </w:r>
      <w:r>
        <w:rPr>
          <w:rStyle w:val="VerbatimChar"/>
        </w:rPr>
        <w:t xml:space="preserve">polarity = 0</w:t>
      </w:r>
      <w:r>
        <w:t xml:space="preserve"> </w:t>
      </w:r>
      <w:r>
        <w:t xml:space="preserve">(ca. ein Drittel der Artikel). Das ist eine bekannte Schwäche: Finanz-Fachbegriffe sind im zugrundeliegenden Lexikon schwach vertreten.</w:t>
      </w:r>
    </w:p>
    <w:p>
      <w:pPr>
        <w:pStyle w:val="Compact"/>
        <w:numPr>
          <w:ilvl w:val="0"/>
          <w:numId w:val="1021"/>
        </w:numPr>
      </w:pPr>
      <w:r>
        <w:t xml:space="preserve">Entscheidung,</w:t>
      </w:r>
      <w:r>
        <w:t xml:space="preserve"> </w:t>
      </w:r>
      <w:r>
        <w:rPr>
          <w:b/>
          <w:bCs/>
        </w:rPr>
        <w:t xml:space="preserve">TextBlob trotzdem</w:t>
      </w:r>
      <w:r>
        <w:t xml:space="preserve"> </w:t>
      </w:r>
      <w:r>
        <w:t xml:space="preserve">einzusetzen: Transparent, nachvollziehbar, reproduzierbar. Für einen Bildungskontext wichtiger als eine (leistungsstärkere, aber intransparente) Transformer-Modell-Lösung.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er-saubere-weg-master-grafik-1"/>
    <w:p>
      <w:pPr>
        <w:pStyle w:val="Heading2"/>
      </w:pPr>
      <w:r>
        <w:t xml:space="preserve">9. Der „saubere Weg” — Master Grafik 1</w:t>
      </w:r>
    </w:p>
    <w:p>
      <w:pPr>
        <w:pStyle w:val="FirstParagraph"/>
      </w:pPr>
      <w:r>
        <w:t xml:space="preserve">Komponenten des sauberen Wegs (im Dashboard: Seite</w:t>
      </w:r>
      <w:r>
        <w:t xml:space="preserve"> </w:t>
      </w:r>
      <w:r>
        <w:rPr>
          <w:b/>
          <w:bCs/>
        </w:rPr>
        <w:t xml:space="preserve">Master Grafik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Baustein</w:t>
            </w:r>
          </w:p>
        </w:tc>
        <w:tc>
          <w:tcPr/>
          <w:p>
            <w:pPr>
              <w:pStyle w:val="Compact"/>
            </w:pPr>
            <w:r>
              <w:t xml:space="preserve">Quelle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Forex-Kurs</w:t>
            </w:r>
          </w:p>
        </w:tc>
        <w:tc>
          <w:tcPr/>
          <w:p>
            <w:pPr>
              <w:pStyle w:val="Compact"/>
            </w:pPr>
            <w:r>
              <w:t xml:space="preserve">Yahoo ∪ EODHD (Mittel oder einzeln)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News-Sentiment</w:t>
            </w:r>
          </w:p>
        </w:tc>
        <w:tc>
          <w:tcPr/>
          <w:p>
            <w:pPr>
              <w:pStyle w:val="Compact"/>
            </w:pPr>
            <w:r>
              <w:t xml:space="preserve">EODHD Polarity, Tagesmedian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Öl-Overlay</w:t>
            </w:r>
          </w:p>
        </w:tc>
        <w:tc>
          <w:tcPr/>
          <w:p>
            <w:pPr>
              <w:pStyle w:val="Compact"/>
            </w:pPr>
            <w:r>
              <w:t xml:space="preserve">Yahoo WTI und/oder Brent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Vorgehen:</w:t>
      </w:r>
    </w:p>
    <w:p>
      <w:pPr>
        <w:pStyle w:val="Compact"/>
        <w:numPr>
          <w:ilvl w:val="0"/>
          <w:numId w:val="1022"/>
        </w:numPr>
      </w:pPr>
      <w:r>
        <w:t xml:space="preserve">Forex-Rohdaten werden kombiniert (</w:t>
      </w:r>
      <w:r>
        <w:rPr>
          <w:rStyle w:val="VerbatimChar"/>
        </w:rPr>
        <w:t xml:space="preserve">forex_alle_quellen_kombiniert.csv</w:t>
      </w:r>
      <w:r>
        <w:t xml:space="preserve">) — liegt als reproduzierbarer Schritt in</w:t>
      </w:r>
      <w:r>
        <w:t xml:space="preserve"> </w:t>
      </w:r>
      <w:r>
        <w:rPr>
          <w:rStyle w:val="VerbatimChar"/>
        </w:rPr>
        <w:t xml:space="preserve">scripts/regenerate_forex_combined.py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EODHD-News werden je Paar nach kanonischem FX-Symbol (</w:t>
      </w:r>
      <w:r>
        <w:rPr>
          <w:rStyle w:val="VerbatimChar"/>
        </w:rPr>
        <w:t xml:space="preserve">EURUSD.FOREX</w:t>
      </w:r>
      <w:r>
        <w:t xml:space="preserve"> </w:t>
      </w:r>
      <w:r>
        <w:t xml:space="preserve">etc.) gefiltert, Polarity auf Tagesmedian aggregiert.</w:t>
      </w:r>
    </w:p>
    <w:p>
      <w:pPr>
        <w:pStyle w:val="Compact"/>
        <w:numPr>
          <w:ilvl w:val="0"/>
          <w:numId w:val="1022"/>
        </w:numPr>
      </w:pPr>
      <w:r>
        <w:t xml:space="preserve">Dashboard plottet frei kombinierbar mit separaten Y-Achsen je Kategorie (Forex / Öl / Sentiment).</w:t>
      </w:r>
    </w:p>
    <w:p>
      <w:pPr>
        <w:pStyle w:val="FirstParagraph"/>
      </w:pPr>
      <w:r>
        <w:rPr>
          <w:b/>
          <w:bCs/>
        </w:rPr>
        <w:t xml:space="preserve">Stärke:</w:t>
      </w:r>
      <w:r>
        <w:t xml:space="preserve"> </w:t>
      </w:r>
      <w:r>
        <w:t xml:space="preserve">Saubere, lange Zeitreihe mit guter Artikelabdeckung für EUR/USD und GBP/USD.</w:t>
      </w:r>
      <w:r>
        <w:t xml:space="preserve"> </w:t>
      </w:r>
      <w:r>
        <w:rPr>
          <w:b/>
          <w:bCs/>
        </w:rPr>
        <w:t xml:space="preserve">Schwäche:</w:t>
      </w:r>
      <w:r>
        <w:t xml:space="preserve"> </w:t>
      </w:r>
      <w:r>
        <w:t xml:space="preserve">Ein-Quellen-Abhängigkeit beim Sentiment (nur EODHD). Die EODHD-Polarity ist ein Black Box.</w:t>
      </w:r>
    </w:p>
    <w:p>
      <w:r>
        <w:pict>
          <v:rect style="width:0;height:1.5pt" o:hralign="center" o:hrstd="t" o:hr="t"/>
        </w:pict>
      </w:r>
    </w:p>
    <w:bookmarkEnd w:id="40"/>
    <w:bookmarkStart w:id="41" w:name="der-proof-of-concept-master-grafik-2"/>
    <w:p>
      <w:pPr>
        <w:pStyle w:val="Heading2"/>
      </w:pPr>
      <w:r>
        <w:t xml:space="preserve">10. Der „Proof of Concept” — Master Grafik 2</w:t>
      </w:r>
    </w:p>
    <w:p>
      <w:pPr>
        <w:pStyle w:val="FirstParagraph"/>
      </w:pPr>
      <w:r>
        <w:t xml:space="preserve">Exakt dieselbe Visualisierung wie Master Grafik 1, aber: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Baustein</w:t>
            </w:r>
          </w:p>
        </w:tc>
        <w:tc>
          <w:tcPr/>
          <w:p>
            <w:pPr>
              <w:pStyle w:val="Compact"/>
            </w:pPr>
            <w:r>
              <w:t xml:space="preserve">Sauberer Weg</w:t>
            </w:r>
          </w:p>
        </w:tc>
        <w:tc>
          <w:tcPr/>
          <w:p>
            <w:pPr>
              <w:pStyle w:val="Compact"/>
            </w:pPr>
            <w:r>
              <w:t xml:space="preserve">PoC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Forex</w:t>
            </w:r>
          </w:p>
        </w:tc>
        <w:tc>
          <w:tcPr/>
          <w:p>
            <w:pPr>
              <w:pStyle w:val="Compact"/>
            </w:pPr>
            <w:r>
              <w:t xml:space="preserve">Yahoo + EODHD</w:t>
            </w:r>
          </w:p>
        </w:tc>
        <w:tc>
          <w:tcPr/>
          <w:p>
            <w:pPr>
              <w:pStyle w:val="Compact"/>
            </w:pPr>
            <w:r>
              <w:t xml:space="preserve">Yahoo + EODHD (identisch)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Öl</w:t>
            </w:r>
          </w:p>
        </w:tc>
        <w:tc>
          <w:tcPr/>
          <w:p>
            <w:pPr>
              <w:pStyle w:val="Compact"/>
            </w:pPr>
            <w:r>
              <w:t xml:space="preserve">Yahoo</w:t>
            </w:r>
          </w:p>
        </w:tc>
        <w:tc>
          <w:tcPr/>
          <w:p>
            <w:pPr>
              <w:pStyle w:val="Compact"/>
            </w:pPr>
            <w:r>
              <w:t xml:space="preserve">Yahoo (identisch)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EODHD Polarity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TextBlob auf Webscraping-Text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Warum der PoC existiert:</w:t>
      </w:r>
      <w:r>
        <w:t xml:space="preserve"> </w:t>
      </w:r>
      <w:r>
        <w:t xml:space="preserve">Falls der im sauberen Weg gefundene Zusammenhang nur durch die spezifische EODHD-Sentiment-Methode entsteht, wäre die Schlussfolgerung wacklig. Wenn derselbe Zusammenhang auch mit einem anderen Text-Korpus und einer anderen Sentiment-Methode sichtbar ist → robuster.</w:t>
      </w:r>
    </w:p>
    <w:p>
      <w:pPr>
        <w:pStyle w:val="BodyText"/>
      </w:pPr>
      <w:r>
        <w:rPr>
          <w:b/>
          <w:bCs/>
        </w:rPr>
        <w:t xml:space="preserve">Einschränkungen des PoC:</w:t>
      </w:r>
    </w:p>
    <w:p>
      <w:pPr>
        <w:pStyle w:val="Compact"/>
        <w:numPr>
          <w:ilvl w:val="0"/>
          <w:numId w:val="1023"/>
        </w:numPr>
      </w:pPr>
      <w:r>
        <w:t xml:space="preserve">Webscraping-Feeds liefern nur die aktuell im Feed sichtbaren Artikel. Historische Abdeckung ist durch die Scrape-Zeitpunkte begrenzt. In unserem Fall reichen die kombinierten Scrapes aber bis</w:t>
      </w:r>
      <w:r>
        <w:t xml:space="preserve"> </w:t>
      </w:r>
      <w:r>
        <w:rPr>
          <w:b/>
          <w:bCs/>
        </w:rPr>
        <w:t xml:space="preserve">September 2024</w:t>
      </w:r>
      <w:r>
        <w:t xml:space="preserve"> </w:t>
      </w:r>
      <w:r>
        <w:t xml:space="preserve">zurück, weil RSS-Feeds oft mehrere hundert Artikel zurückhalten.</w:t>
      </w:r>
    </w:p>
    <w:p>
      <w:pPr>
        <w:pStyle w:val="Compact"/>
        <w:numPr>
          <w:ilvl w:val="0"/>
          <w:numId w:val="1023"/>
        </w:numPr>
      </w:pPr>
      <w:r>
        <w:t xml:space="preserve">Mischung aus Nachrichten (RSS) und Meinungsbeiträgen (Reddit) beeinflusst die Polarity-Verteilung.</w:t>
      </w:r>
    </w:p>
    <w:p>
      <w:pPr>
        <w:pStyle w:val="Compact"/>
        <w:numPr>
          <w:ilvl w:val="0"/>
          <w:numId w:val="1023"/>
        </w:numPr>
      </w:pPr>
      <w:r>
        <w:t xml:space="preserve">TextBlob liefert häufig Null-Werte (neutral) bei finanzspezifischem Vokabular.</w:t>
      </w:r>
    </w:p>
    <w:p>
      <w:pPr>
        <w:pStyle w:val="FirstParagraph"/>
      </w:pPr>
      <w:r>
        <w:rPr>
          <w:b/>
          <w:bCs/>
        </w:rPr>
        <w:t xml:space="preserve">Ausführbare Pipeline:</w:t>
      </w:r>
      <w:r>
        <w:t xml:space="preserve"> </w:t>
      </w:r>
      <w:r>
        <w:rPr>
          <w:rStyle w:val="VerbatimChar"/>
        </w:rPr>
        <w:t xml:space="preserve">scripts/regenerate_webscraping_sentiment.py</w:t>
      </w:r>
    </w:p>
    <w:p>
      <w:r>
        <w:pict>
          <v:rect style="width:0;height:1.5pt" o:hralign="center" o:hrstd="t" o:hr="t"/>
        </w:pict>
      </w:r>
    </w:p>
    <w:bookmarkEnd w:id="41"/>
    <w:bookmarkStart w:id="43" w:name="dashboard"/>
    <w:p>
      <w:pPr>
        <w:pStyle w:val="Heading2"/>
      </w:pPr>
      <w:r>
        <w:t xml:space="preserve">11. Dashboard</w:t>
      </w:r>
    </w:p>
    <w:p>
      <w:pPr>
        <w:pStyle w:val="FirstParagraph"/>
      </w:pPr>
      <w:r>
        <w:t xml:space="preserve">Streamlit-App (</w:t>
      </w:r>
      <w:r>
        <w:rPr>
          <w:rStyle w:val="VerbatimChar"/>
        </w:rPr>
        <w:t xml:space="preserve">dashboard.py</w:t>
      </w:r>
      <w:r>
        <w:t xml:space="preserve">). Aktuelle Seiten: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Seite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Übersicht</w:t>
            </w:r>
          </w:p>
        </w:tc>
        <w:tc>
          <w:tcPr/>
          <w:p>
            <w:pPr>
              <w:pStyle w:val="Compact"/>
            </w:pPr>
            <w:r>
              <w:t xml:space="preserve">Projekt-Kennzahlen, Quellenanzahl, Datenpunkte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Quellenvergleich</w:t>
            </w:r>
          </w:p>
        </w:tc>
        <w:tc>
          <w:tcPr/>
          <w:p>
            <w:pPr>
              <w:pStyle w:val="Compact"/>
            </w:pPr>
            <w:r>
              <w:t xml:space="preserve">Yahoo vs. EODHD vs. MT5 (wo verfügbar) — Kursverläufe direkt überlagert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Lückenanalyse</w:t>
            </w:r>
          </w:p>
        </w:tc>
        <w:tc>
          <w:tcPr/>
          <w:p>
            <w:pPr>
              <w:pStyle w:val="Compact"/>
            </w:pPr>
            <w:r>
              <w:t xml:space="preserve">Welche Tage fehlen bei welcher Quelle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Preisabweichungen</w:t>
            </w:r>
          </w:p>
        </w:tc>
        <w:tc>
          <w:tcPr/>
          <w:p>
            <w:pPr>
              <w:pStyle w:val="Compact"/>
            </w:pPr>
            <w:r>
              <w:t xml:space="preserve">Spread zwischen den Quellen über Zeit; hilft bei Entscheidung, welche Quelle zu bevorzugen 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Ölpreise</w:t>
            </w:r>
          </w:p>
        </w:tc>
        <w:tc>
          <w:tcPr/>
          <w:p>
            <w:pPr>
              <w:pStyle w:val="Compact"/>
            </w:pPr>
            <w:r>
              <w:t xml:space="preserve">WTI + Brent mit Return-Statistiken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Nachrichten</w:t>
            </w:r>
          </w:p>
        </w:tc>
        <w:tc>
          <w:tcPr/>
          <w:p>
            <w:pPr>
              <w:pStyle w:val="Compact"/>
            </w:pPr>
            <w:r>
              <w:t xml:space="preserve">Artikel-Browser über EODHD-News, inkl. Sentiment-Verteilung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Sentiment-Vergleich</w:t>
            </w:r>
          </w:p>
        </w:tc>
        <w:tc>
          <w:tcPr/>
          <w:p>
            <w:pPr>
              <w:pStyle w:val="Compact"/>
            </w:pPr>
            <w:r>
              <w:t xml:space="preserve">Scatter EODHD-Polarity vs. TextBlob auf denselben Artikel — zeigt Methodenunterschiede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Eigene Grafik</w:t>
            </w:r>
          </w:p>
        </w:tc>
        <w:tc>
          <w:tcPr/>
          <w:p>
            <w:pPr>
              <w:pStyle w:val="Compact"/>
            </w:pPr>
            <w:r>
              <w:t xml:space="preserve">Freie Ad-hoc-Visualisierung über die kombinierten Forex-Daten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Grafik</w:t>
            </w:r>
          </w:p>
        </w:tc>
        <w:tc>
          <w:tcPr/>
          <w:p>
            <w:pPr>
              <w:pStyle w:val="Compact"/>
            </w:pPr>
            <w:r>
              <w:t xml:space="preserve">Sauberer Weg (Abschnitt 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 Grafik 2</w:t>
            </w:r>
          </w:p>
        </w:tc>
        <w:tc>
          <w:tcPr/>
          <w:p>
            <w:pPr>
              <w:pStyle w:val="Compact"/>
            </w:pPr>
            <w:r>
              <w:t xml:space="preserve">Proof of Concept (Abschnitt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Pipeline-Diagramm des Projekts (Rohdaten → Processing → Dashboard) als Graphviz-Visualisierung inkl. Erläuterung der Schichten</w:t>
            </w:r>
          </w:p>
        </w:tc>
      </w:tr>
    </w:tbl>
    <w:p>
      <w:pPr>
        <w:pStyle w:val="BodyText"/>
      </w:pPr>
      <w:r>
        <w:t xml:space="preserve">Caching über</w:t>
      </w:r>
      <w:r>
        <w:t xml:space="preserve"> </w:t>
      </w:r>
      <w:r>
        <w:rPr>
          <w:rStyle w:val="VerbatimChar"/>
        </w:rPr>
        <w:t xml:space="preserve">@st.cache_data</w:t>
      </w:r>
      <w:r>
        <w:t xml:space="preserve">, damit wiederholte Navigation flüssig bleibt.</w:t>
      </w:r>
    </w:p>
    <w:bookmarkStart w:id="42" w:name="Xda4afe0599eb76e24be97653a25d53e00ccdbc2"/>
    <w:p>
      <w:pPr>
        <w:pStyle w:val="Heading3"/>
      </w:pPr>
      <w:r>
        <w:t xml:space="preserve">11.1 Visualisierungs-Entscheidungen mit Slide-Bezug</w:t>
      </w:r>
    </w:p>
    <w:p>
      <w:pPr>
        <w:pStyle w:val="FirstParagraph"/>
      </w:pPr>
      <w:r>
        <w:t xml:space="preserve">Die Plot-Wahl folgt der Vorlesung W8 (</w:t>
      </w:r>
      <w:r>
        <w:rPr>
          <w:rStyle w:val="VerbatimChar"/>
        </w:rPr>
        <w:t xml:space="preserve">slides/Folien 2 2.pdf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Entscheidung</w:t>
            </w:r>
          </w:p>
        </w:tc>
        <w:tc>
          <w:tcPr/>
          <w:p>
            <w:pPr>
              <w:pStyle w:val="Compact"/>
            </w:pPr>
            <w:r>
              <w:t xml:space="preserve">Slide-Quelle</w:t>
            </w:r>
          </w:p>
        </w:tc>
        <w:tc>
          <w:tcPr/>
          <w:p>
            <w:pPr>
              <w:pStyle w:val="Compac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Linien- statt Bar-Charts für Zeitreihen</w:t>
            </w:r>
          </w:p>
        </w:tc>
        <w:tc>
          <w:tcPr/>
          <w:p>
            <w:pPr>
              <w:pStyle w:val="Compact"/>
            </w:pPr>
            <w:r>
              <w:t xml:space="preserve">W8, S. 6</w:t>
            </w:r>
          </w:p>
        </w:tc>
        <w:tc>
          <w:tcPr/>
          <w:p>
            <w:pPr>
              <w:pStyle w:val="Compact"/>
            </w:pPr>
            <w:r>
              <w:t xml:space="preserve">Wahrnehmungs-Ranking: Position auf gemeinsamer Skala ist die effizienteste visuelle Codierung für quantitative Daten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Vollständige Y-Achse (kein Zoomen auf engen Bereich)</w:t>
            </w:r>
          </w:p>
        </w:tc>
        <w:tc>
          <w:tcPr/>
          <w:p>
            <w:pPr>
              <w:pStyle w:val="Compact"/>
            </w:pPr>
            <w:r>
              <w:t xml:space="preserve">W8, S. 9–14</w:t>
            </w:r>
          </w:p>
        </w:tc>
        <w:tc>
          <w:tcPr/>
          <w:p>
            <w:pPr>
              <w:pStyle w:val="Compact"/>
            </w:pPr>
            <w:r>
              <w:t xml:space="preserve">Anti-Pattern abgeschnittener Achsen (</w:t>
            </w:r>
            <w:r>
              <w:t xml:space="preserve">“Fox-News-Beispiel”</w:t>
            </w:r>
            <w:r>
              <w:t xml:space="preserve">) — gleiche Daten können je nach Achsenwahl Trends suggerieren oder verbergen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2D, nicht 3D</w:t>
            </w:r>
          </w:p>
        </w:tc>
        <w:tc>
          <w:tcPr/>
          <w:p>
            <w:pPr>
              <w:pStyle w:val="Compact"/>
            </w:pPr>
            <w:r>
              <w:t xml:space="preserve">W8, S. 16–18</w:t>
            </w:r>
          </w:p>
        </w:tc>
        <w:tc>
          <w:tcPr/>
          <w:p>
            <w:pPr>
              <w:pStyle w:val="Compact"/>
            </w:pPr>
            <w:r>
              <w:t xml:space="preserve">“3D-Pie-Charts verzerren Verhältnisse durch Perspektive”</w:t>
            </w:r>
            <w:r>
              <w:t xml:space="preserve"> </w:t>
            </w:r>
            <w:r>
              <w:t xml:space="preserve">— Heatmaps und Linien sind besser lesbar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Viridis statt Jet bei sequenziellen Skalen</w:t>
            </w:r>
          </w:p>
        </w:tc>
        <w:tc>
          <w:tcPr/>
          <w:p>
            <w:pPr>
              <w:pStyle w:val="Compact"/>
            </w:pPr>
            <w:r>
              <w:t xml:space="preserve">W8, S. 24</w:t>
            </w:r>
          </w:p>
        </w:tc>
        <w:tc>
          <w:tcPr/>
          <w:p>
            <w:pPr>
              <w:pStyle w:val="Compact"/>
            </w:pPr>
            <w:r>
              <w:t xml:space="preserve">“Jet — nicht gleichmässig wahrnehmbar; Viridis — gleichmässig wahrnehmbar (perceptually uniform)”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Divergierende Farbpalette für Sentiment</w:t>
            </w:r>
          </w:p>
        </w:tc>
        <w:tc>
          <w:tcPr/>
          <w:p>
            <w:pPr>
              <w:pStyle w:val="Compact"/>
            </w:pPr>
            <w:r>
              <w:t xml:space="preserve">W8, S. 29</w:t>
            </w:r>
          </w:p>
        </w:tc>
        <w:tc>
          <w:tcPr/>
          <w:p>
            <w:pPr>
              <w:pStyle w:val="Compact"/>
            </w:pPr>
            <w:r>
              <w:t xml:space="preserve">Sentiment hat einen natürlichen Mittelpunkt bei 0 — divergierende Skalen heben Vorzeichen heraus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Tableau-Standardpalette für kategoriale Quellenunterscheidung</w:t>
            </w:r>
          </w:p>
        </w:tc>
        <w:tc>
          <w:tcPr/>
          <w:p>
            <w:pPr>
              <w:pStyle w:val="Compact"/>
            </w:pPr>
            <w:r>
              <w:t xml:space="preserve">W8 + Claude</w:t>
            </w:r>
          </w:p>
        </w:tc>
        <w:tc>
          <w:tcPr/>
          <w:p>
            <w:pPr>
              <w:pStyle w:val="Compact"/>
            </w:pPr>
            <w:r>
              <w:t xml:space="preserve">Yahoo / EODHD / MetaTrader sind kategorial, kein Ordinalverhältnis → kontrastreiche Standardfarben statt Verlauf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Mehrachsen-Layout je Kategorie</w:t>
            </w:r>
            <w:r>
              <w:t xml:space="preserve"> </w:t>
            </w:r>
            <w:r>
              <w:t xml:space="preserve">(Forex / Öl / Sentiment)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Drei Reihen mit unterschiedlichen Skalen sollten getrennte Y-Achsen haben, sonst dominiert die Reihe mit grösster Varianz die Optik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Rasterlinien transparent (</w:t>
            </w:r>
            <w:r>
              <w:rPr>
                <w:rStyle w:val="VerbatimChar"/>
                <w:b/>
                <w:bCs/>
              </w:rPr>
              <w:t xml:space="preserve">alpha=0.3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W8, S. 34</w:t>
            </w:r>
          </w:p>
        </w:tc>
        <w:tc>
          <w:tcPr/>
          <w:p>
            <w:pPr>
              <w:pStyle w:val="Compact"/>
            </w:pPr>
            <w:r>
              <w:t xml:space="preserve">“Transparenz im Bereich 15%–45% am wirkungsvollsten”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Farbenblind-Verträglichkeit</w:t>
            </w:r>
          </w:p>
        </w:tc>
        <w:tc>
          <w:tcPr/>
          <w:p>
            <w:pPr>
              <w:pStyle w:val="Compact"/>
            </w:pPr>
            <w:r>
              <w:t xml:space="preserve">W8, S. 21</w:t>
            </w:r>
          </w:p>
        </w:tc>
        <w:tc>
          <w:tcPr/>
          <w:p>
            <w:pPr>
              <w:pStyle w:val="Compact"/>
            </w:pPr>
            <w:r>
              <w:t xml:space="preserve">“Ca. 8% der Männer hat eine Rot-Grün-Schwäche”</w:t>
            </w:r>
            <w:r>
              <w:t xml:space="preserve"> </w:t>
            </w:r>
            <w:r>
              <w:t xml:space="preserve">— Tableau-Defaults und Viridis sind beide CB-tauglich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9" w:name="analyse-resultate-leadlag"/>
    <w:p>
      <w:pPr>
        <w:pStyle w:val="Heading2"/>
      </w:pPr>
      <w:r>
        <w:t xml:space="preserve">12. Analyse-Resultate: Lead/Lag</w:t>
      </w:r>
    </w:p>
    <w:p>
      <w:pPr>
        <w:pStyle w:val="FirstParagraph"/>
      </w:pPr>
      <w:r>
        <w:t xml:space="preserve">Die Hypothese aus Abschnitt 1 wird im Notebook</w:t>
      </w:r>
      <w:r>
        <w:t xml:space="preserve"> </w:t>
      </w:r>
      <w:r>
        <w:rPr>
          <w:rStyle w:val="VerbatimChar"/>
        </w:rPr>
        <w:t xml:space="preserve">notebooks/datenverarbeitung/sentiment_kurs_lead_lag_analyse.ipynb</w:t>
      </w:r>
      <w:r>
        <w:t xml:space="preserve"> </w:t>
      </w:r>
      <w:r>
        <w:t xml:space="preserve">operationalisiert: Cross-Korrelation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ρ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sentiment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return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für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]</m:t>
        </m:r>
      </m:oMath>
      <w:r>
        <w:t xml:space="preserve"> </w:t>
      </w:r>
      <w:r>
        <w:t xml:space="preserve">Handelstage, parallel auf saubererm und Dirty-Pfad, jeweils mit und ohne Forex-Interpolation.</w:t>
      </w:r>
    </w:p>
    <w:p>
      <w:pPr>
        <w:pStyle w:val="BodyText"/>
      </w:pPr>
      <w:r>
        <w:rPr>
          <w:b/>
          <w:bCs/>
        </w:rPr>
        <w:t xml:space="preserve">Methodik kurz</w:t>
      </w:r>
      <w:r>
        <w:t xml:space="preserve"> </w:t>
      </w:r>
      <w:r>
        <w:t xml:space="preserve">(vollständig im Notebook): Forex wird als Mittelwert der verfügbaren Quellen pro Tag genommen, daraus Log-Returns; Sentiment ist der Tagesmedian der Polarity. Konfidenzband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  <m:r>
          <m:rPr>
            <m:sty m:val="p"/>
          </m:rPr>
          <m:t>.</m:t>
        </m:r>
        <m:r>
          <m:t>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unter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t>​</m:t>
        </m:r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Pearson-Approximation, ohne Multiple-Testing-Korrektur. Bei 21 getesteten Lags würde Bonferroni das Band auf etwa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r>
          <m:rPr>
            <m:sty m:val="p"/>
          </m:rPr>
          <m:t>.</m:t>
        </m:r>
        <m:r>
          <m:t>80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aufweiten.</w:t>
      </w:r>
    </w:p>
    <w:bookmarkStart w:id="44" w:name="resultate-tabelle"/>
    <w:p>
      <w:pPr>
        <w:pStyle w:val="Heading3"/>
      </w:pPr>
      <w:r>
        <w:t xml:space="preserve">12.1 Resultate-Tabelle</w:t>
      </w:r>
    </w:p>
    <w:p>
      <w:pPr>
        <w:pStyle w:val="FirstParagraph"/>
      </w:pPr>
      <w:r>
        <w:t xml:space="preserve">Reproduzierbar via</w:t>
      </w:r>
      <w:r>
        <w:t xml:space="preserve"> </w:t>
      </w:r>
      <w:r>
        <w:rPr>
          <w:rStyle w:val="VerbatimChar"/>
        </w:rPr>
        <w:t xml:space="preserve">data/processed/news/lead_lag_results.csv</w:t>
      </w:r>
      <w:r>
        <w:t xml:space="preserve"> </w:t>
      </w:r>
      <w:r>
        <w:t xml:space="preserve">(vom Notebook erzeugt).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819"/>
        <w:gridCol w:w="819"/>
        <w:gridCol w:w="1092"/>
        <w:gridCol w:w="1092"/>
        <w:gridCol w:w="1092"/>
        <w:gridCol w:w="1092"/>
        <w:gridCol w:w="1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Paar</w:t>
            </w:r>
          </w:p>
        </w:tc>
        <w:tc>
          <w:tcPr/>
          <w:p>
            <w:pPr>
              <w:pStyle w:val="Compact"/>
            </w:pPr>
            <w:r>
              <w:t xml:space="preserve">Weg</w:t>
            </w:r>
          </w:p>
        </w:tc>
        <w:tc>
          <w:tcPr/>
          <w:p>
            <w:pPr>
              <w:pStyle w:val="Compact"/>
            </w:pPr>
            <w:r>
              <w:t xml:space="preserve">Interp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best 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 am best 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 bei k=0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±band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EUR/USD</w:t>
            </w:r>
          </w:p>
        </w:tc>
        <w:tc>
          <w:tcPr/>
          <w:p>
            <w:pPr>
              <w:pStyle w:val="Compact"/>
            </w:pPr>
            <w:r>
              <w:t xml:space="preserve">clean (EODHD)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EUR/USD</w:t>
            </w:r>
          </w:p>
        </w:tc>
        <w:tc>
          <w:tcPr/>
          <w:p>
            <w:pPr>
              <w:pStyle w:val="Compact"/>
            </w:pPr>
            <w:r>
              <w:t xml:space="preserve">clean (EODHD)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GBP/USD</w:t>
            </w:r>
          </w:p>
        </w:tc>
        <w:tc>
          <w:tcPr/>
          <w:p>
            <w:pPr>
              <w:pStyle w:val="Compact"/>
            </w:pPr>
            <w:r>
              <w:t xml:space="preserve">clean (EODHD)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GBP/USD</w:t>
            </w:r>
          </w:p>
        </w:tc>
        <w:tc>
          <w:tcPr/>
          <w:p>
            <w:pPr>
              <w:pStyle w:val="Compact"/>
            </w:pPr>
            <w:r>
              <w:t xml:space="preserve">clean (EODHD)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EUR/CHF</w:t>
            </w:r>
          </w:p>
        </w:tc>
        <w:tc>
          <w:tcPr/>
          <w:p>
            <w:pPr>
              <w:pStyle w:val="Compact"/>
            </w:pPr>
            <w:r>
              <w:t xml:space="preserve">clean (EODHD)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±0.74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EUR/CHF</w:t>
            </w:r>
          </w:p>
        </w:tc>
        <w:tc>
          <w:tcPr/>
          <w:p>
            <w:pPr>
              <w:pStyle w:val="Compact"/>
            </w:pPr>
            <w:r>
              <w:t xml:space="preserve">clean (EODHD)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±0.62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EUR/USD</w:t>
            </w:r>
          </w:p>
        </w:tc>
        <w:tc>
          <w:tcPr/>
          <w:p>
            <w:pPr>
              <w:pStyle w:val="Compact"/>
            </w:pPr>
            <w:r>
              <w:t xml:space="preserve">dirty (Webscraping)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EUR/USD</w:t>
            </w:r>
          </w:p>
        </w:tc>
        <w:tc>
          <w:tcPr/>
          <w:p>
            <w:pPr>
              <w:pStyle w:val="Compact"/>
            </w:pPr>
            <w:r>
              <w:t xml:space="preserve">dirty (Webscraping)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GBP/USD</w:t>
            </w:r>
          </w:p>
        </w:tc>
        <w:tc>
          <w:tcPr/>
          <w:p>
            <w:pPr>
              <w:pStyle w:val="Compact"/>
            </w:pPr>
            <w:r>
              <w:t xml:space="preserve">dirty (Webscraping)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GBP/USD</w:t>
            </w:r>
          </w:p>
        </w:tc>
        <w:tc>
          <w:tcPr/>
          <w:p>
            <w:pPr>
              <w:pStyle w:val="Compact"/>
            </w:pPr>
            <w:r>
              <w:t xml:space="preserve">dirty (Webscraping)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±0.17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EUR/CHF</w:t>
            </w:r>
          </w:p>
        </w:tc>
        <w:tc>
          <w:tcPr/>
          <w:p>
            <w:pPr>
              <w:pStyle w:val="Compact"/>
            </w:pPr>
            <w:r>
              <w:t xml:space="preserve">dirty (Webscraping)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±0.21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EUR/CHF</w:t>
            </w:r>
          </w:p>
        </w:tc>
        <w:tc>
          <w:tcPr/>
          <w:p>
            <w:pPr>
              <w:pStyle w:val="Compact"/>
            </w:pPr>
            <w:r>
              <w:t xml:space="preserve">dirty (Webscraping)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±0.17</w:t>
            </w:r>
          </w:p>
        </w:tc>
      </w:tr>
    </w:tbl>
    <w:bookmarkEnd w:id="44"/>
    <w:bookmarkStart w:id="45" w:name="beantwortung-der-hypothese"/>
    <w:p>
      <w:pPr>
        <w:pStyle w:val="Heading3"/>
      </w:pPr>
      <w:r>
        <w:t xml:space="preserve">12.2 Beantwortung der Hypothese</w:t>
      </w:r>
    </w:p>
    <w:p>
      <w:pPr>
        <w:pStyle w:val="FirstParagraph"/>
      </w:pPr>
      <w:r>
        <w:rPr>
          <w:b/>
          <w:bCs/>
        </w:rPr>
        <w:t xml:space="preserve">Sauberer Weg, EUR/USD und GBP/USD:</w:t>
      </w:r>
      <w:r>
        <w:t xml:space="preserve"> </w:t>
      </w:r>
      <w:r>
        <w:t xml:space="preserve">Das Maximum der Cross-Korrelation liegt eindeutig bei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mit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rPr>
            <m:sty m:val="p"/>
          </m:rPr>
          <m:t>+</m:t>
        </m:r>
        <m:r>
          <m:t>0.20</m:t>
        </m:r>
      </m:oMath>
      <w:r>
        <w:t xml:space="preserve"> </w:t>
      </w:r>
      <w:r>
        <w:t xml:space="preserve">bis</w:t>
      </w:r>
      <w:r>
        <w:t xml:space="preserve"> </w:t>
      </w:r>
      <m:oMath>
        <m:r>
          <m:rPr>
            <m:sty m:val="p"/>
          </m:rPr>
          <m:t>+</m:t>
        </m:r>
        <m:r>
          <m:t>0.24</m:t>
        </m:r>
      </m:oMath>
      <w:r>
        <w:t xml:space="preserve">. Bei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1000</m:t>
        </m:r>
      </m:oMath>
      <w:r>
        <w:t xml:space="preserve"> </w:t>
      </w:r>
      <w:r>
        <w:t xml:space="preserve">ist das Konfidenzband</w:t>
      </w:r>
      <w:r>
        <w:t xml:space="preserve"> </w:t>
      </w:r>
      <m:oMath>
        <m:r>
          <m:rPr>
            <m:sty m:val="p"/>
          </m:rPr>
          <m:t>±</m:t>
        </m:r>
        <m:r>
          <m:t>0</m:t>
        </m:r>
        <m:r>
          <m:rPr>
            <m:sty m:val="p"/>
          </m:rPr>
          <m:t>.</m:t>
        </m:r>
        <m:r>
          <m:t>06</m:t>
        </m:r>
      </m:oMath>
      <w:r>
        <w:t xml:space="preserve"> </w:t>
      </w:r>
      <w:r>
        <w:t xml:space="preserve">— die Korrelation ist hochsignifikant,</w:t>
      </w:r>
      <w:r>
        <w:t xml:space="preserve"> </w:t>
      </w:r>
      <w:r>
        <w:rPr>
          <w:b/>
          <w:bCs/>
        </w:rPr>
        <w:t xml:space="preserve">aber sie ist gleichzeitig</w:t>
      </w:r>
      <w:r>
        <w:t xml:space="preserve">. Bei</w:t>
      </w:r>
      <w:r>
        <w:t xml:space="preserve"> </w:t>
      </w:r>
      <m:oMath>
        <m:r>
          <m:rPr>
            <m:sty m:val="p"/>
          </m:rPr>
          <m:t>|</m:t>
        </m:r>
        <m:r>
          <m:t>k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fällt</w:t>
      </w:r>
      <w:r>
        <w:t xml:space="preserve"> 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</m:oMath>
      <w:r>
        <w:t xml:space="preserve"> </w:t>
      </w:r>
      <w:r>
        <w:t xml:space="preserve">deutlich unter das Konfidenzband.</w:t>
      </w:r>
    </w:p>
    <w:p>
      <w:pPr>
        <w:pStyle w:val="BodyText"/>
      </w:pPr>
      <w:r>
        <w:rPr>
          <w:b/>
          <w:bCs/>
        </w:rPr>
        <w:t xml:space="preserve">Aussage:</w:t>
      </w:r>
      <w:r>
        <w:t xml:space="preserve"> </w:t>
      </w:r>
      <w:r>
        <w:rPr>
          <w:b/>
          <w:bCs/>
        </w:rPr>
        <w:t xml:space="preserve">H1 (Sentiment führt Kurs) wird nicht gestützt.</w:t>
      </w:r>
      <w:r>
        <w:t xml:space="preserve"> </w:t>
      </w:r>
      <w:r>
        <w:t xml:space="preserve">Das Ergebnis ist konsistent mit</w:t>
      </w:r>
      <w:r>
        <w:t xml:space="preserve"> </w:t>
      </w:r>
      <w:r>
        <w:rPr>
          <w:b/>
          <w:bCs/>
        </w:rPr>
        <w:t xml:space="preserve">A1 (gleichzeitige Bewegung)</w:t>
      </w:r>
      <w:r>
        <w:t xml:space="preserve">: Sentiment und Kurs reagieren auf dieselben Marktinformationen, ohne dass eine Reihe der anderen vorausläuft. Sentiment ist hier</w:t>
      </w:r>
      <w:r>
        <w:t xml:space="preserve"> </w:t>
      </w:r>
      <w:r>
        <w:rPr>
          <w:b/>
          <w:bCs/>
        </w:rPr>
        <w:t xml:space="preserve">Begleitinformation</w:t>
      </w:r>
      <w:r>
        <w:t xml:space="preserve">, kein Prognoseinstrument.</w:t>
      </w:r>
    </w:p>
    <w:p>
      <w:pPr>
        <w:pStyle w:val="BodyText"/>
      </w:pPr>
      <w:r>
        <w:rPr>
          <w:b/>
          <w:bCs/>
        </w:rPr>
        <w:t xml:space="preserve">Dirty Weg, EUR/USD und GBP/USD:</w:t>
      </w:r>
      <w:r>
        <w:t xml:space="preserve"> </w:t>
      </w:r>
      <w:r>
        <w:t xml:space="preserve">Das Maximum verschiebt sich auf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mit</w:t>
      </w:r>
      <w:r>
        <w:t xml:space="preserve"> </w:t>
      </w:r>
      <m:oMath>
        <m:r>
          <m:t>r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0.27</m:t>
        </m:r>
      </m:oMath>
      <w:r>
        <w:t xml:space="preserve"> </w:t>
      </w:r>
      <w:r>
        <w:t xml:space="preserve">bzw.</w:t>
      </w:r>
      <w:r>
        <w:t xml:space="preserve"> </w:t>
      </w:r>
      <m:oMath>
        <m:r>
          <m:rPr>
            <m:sty m:val="p"/>
          </m:rPr>
          <m:t>−</m:t>
        </m:r>
        <m:r>
          <m:t>0.24</m:t>
        </m:r>
      </m:oMath>
      <w:r>
        <w:t xml:space="preserve">. Vorzeichen umgekehrt zum sauberen Weg,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85</m:t>
        </m:r>
      </m:oMath>
      <w:r>
        <w:t xml:space="preserve">. Konfidenzband ohne Korrektur</w:t>
      </w:r>
      <w:r>
        <w:t xml:space="preserve"> </w:t>
      </w:r>
      <m:oMath>
        <m:r>
          <m:rPr>
            <m:sty m:val="p"/>
          </m:rPr>
          <m:t>±</m:t>
        </m:r>
        <m:r>
          <m:t>0</m:t>
        </m:r>
        <m:r>
          <m:rPr>
            <m:sty m:val="p"/>
          </m:rPr>
          <m:t>.</m:t>
        </m:r>
        <m:r>
          <m:t>21</m:t>
        </m:r>
      </m:oMath>
      <w:r>
        <w:t xml:space="preserve">, Bonferroni</w:t>
      </w:r>
      <w:r>
        <w:t xml:space="preserve"> </w:t>
      </w:r>
      <m:oMath>
        <m:r>
          <m:rPr>
            <m:sty m:val="p"/>
          </m:rPr>
          <m:t>±</m:t>
        </m:r>
        <m:r>
          <m:t>0</m:t>
        </m:r>
        <m:r>
          <m:rPr>
            <m:sty m:val="p"/>
          </m:rPr>
          <m:t>.</m:t>
        </m:r>
        <m:r>
          <m:t>30</m:t>
        </m:r>
      </m:oMath>
      <w:r>
        <w:t xml:space="preserve">. Damit liegt das Resultat</w:t>
      </w:r>
      <w:r>
        <w:t xml:space="preserve"> </w:t>
      </w:r>
      <w:r>
        <w:rPr>
          <w:b/>
          <w:bCs/>
        </w:rPr>
        <w:t xml:space="preserve">auf der Signifikanzschwelle und wird nach Multiple-Testing-Korrektur nicht mehr robust</w:t>
      </w:r>
      <w:r>
        <w:t xml:space="preserve">. Ohne weitere Daten lässt sich daraus kein Lead-Effekt ableiten.</w:t>
      </w:r>
    </w:p>
    <w:p>
      <w:pPr>
        <w:pStyle w:val="BodyText"/>
      </w:pPr>
      <w:r>
        <w:rPr>
          <w:b/>
          <w:bCs/>
        </w:rPr>
        <w:t xml:space="preserve">Sauberer Weg, EUR/CHF: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.</m:t>
        </m:r>
        <m:r>
          <m:t>76</m:t>
        </m:r>
      </m:oMath>
      <w:r>
        <w:t xml:space="preserve"> </w:t>
      </w:r>
      <w:r>
        <w:t xml:space="preserve">bei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klingt beeindruckend, aber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und Konfidenzband</w:t>
      </w:r>
      <w:r>
        <w:t xml:space="preserve"> </w:t>
      </w:r>
      <m:oMath>
        <m:r>
          <m:rPr>
            <m:sty m:val="p"/>
          </m:rPr>
          <m:t>±</m:t>
        </m:r>
        <m:r>
          <m:t>0</m:t>
        </m:r>
        <m:r>
          <m:rPr>
            <m:sty m:val="p"/>
          </m:rPr>
          <m:t>.</m:t>
        </m:r>
        <m:r>
          <m:t>74</m:t>
        </m:r>
      </m:oMath>
      <w:r>
        <w:t xml:space="preserve"> </w:t>
      </w:r>
      <w:r>
        <w:t xml:space="preserve">— der</w:t>
      </w:r>
      <w:r>
        <w:t xml:space="preserve"> </w:t>
      </w:r>
      <w:r>
        <w:t xml:space="preserve">“Effekt”</w:t>
      </w:r>
      <w:r>
        <w:t xml:space="preserve"> </w:t>
      </w:r>
      <w:r>
        <w:t xml:space="preserve">ist statistisch nicht von Null unterscheidbar. Das ist das Lehrbeispiel</w:t>
      </w:r>
      <w:r>
        <w:t xml:space="preserve"> </w:t>
      </w:r>
      <w:r>
        <w:rPr>
          <w:b/>
          <w:bCs/>
        </w:rPr>
        <w:t xml:space="preserve">“Effekt-Grösse ohne Stichprobengrösse ist wertlos”</w:t>
      </w:r>
      <w:r>
        <w:t xml:space="preserve"> </w:t>
      </w:r>
      <w:r>
        <w:t xml:space="preserve">und wird in Sektion 13 (Limitationen) als negative Evidence dokumentiert.</w:t>
      </w:r>
    </w:p>
    <w:bookmarkEnd w:id="45"/>
    <w:bookmarkStart w:id="46" w:name="effekt-der-interpolation"/>
    <w:p>
      <w:pPr>
        <w:pStyle w:val="Heading3"/>
      </w:pPr>
      <w:r>
        <w:t xml:space="preserve">12.3 Effekt der Interpolation</w:t>
      </w:r>
    </w:p>
    <w:p>
      <w:pPr>
        <w:pStyle w:val="FirstParagraph"/>
      </w:pPr>
      <w:r>
        <w:t xml:space="preserve">Für EUR/USD und GBP/USD sinkt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mit linear interpolierten Forex-Returns von ca.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20</m:t>
        </m:r>
      </m:oMath>
      <w:r>
        <w:t xml:space="preserve"> </w:t>
      </w:r>
      <w:r>
        <w:t xml:space="preserve">auf</w:t>
      </w:r>
      <w:r>
        <w:t xml:space="preserve"> </w:t>
      </w:r>
      <m:oMath>
        <m:r>
          <m:t>0</m:t>
        </m:r>
        <m:r>
          <m:rPr>
            <m:sty m:val="p"/>
          </m:rPr>
          <m:t>.</m:t>
        </m:r>
        <m:r>
          <m:t>11</m:t>
        </m:r>
      </m:oMath>
      <w:r>
        <w:t xml:space="preserve">–</w:t>
      </w:r>
      <m:oMath>
        <m:r>
          <m:t>0</m:t>
        </m:r>
        <m:r>
          <m:rPr>
            <m:sty m:val="p"/>
          </m:rPr>
          <m:t>.</m:t>
        </m:r>
        <m:r>
          <m:t>18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Das ist erwartbar und methodisch korrekt:</w:t>
      </w:r>
      <w:r>
        <w:t xml:space="preserve"> </w:t>
      </w:r>
      <w:r>
        <w:t xml:space="preserve">interpolierte Wochenend-Returns sind synthetisch konstruiert und enthalten kein neues Informations-Signal — sie verdünnen die Stichprobe ohne Aussagekraft hinzuzufügen.</w:t>
      </w:r>
    </w:p>
    <w:p>
      <w:pPr>
        <w:pStyle w:val="BodyText"/>
      </w:pPr>
      <w:r>
        <w:rPr>
          <w:b/>
          <w:bCs/>
        </w:rPr>
        <w:t xml:space="preserve">Konsequenz für die Doku:</w:t>
      </w:r>
      <w:r>
        <w:t xml:space="preserve"> </w:t>
      </w:r>
      <w:r>
        <w:t xml:space="preserve">Die Variante</w:t>
      </w:r>
      <w:r>
        <w:t xml:space="preserve"> </w:t>
      </w:r>
      <w:r>
        <w:rPr>
          <w:b/>
          <w:bCs/>
        </w:rPr>
        <w:t xml:space="preserve">ohne Interpolation</w:t>
      </w:r>
      <w:r>
        <w:t xml:space="preserve"> </w:t>
      </w:r>
      <w:r>
        <w:t xml:space="preserve">ist der primäre Auswertungspfad. Die interpolierte Variante dient als Sensitivitätscheck und zeigt, dass das Lead/Lag-Resultat methodenrobust ist — die Aussage</w:t>
      </w:r>
      <w:r>
        <w:t xml:space="preserve"> </w:t>
      </w:r>
      <w:r>
        <w:t xml:space="preserve">“gleichzeitige Korrelation, kein Lead”</w:t>
      </w:r>
      <w:r>
        <w:t xml:space="preserve"> </w:t>
      </w:r>
      <w:r>
        <w:t xml:space="preserve">gilt in beiden Varianten.</w:t>
      </w:r>
    </w:p>
    <w:bookmarkEnd w:id="46"/>
    <w:bookmarkStart w:id="47" w:name="vergleich-der-zwei-wege"/>
    <w:p>
      <w:pPr>
        <w:pStyle w:val="Heading3"/>
      </w:pPr>
      <w:r>
        <w:t xml:space="preserve">12.4 Vergleich der zwei Wege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Befund</w:t>
            </w:r>
          </w:p>
        </w:tc>
        <w:tc>
          <w:tcPr/>
          <w:p>
            <w:pPr>
              <w:pStyle w:val="Compact"/>
            </w:pPr>
            <w:r>
              <w:t xml:space="preserve">Sauberer Weg</w:t>
            </w:r>
          </w:p>
        </w:tc>
        <w:tc>
          <w:tcPr/>
          <w:p>
            <w:pPr>
              <w:pStyle w:val="Compact"/>
            </w:pPr>
            <w:r>
              <w:t xml:space="preserve">Dirty Weg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Vorzeichen der Maximalkorrelation</w:t>
            </w:r>
          </w:p>
        </w:tc>
        <w:tc>
          <w:tcPr/>
          <w:p>
            <w:pPr>
              <w:pStyle w:val="Compact"/>
            </w:pPr>
            <w:r>
              <w:t xml:space="preserve">positiv</w:t>
            </w:r>
          </w:p>
        </w:tc>
        <w:tc>
          <w:tcPr/>
          <w:p>
            <w:pPr>
              <w:pStyle w:val="Compact"/>
            </w:pPr>
            <w:r>
              <w:t xml:space="preserve">negativ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 des Maximums</w:t>
            </w:r>
          </w:p>
        </w:tc>
        <w:tc>
          <w:tcPr/>
          <w:p>
            <w:pPr>
              <w:pStyle w:val="Compact"/>
            </w:pPr>
            <w:r>
              <w:t xml:space="preserve">0 (gleichzeitig)</w:t>
            </w:r>
          </w:p>
        </w:tc>
        <w:tc>
          <w:tcPr/>
          <w:p>
            <w:pPr>
              <w:pStyle w:val="Compact"/>
            </w:pPr>
            <w:r>
              <w:t xml:space="preserve">+9 (verzögert)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Stichprobengrösse</w:t>
            </w:r>
          </w:p>
        </w:tc>
        <w:tc>
          <w:tcPr/>
          <w:p>
            <w:pPr>
              <w:pStyle w:val="Compact"/>
            </w:pPr>
            <w:r>
              <w:t xml:space="preserve">gross (~1000)</w:t>
            </w:r>
          </w:p>
        </w:tc>
        <w:tc>
          <w:tcPr/>
          <w:p>
            <w:pPr>
              <w:pStyle w:val="Compact"/>
            </w:pPr>
            <w:r>
              <w:t xml:space="preserve">klein (~85)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 nach Multiple Testing?</w:t>
            </w:r>
          </w:p>
        </w:tc>
        <w:tc>
          <w:tcPr/>
          <w:p>
            <w:pPr>
              <w:pStyle w:val="Compact"/>
            </w:pPr>
            <w:r>
              <w:t xml:space="preserve">ja</w:t>
            </w:r>
          </w:p>
        </w:tc>
        <w:tc>
          <w:tcPr/>
          <w:p>
            <w:pPr>
              <w:pStyle w:val="Compact"/>
            </w:pPr>
            <w:r>
              <w:t xml:space="preserve">nein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Aussage</w:t>
            </w:r>
          </w:p>
        </w:tc>
        <w:tc>
          <w:tcPr/>
          <w:p>
            <w:pPr>
              <w:pStyle w:val="Compact"/>
            </w:pPr>
            <w:r>
              <w:t xml:space="preserve">klar gleichzeitig</w:t>
            </w:r>
          </w:p>
        </w:tc>
        <w:tc>
          <w:tcPr/>
          <w:p>
            <w:pPr>
              <w:pStyle w:val="Compact"/>
            </w:pPr>
            <w:r>
              <w:t xml:space="preserve">nicht entscheidbar</w:t>
            </w:r>
          </w:p>
        </w:tc>
      </w:tr>
    </w:tbl>
    <w:p>
      <w:pPr>
        <w:pStyle w:val="BodyText"/>
      </w:pPr>
      <w:r>
        <w:t xml:space="preserve">Dass die zwei Wege auseinanderfallen, ist</w:t>
      </w:r>
      <w:r>
        <w:t xml:space="preserve"> </w:t>
      </w:r>
      <w:r>
        <w:rPr>
          <w:b/>
          <w:bCs/>
        </w:rPr>
        <w:t xml:space="preserve">selbst ein Resultat</w:t>
      </w:r>
      <w:r>
        <w:t xml:space="preserve">: Das EODHD-Sentiment ist für EUR/USD und GBP/USD pro Paar gefiltert (98–99 % Coverage), das Webscraping-Sentiment ist global über alle Forex-News aggregiert. Die unterschiedlichen Befunde zeigen, dass paar-spezifisches Sentiment qualitativ andere Information trägt als globales Forex-Sentiment.</w:t>
      </w:r>
    </w:p>
    <w:bookmarkEnd w:id="47"/>
    <w:bookmarkStart w:id="48" w:name="X12dc5fd18433f2b3d94e33683feab7003967adf"/>
    <w:p>
      <w:pPr>
        <w:pStyle w:val="Heading3"/>
      </w:pPr>
      <w:r>
        <w:t xml:space="preserve">12.5 Methodische Limitationen (sind Teil der Antwort)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Korrelation ≠ Kausalität.</w:t>
      </w:r>
      <w:r>
        <w:t xml:space="preserve"> </w:t>
      </w:r>
      <w:r>
        <w:t xml:space="preserve">Selbst die starke gleichzeitige Korrelation auf dem sauberen Weg zeigt nur, dass Markt und News gemeinsam reagieren — nicht</w:t>
      </w:r>
      <w:r>
        <w:t xml:space="preserve"> </w:t>
      </w:r>
      <w:r>
        <w:rPr>
          <w:i/>
          <w:iCs/>
        </w:rPr>
        <w:t xml:space="preserve">warum</w:t>
      </w:r>
      <w:r>
        <w:t xml:space="preserve">. Ein gemeinsamer dritter Faktor (Makrodaten, Notenbank-Entscheidungen) erklärt beide.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Lead/Lag wird in der Vorlesung nicht behandelt</w:t>
      </w:r>
      <w:r>
        <w:t xml:space="preserve"> </w:t>
      </w:r>
      <w:r>
        <w:t xml:space="preserve">— die Methodik orientiert sich an Standard-Statistik-Literatur (Quelle: Claude). Ein formaler</w:t>
      </w:r>
      <w:r>
        <w:t xml:space="preserve"> </w:t>
      </w:r>
      <w:r>
        <w:rPr>
          <w:b/>
          <w:bCs/>
        </w:rPr>
        <w:t xml:space="preserve">Granger-Test</w:t>
      </w:r>
      <w:r>
        <w:t xml:space="preserve"> </w:t>
      </w:r>
      <w:r>
        <w:t xml:space="preserve">wäre der nächste methodische Schritt; er ist im Notebook als deaktivierte Cell vorbereitet (</w:t>
      </w:r>
      <w:r>
        <w:rPr>
          <w:rStyle w:val="VerbatimChar"/>
        </w:rPr>
        <w:t xml:space="preserve">statsmodels</w:t>
      </w:r>
      <w:r>
        <w:t xml:space="preserve">-Abhängigkeit nicht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EUR/CHF EODHD ist keine Datenquelle</w:t>
      </w:r>
      <w:r>
        <w:t xml:space="preserve"> </w:t>
      </w:r>
      <w:r>
        <w:t xml:space="preserve">im praktischen Sinn — 7 Datenpunkte. Wir dokumentieren das als negative Evidence der EODHD-Coverage, nicht als Resultat über das Paar.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Webscraping-Sentiment ist nicht paar-spezifisch.</w:t>
      </w:r>
      <w:r>
        <w:t xml:space="preserve"> </w:t>
      </w:r>
      <w:r>
        <w:t xml:space="preserve">Wir verwenden denselben Tageswert für alle drei Paare; eine paar-spezifische Filterung würde unter ~30 Tagen Coverage pro Paar fallen und keine Aussage mehr zulassen.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TextBlob auf Finanztexten</w:t>
      </w:r>
      <w:r>
        <w:t xml:space="preserve"> </w:t>
      </w:r>
      <w:r>
        <w:t xml:space="preserve">— siehe Abschnitt 8.4: ~33 % der Artikel bekommen Polarity 0. Ein finanzspezifisches Modell (FinBERT, VADER + Loughran-McDonald-Lexikon) würde die Sentiment-Stichprobe deutlich vergrössern.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87724666b5167c220621c47c5169175f50ea522"/>
    <w:p>
      <w:pPr>
        <w:pStyle w:val="Heading2"/>
      </w:pPr>
      <w:r>
        <w:t xml:space="preserve">13. Reproduzierbarkeit — Befehle und Reihenfolge</w:t>
      </w:r>
    </w:p>
    <w:p>
      <w:pPr>
        <w:pStyle w:val="FirstParagraph"/>
      </w:pPr>
      <w:r>
        <w:t xml:space="preserve">Alle Schritte sind idempotent. Die Reihenfolge: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1. Rohdaten laden (Free-Plan beachten — 18 EODHD-Calls)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src/data_loading/yahoo_loader.py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src/data_loading/eodhd_loader.py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src/data_loading/eodhd_news_loader.py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src/data_loading/webscraping_loader.py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src/data_loading/oil_loader.py</w:t>
      </w:r>
      <w:r>
        <w:br/>
      </w:r>
      <w:r>
        <w:br/>
      </w:r>
      <w:r>
        <w:rPr>
          <w:rStyle w:val="CommentTok"/>
        </w:rPr>
        <w:t xml:space="preserve"># 2. Rohdaten zu processed-Ebene verdichten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scripts/regenerate_forex_combined.py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scripts/regenerate_webscraping_sentiment.py</w:t>
      </w:r>
      <w:r>
        <w:br/>
      </w:r>
      <w:r>
        <w:br/>
      </w:r>
      <w:r>
        <w:rPr>
          <w:rStyle w:val="CommentTok"/>
        </w:rPr>
        <w:t xml:space="preserve"># 3. Lead/Lag-Notebook regenerieren (erzeugt auch lead_lag_results.csv)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scripts/generate_lead_lag_notebook.py</w:t>
      </w:r>
      <w:r>
        <w:br/>
      </w:r>
      <w:r>
        <w:rPr>
          <w:rStyle w:val="ExtensionTok"/>
        </w:rPr>
        <w:t xml:space="preserve">jupyter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notebooks/datenverarbeitung/sentiment_kurs_lead_lag_analyse.ipynb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sentiment_kurs_lead_lag_analyse.ipynb</w:t>
      </w:r>
      <w:r>
        <w:br/>
      </w:r>
      <w:r>
        <w:br/>
      </w:r>
      <w:r>
        <w:rPr>
          <w:rStyle w:val="CommentTok"/>
        </w:rPr>
        <w:t xml:space="preserve"># 4. Dashboard starten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dashboard.py</w:t>
      </w:r>
    </w:p>
    <w:p>
      <w:pPr>
        <w:pStyle w:val="FirstParagraph"/>
      </w:pPr>
      <w:r>
        <w:t xml:space="preserve">Die Notebooks in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sind zusätzliche EDA- und Analyseartefakte. Sie sind nicht Voraussetzung für das Dashboard, liefern aber die ausführlichen Ergebnistabellen und Visualisierungen, die für den Bericht relevant sind. Das Lead/Lag-Notebook ist die Quelle der Resultate-Tabelle in Abschnitt 12.</w:t>
      </w:r>
    </w:p>
    <w:p>
      <w:r>
        <w:pict>
          <v:rect style="width:0;height:1.5pt" o:hralign="center" o:hrstd="t" o:hr="t"/>
        </w:pict>
      </w:r>
    </w:p>
    <w:bookmarkEnd w:id="50"/>
    <w:bookmarkStart w:id="51" w:name="bekannte-einschränkungen"/>
    <w:p>
      <w:pPr>
        <w:pStyle w:val="Heading2"/>
      </w:pPr>
      <w:r>
        <w:t xml:space="preserve">14. Bekannte Einschränkungen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Punkt</w:t>
            </w:r>
          </w:p>
        </w:tc>
        <w:tc>
          <w:tcPr/>
          <w:p>
            <w:pPr>
              <w:pStyle w:val="Compact"/>
            </w:pPr>
            <w:r>
              <w:t xml:space="preserve">Auswirkung</w:t>
            </w:r>
          </w:p>
        </w:tc>
        <w:tc>
          <w:tcPr/>
          <w:p>
            <w:pPr>
              <w:pStyle w:val="Compact"/>
            </w:pPr>
            <w:r>
              <w:t xml:space="preserve">Behandlung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EUR/CHF-News bei EODHD ≈ 13 Artikel</w:t>
            </w:r>
          </w:p>
        </w:tc>
        <w:tc>
          <w:tcPr/>
          <w:p>
            <w:pPr>
              <w:pStyle w:val="Compact"/>
            </w:pPr>
            <w:r>
              <w:t xml:space="preserve">Keine belastbare Sentiment-Korrelation für EUR/CHF</w:t>
            </w:r>
          </w:p>
        </w:tc>
        <w:tc>
          <w:tcPr/>
          <w:p>
            <w:pPr>
              <w:pStyle w:val="Compact"/>
            </w:pPr>
            <w:r>
              <w:t xml:space="preserve">Dokumentiert, EUR/CHF aus Sentiment-Analyse ausgenommen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DailyFX-RSS: HTTP 403</w:t>
            </w:r>
          </w:p>
        </w:tc>
        <w:tc>
          <w:tcPr/>
          <w:p>
            <w:pPr>
              <w:pStyle w:val="Compact"/>
            </w:pPr>
            <w:r>
              <w:t xml:space="preserve">Eine der fünf RSS-Quellen nicht nutzbar</w:t>
            </w:r>
          </w:p>
        </w:tc>
        <w:tc>
          <w:tcPr/>
          <w:p>
            <w:pPr>
              <w:pStyle w:val="Compact"/>
            </w:pPr>
            <w:r>
              <w:t xml:space="preserve">Skript fängt Fehler ab, logged</w:t>
            </w:r>
            <w:r>
              <w:t xml:space="preserve"> </w:t>
            </w:r>
            <w:r>
              <w:rPr>
                <w:rStyle w:val="VerbatimChar"/>
              </w:rPr>
              <w:t xml:space="preserve">WARNUNG: HTTP 403</w:t>
            </w:r>
            <w:r>
              <w:t xml:space="preserve">; restliche vier Quellen reichen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Investing.com: HTTP 403</w:t>
            </w:r>
          </w:p>
        </w:tc>
        <w:tc>
          <w:tcPr/>
          <w:p>
            <w:pPr>
              <w:pStyle w:val="Compact"/>
            </w:pPr>
            <w:r>
              <w:t xml:space="preserve">HTML-Scraping blockiert</w:t>
            </w:r>
          </w:p>
        </w:tc>
        <w:tc>
          <w:tcPr/>
          <w:p>
            <w:pPr>
              <w:pStyle w:val="Compact"/>
            </w:pPr>
            <w:r>
              <w:t xml:space="preserve">Dokumentiert, RSS-Variante (ForexLive, derselbe Anbieter) wird stattdessen genutzt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Webscraping nur ab Scrape-Zeitpunkt</w:t>
            </w:r>
          </w:p>
        </w:tc>
        <w:tc>
          <w:tcPr/>
          <w:p>
            <w:pPr>
              <w:pStyle w:val="Compact"/>
            </w:pPr>
            <w:r>
              <w:t xml:space="preserve">Kein freier Blick in die Vergangenheit</w:t>
            </w:r>
          </w:p>
        </w:tc>
        <w:tc>
          <w:tcPr/>
          <w:p>
            <w:pPr>
              <w:pStyle w:val="Compact"/>
            </w:pPr>
            <w:r>
              <w:t xml:space="preserve">Feeds reichen aber faktisch bis ~6 Monate zurück; mehrere Scrape-Zeitpunkte verlängern die Abdeckung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TextBlob: Nullwerte bei Finanzvokabular</w:t>
            </w:r>
          </w:p>
        </w:tc>
        <w:tc>
          <w:tcPr/>
          <w:p>
            <w:pPr>
              <w:pStyle w:val="Compact"/>
            </w:pPr>
            <w:r>
              <w:t xml:space="preserve">~33% der Artikel mit Polarity=0</w:t>
            </w:r>
          </w:p>
        </w:tc>
        <w:tc>
          <w:tcPr/>
          <w:p>
            <w:pPr>
              <w:pStyle w:val="Compact"/>
            </w:pPr>
            <w:r>
              <w:t xml:space="preserve">Bewusst offen dokumentiert; qualitativer Vergleich in Sentiment-Vergleich-Seite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MetaTrader: Datenstand 2025-12-26</w:t>
            </w:r>
          </w:p>
        </w:tc>
        <w:tc>
          <w:tcPr/>
          <w:p>
            <w:pPr>
              <w:pStyle w:val="Compact"/>
            </w:pPr>
            <w:r>
              <w:t xml:space="preserve">Kein 2026-Anteil</w:t>
            </w:r>
          </w:p>
        </w:tc>
        <w:tc>
          <w:tcPr/>
          <w:p>
            <w:pPr>
              <w:pStyle w:val="Compact"/>
            </w:pPr>
            <w:r>
              <w:t xml:space="preserve">MT5 ausschließlich im Quellenvergleich genutzt, nicht in der Sentiment-Korrelation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 mit</w:t>
            </w:r>
            <w:r>
              <w:t xml:space="preserve"> </w:t>
            </w:r>
            <w:r>
              <w:rPr>
                <w:rStyle w:val="VerbatimChar"/>
              </w:rPr>
              <w:t xml:space="preserve">feedparser.parse(url)</w:t>
            </w:r>
            <w:r>
              <w:t xml:space="preserve"> </w:t>
            </w:r>
            <w:r>
              <w:t xml:space="preserve">scheiterte auf macOS durch SSL-Verify</w:t>
            </w:r>
          </w:p>
        </w:tc>
        <w:tc>
          <w:tcPr/>
          <w:p>
            <w:pPr>
              <w:pStyle w:val="Compact"/>
            </w:pPr>
            <w:r>
              <w:t xml:space="preserve">Null Artikel am 22.04.2026</w:t>
            </w:r>
          </w:p>
        </w:tc>
        <w:tc>
          <w:tcPr/>
          <w:p>
            <w:pPr>
              <w:pStyle w:val="Compact"/>
            </w:pPr>
            <w:r>
              <w:t xml:space="preserve">Loader angepasst:</w:t>
            </w:r>
            <w:r>
              <w:t xml:space="preserve"> </w:t>
            </w:r>
            <w:r>
              <w:rPr>
                <w:rStyle w:val="VerbatimChar"/>
              </w:rPr>
              <w:t xml:space="preserve">requests.get()</w:t>
            </w:r>
            <w:r>
              <w:t xml:space="preserve"> </w:t>
            </w:r>
            <w:r>
              <w:t xml:space="preserve">zieht den Content,</w:t>
            </w:r>
            <w:r>
              <w:t xml:space="preserve"> </w:t>
            </w:r>
            <w:r>
              <w:rPr>
                <w:rStyle w:val="VerbatimChar"/>
              </w:rPr>
              <w:t xml:space="preserve">feedparser.parse(response.text)</w:t>
            </w:r>
            <w:r>
              <w:t xml:space="preserve"> </w:t>
            </w:r>
            <w:r>
              <w:t xml:space="preserve">parst — liefert wieder Artikel</w:t>
            </w:r>
          </w:p>
        </w:tc>
      </w:tr>
    </w:tbl>
    <w:p>
      <w:pPr>
        <w:pStyle w:val="BodyText"/>
      </w:pPr>
      <w:r>
        <w:t xml:space="preserve">Der SSL-Bug beim Scraper ist ein gutes Beispiel für den iterativen Umgang mit Datenquellen:</w:t>
      </w:r>
      <w:r>
        <w:t xml:space="preserve"> </w:t>
      </w:r>
      <w:r>
        <w:rPr>
          <w:b/>
          <w:bCs/>
        </w:rPr>
        <w:t xml:space="preserve">Erkannt → Ursache benannt → behoben → Commit dokumentiert.</w:t>
      </w:r>
    </w:p>
    <w:p>
      <w:r>
        <w:pict>
          <v:rect style="width:0;height:1.5pt" o:hralign="center" o:hrstd="t" o:hr="t"/>
        </w:pict>
      </w:r>
    </w:p>
    <w:bookmarkEnd w:id="51"/>
    <w:bookmarkStart w:id="52" w:name="projektstruktur-kurzübersicht"/>
    <w:p>
      <w:pPr>
        <w:pStyle w:val="Heading2"/>
      </w:pPr>
      <w:r>
        <w:t xml:space="preserve">15. Projektstruktur (Kurzübersicht)</w:t>
      </w:r>
    </w:p>
    <w:p>
      <w:pPr>
        <w:pStyle w:val="SourceCode"/>
      </w:pPr>
      <w:r>
        <w:rPr>
          <w:rStyle w:val="VerbatimChar"/>
        </w:rPr>
        <w:t xml:space="preserve">datawrangling/</w:t>
      </w:r>
      <w:r>
        <w:br/>
      </w:r>
      <w:r>
        <w:rPr>
          <w:rStyle w:val="VerbatimChar"/>
        </w:rPr>
        <w:t xml:space="preserve">├── src/data_loading/          # Loader pro Quelle</w:t>
      </w:r>
      <w:r>
        <w:br/>
      </w:r>
      <w:r>
        <w:rPr>
          <w:rStyle w:val="VerbatimChar"/>
        </w:rPr>
        <w:t xml:space="preserve">│   ├── yahoo_loader.py</w:t>
      </w:r>
      <w:r>
        <w:br/>
      </w:r>
      <w:r>
        <w:rPr>
          <w:rStyle w:val="VerbatimChar"/>
        </w:rPr>
        <w:t xml:space="preserve">│   ├── eodhd_loader.py</w:t>
      </w:r>
      <w:r>
        <w:br/>
      </w:r>
      <w:r>
        <w:rPr>
          <w:rStyle w:val="VerbatimChar"/>
        </w:rPr>
        <w:t xml:space="preserve">│   ├── eodhd_news_loader.py</w:t>
      </w:r>
      <w:r>
        <w:br/>
      </w:r>
      <w:r>
        <w:rPr>
          <w:rStyle w:val="VerbatimChar"/>
        </w:rPr>
        <w:t xml:space="preserve">│   ├── webscraping_loader.py</w:t>
      </w:r>
      <w:r>
        <w:br/>
      </w:r>
      <w:r>
        <w:rPr>
          <w:rStyle w:val="VerbatimChar"/>
        </w:rPr>
        <w:t xml:space="preserve">│   └── oil_loader.py</w:t>
      </w:r>
      <w:r>
        <w:br/>
      </w:r>
      <w:r>
        <w:rPr>
          <w:rStyle w:val="VerbatimChar"/>
        </w:rPr>
        <w:t xml:space="preserve">├── scripts/                   # idempotente Reprozessierungs-Scripts</w:t>
      </w:r>
      <w:r>
        <w:br/>
      </w:r>
      <w:r>
        <w:rPr>
          <w:rStyle w:val="VerbatimChar"/>
        </w:rPr>
        <w:t xml:space="preserve">│   ├── regenerate_forex_combined.py</w:t>
      </w:r>
      <w:r>
        <w:br/>
      </w:r>
      <w:r>
        <w:rPr>
          <w:rStyle w:val="VerbatimChar"/>
        </w:rPr>
        <w:t xml:space="preserve">│   └── regenerate_webscraping_sentiment.py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│   ├── rohdaten_laden/        # EDA pro Quelle (01–05)</w:t>
      </w:r>
      <w:r>
        <w:br/>
      </w:r>
      <w:r>
        <w:rPr>
          <w:rStyle w:val="VerbatimChar"/>
        </w:rPr>
        <w:t xml:space="preserve">│   └── datenverarbeitung/     # Analyse-Notebooks</w:t>
      </w:r>
      <w:r>
        <w:br/>
      </w:r>
      <w:r>
        <w:rPr>
          <w:rStyle w:val="VerbatimChar"/>
        </w:rPr>
        <w:t xml:space="preserve">│       ├── datenanalyse_forex.ipynb</w:t>
      </w:r>
      <w:r>
        <w:br/>
      </w:r>
      <w:r>
        <w:rPr>
          <w:rStyle w:val="VerbatimChar"/>
        </w:rPr>
        <w:t xml:space="preserve">│       ├── datenanalyse_oil.ipynb</w:t>
      </w:r>
      <w:r>
        <w:br/>
      </w:r>
      <w:r>
        <w:rPr>
          <w:rStyle w:val="VerbatimChar"/>
        </w:rPr>
        <w:t xml:space="preserve">│       ├── news_forex_korrelation_kombiniert.ipynb</w:t>
      </w:r>
      <w:r>
        <w:br/>
      </w:r>
      <w:r>
        <w:rPr>
          <w:rStyle w:val="VerbatimChar"/>
        </w:rPr>
        <w:t xml:space="preserve">│       ├── sentiment_analyse_vergleich.ipynb</w:t>
      </w:r>
      <w:r>
        <w:br/>
      </w:r>
      <w:r>
        <w:rPr>
          <w:rStyle w:val="VerbatimChar"/>
        </w:rPr>
        <w:t xml:space="preserve">│       ├── sentiment_kurs_lead_lag_analyse.ipynb   # Hauptanalyse für Sektion 12</w:t>
      </w:r>
      <w:r>
        <w:br/>
      </w:r>
      <w:r>
        <w:rPr>
          <w:rStyle w:val="VerbatimChar"/>
        </w:rPr>
        <w:t xml:space="preserve">│       └── poc_webscraping_sentiment.ipynb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        # Rohdaten, nicht verändert</w:t>
      </w:r>
      <w:r>
        <w:br/>
      </w:r>
      <w:r>
        <w:rPr>
          <w:rStyle w:val="VerbatimChar"/>
        </w:rPr>
        <w:t xml:space="preserve">│   ├── processed/             # harmonisiert, zusammengeführt</w:t>
      </w:r>
      <w:r>
        <w:br/>
      </w:r>
      <w:r>
        <w:rPr>
          <w:rStyle w:val="VerbatimChar"/>
        </w:rPr>
        <w:t xml:space="preserve">│   └── final/                 # finaler Datensatz</w:t>
      </w:r>
      <w:r>
        <w:br/>
      </w:r>
      <w:r>
        <w:rPr>
          <w:rStyle w:val="VerbatimChar"/>
        </w:rPr>
        <w:t xml:space="preserve">├── dashboard.py               # Streamlit-App</w:t>
      </w:r>
      <w:r>
        <w:br/>
      </w:r>
      <w:r>
        <w:rPr>
          <w:rStyle w:val="VerbatimChar"/>
        </w:rPr>
        <w:t xml:space="preserve">├── CLAUDE.md                  # Code-Konventionen, Setup</w:t>
      </w:r>
      <w:r>
        <w:br/>
      </w:r>
      <w:r>
        <w:rPr>
          <w:rStyle w:val="VerbatimChar"/>
        </w:rPr>
        <w:t xml:space="preserve">└── DOKUMENTATION.md           # dieses Dokument</w:t>
      </w:r>
    </w:p>
    <w:p>
      <w:r>
        <w:pict>
          <v:rect style="width:0;height:1.5pt" o:hralign="center" o:hrstd="t" o:hr="t"/>
        </w:pict>
      </w:r>
    </w:p>
    <w:bookmarkEnd w:id="52"/>
    <w:bookmarkStart w:id="53" w:name="X7932f038958733e0dcfa0bc2d32e147d81f7f06"/>
    <w:p>
      <w:pPr>
        <w:pStyle w:val="Heading2"/>
      </w:pPr>
      <w:r>
        <w:t xml:space="preserve">16. Protokoll — Chronologie der wichtigsten Entscheidungen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 (2026)</w:t>
            </w:r>
          </w:p>
        </w:tc>
        <w:tc>
          <w:tcPr/>
          <w:p>
            <w:pPr>
              <w:pStyle w:val="Compact"/>
            </w:pPr>
            <w:r>
              <w:t xml:space="preserve">Entscheidung / Beobachtung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 2026</w:t>
            </w:r>
          </w:p>
        </w:tc>
        <w:tc>
          <w:tcPr/>
          <w:p>
            <w:pPr>
              <w:pStyle w:val="Compact"/>
            </w:pPr>
            <w:r>
              <w:t xml:space="preserve">Themenfestlegung: Forex + News-Sentiment + Öl. Zeitraum initial 2024-2025.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Anfang März</w:t>
            </w:r>
          </w:p>
        </w:tc>
        <w:tc>
          <w:tcPr/>
          <w:p>
            <w:pPr>
              <w:pStyle w:val="Compact"/>
            </w:pPr>
            <w:r>
              <w:t xml:space="preserve">EODHD-API-Integration, Free-Plan-Limit (20 Calls/Tag) als Randbedingung identifiziert.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Anfang/Mitte März</w:t>
            </w:r>
          </w:p>
        </w:tc>
        <w:tc>
          <w:tcPr/>
          <w:p>
            <w:pPr>
              <w:pStyle w:val="Compact"/>
            </w:pPr>
            <w:r>
              <w:t xml:space="preserve">Erste Webscraping-Schnappschüsse (03-03 bis 03-25). RSS-SSL-Bug noch nicht bemerkt, da Feeds zu dem Zeitpunkt funktionierten.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März</w:t>
            </w:r>
          </w:p>
        </w:tc>
        <w:tc>
          <w:tcPr/>
          <w:p>
            <w:pPr>
              <w:pStyle w:val="Compact"/>
            </w:pPr>
            <w:r>
              <w:t xml:space="preserve">Entscheidung pro</w:t>
            </w:r>
            <w:r>
              <w:t xml:space="preserve"> </w:t>
            </w:r>
            <w:r>
              <w:rPr>
                <w:b/>
                <w:bCs/>
              </w:rPr>
              <w:t xml:space="preserve">Median</w:t>
            </w:r>
            <w:r>
              <w:t xml:space="preserve"> </w:t>
            </w:r>
            <w:r>
              <w:t xml:space="preserve">(statt Mittel) bei Tagesaggregation der Polarity — robustere zentrale Tendenz.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März</w:t>
            </w:r>
          </w:p>
        </w:tc>
        <w:tc>
          <w:tcPr/>
          <w:p>
            <w:pPr>
              <w:pStyle w:val="Compact"/>
            </w:pPr>
            <w:r>
              <w:t xml:space="preserve">Hinzufügen von</w:t>
            </w:r>
            <w:r>
              <w:t xml:space="preserve"> </w:t>
            </w:r>
            <w:r>
              <w:rPr>
                <w:rStyle w:val="VerbatimChar"/>
              </w:rPr>
              <w:t xml:space="preserve">news_forex_korrelation_kombiniert.ipynb</w:t>
            </w:r>
            <w:r>
              <w:t xml:space="preserve"> </w:t>
            </w:r>
            <w:r>
              <w:t xml:space="preserve">mit Öl-Overlay und separater Sentiment-Diagnose.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19.04.</w:t>
            </w:r>
          </w:p>
        </w:tc>
        <w:tc>
          <w:tcPr/>
          <w:p>
            <w:pPr>
              <w:pStyle w:val="Compact"/>
            </w:pPr>
            <w:r>
              <w:t xml:space="preserve">Dashboard-Seite „Sentiment-Vergleich” zum Gegenüberstellen der eigenen TextBlob-Analyse und der EODHD-Polarity auf identischem Text.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22.04.</w:t>
            </w:r>
          </w:p>
        </w:tc>
        <w:tc>
          <w:tcPr/>
          <w:p>
            <w:pPr>
              <w:pStyle w:val="Compact"/>
            </w:pPr>
            <w:r>
              <w:t xml:space="preserve">Alle Rohdaten bis heute frisch gezogen. Zeitraum auf 2022-01-01 erweitert, damit mehr Historie im Repo steht.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22.04.</w:t>
            </w:r>
          </w:p>
        </w:tc>
        <w:tc>
          <w:tcPr/>
          <w:p>
            <w:pPr>
              <w:pStyle w:val="Compact"/>
            </w:pPr>
            <w:r>
              <w:t xml:space="preserve">RSS-SSL-Bug aufgetreten (0 Artikel in allen 4 Feeds). Mit dem in Fenlins Notebook validierten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feedparser</w:t>
            </w:r>
            <w:r>
              <w:t xml:space="preserve"> </w:t>
            </w:r>
            <w:r>
              <w:t xml:space="preserve">Fix korrigiert. Die fehlerhafte Reddit-only-CSV als</w:t>
            </w:r>
            <w:r>
              <w:t xml:space="preserve"> </w:t>
            </w:r>
            <w:r>
              <w:rPr>
                <w:rStyle w:val="VerbatimChar"/>
              </w:rPr>
              <w:t xml:space="preserve">*_PRE-FIX_*.csv</w:t>
            </w:r>
            <w:r>
              <w:t xml:space="preserve"> </w:t>
            </w:r>
            <w:r>
              <w:t xml:space="preserve">archiviert.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22.04.</w:t>
            </w:r>
          </w:p>
        </w:tc>
        <w:tc>
          <w:tcPr/>
          <w:p>
            <w:pPr>
              <w:pStyle w:val="Compact"/>
            </w:pPr>
            <w:r>
              <w:t xml:space="preserve">News-Loader umgestellt von</w:t>
            </w:r>
            <w:r>
              <w:t xml:space="preserve"> </w:t>
            </w:r>
            <w:r>
              <w:rPr>
                <w:rStyle w:val="VerbatimChar"/>
              </w:rPr>
              <w:t xml:space="preserve">limit=300</w:t>
            </w:r>
            <w:r>
              <w:t xml:space="preserve"> </w:t>
            </w:r>
            <w:r>
              <w:t xml:space="preserve">auf</w:t>
            </w:r>
            <w:r>
              <w:t xml:space="preserve"> </w:t>
            </w:r>
            <w:r>
              <w:rPr>
                <w:rStyle w:val="VerbatimChar"/>
              </w:rPr>
              <w:t xml:space="preserve">limit=1000</w:t>
            </w:r>
            <w:r>
              <w:t xml:space="preserve"> </w:t>
            </w:r>
            <w:r>
              <w:t xml:space="preserve">→ deutlich weniger API-Calls bei gleicher Datenmenge.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22.04.</w:t>
            </w:r>
          </w:p>
        </w:tc>
        <w:tc>
          <w:tcPr/>
          <w:p>
            <w:pPr>
              <w:pStyle w:val="Compact"/>
            </w:pPr>
            <w:r>
              <w:t xml:space="preserve">Proof-of-Concept-Notebook</w:t>
            </w:r>
            <w:r>
              <w:t xml:space="preserve"> </w:t>
            </w:r>
            <w:r>
              <w:rPr>
                <w:rStyle w:val="VerbatimChar"/>
              </w:rPr>
              <w:t xml:space="preserve">poc_webscraping_sentiment.ipynb</w:t>
            </w:r>
            <w:r>
              <w:t xml:space="preserve"> </w:t>
            </w:r>
            <w:r>
              <w:t xml:space="preserve">+ paralleles Script — zeigt, dass der saubere Weg mit einer unabhängigen Nachrichtenquelle reproduzierbar 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22.04.</w:t>
            </w:r>
          </w:p>
        </w:tc>
        <w:tc>
          <w:tcPr/>
          <w:p>
            <w:pPr>
              <w:pStyle w:val="Compact"/>
            </w:pPr>
            <w:r>
              <w:t xml:space="preserve">Dashboard „Master Grafik 2” von MT5+Webscraping auf Yahoo+EODHD+Webscraping umgebaut — die beiden Master-Grafiken zeigen jetzt „sauberer Weg” und „Proof of Concept” im direkten Vergleich.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22.04.</w:t>
            </w:r>
          </w:p>
        </w:tc>
        <w:tc>
          <w:tcPr/>
          <w:p>
            <w:pPr>
              <w:pStyle w:val="Compact"/>
            </w:pPr>
            <w:r>
              <w:t xml:space="preserve">Altdaten (Dateien mit</w:t>
            </w:r>
            <w:r>
              <w:t xml:space="preserve"> </w:t>
            </w:r>
            <w:r>
              <w:rPr>
                <w:rStyle w:val="VerbatimChar"/>
              </w:rPr>
              <w:t xml:space="preserve">_to_2026-03-25</w:t>
            </w:r>
            <w:r>
              <w:t xml:space="preserve">) in</w:t>
            </w:r>
            <w:r>
              <w:t xml:space="preserve"> </w:t>
            </w:r>
            <w:r>
              <w:rPr>
                <w:rStyle w:val="VerbatimChar"/>
              </w:rPr>
              <w:t xml:space="preserve">data_archive/</w:t>
            </w:r>
            <w:r>
              <w:t xml:space="preserve"> </w:t>
            </w:r>
            <w:r>
              <w:t xml:space="preserve">verschoben. Ordner via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aus dem Repo gehalten, bleibt lokal verfügbar.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22.04.</w:t>
            </w:r>
          </w:p>
        </w:tc>
        <w:tc>
          <w:tcPr/>
          <w:p>
            <w:pPr>
              <w:pStyle w:val="Compact"/>
            </w:pPr>
            <w:r>
              <w:t xml:space="preserve">Präzisierung: die Interpolations-Option in Master Grafik 1 und 2 überspringt Sentiment-Reihen. Begründung siehe 4.2.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22.04.</w:t>
            </w:r>
          </w:p>
        </w:tc>
        <w:tc>
          <w:tcPr/>
          <w:p>
            <w:pPr>
              <w:pStyle w:val="Compact"/>
            </w:pPr>
            <w:r>
              <w:t xml:space="preserve">Neue Dashboard-Seite „Workflow” mit Graphviz-Diagramm der Pipeline (Rohdaten → Loader → Raw-Storage → Processing → Processed-Storage → Dashboard).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06.05.</w:t>
            </w:r>
          </w:p>
        </w:tc>
        <w:tc>
          <w:tcPr/>
          <w:p>
            <w:pPr>
              <w:pStyle w:val="Compact"/>
            </w:pPr>
            <w:r>
              <w:t xml:space="preserve">Streamlit-Cloud-Deploy: zwei Bugs gefixt —</w:t>
            </w:r>
            <w:r>
              <w:t xml:space="preserve"> </w:t>
            </w:r>
            <w:r>
              <w:rPr>
                <w:rStyle w:val="VerbatimChar"/>
              </w:rPr>
              <w:t xml:space="preserve">KeyError: date_only</w:t>
            </w:r>
            <w:r>
              <w:t xml:space="preserve"> </w:t>
            </w:r>
            <w:r>
              <w:t xml:space="preserve">im EODHD-News-Loader (</w:t>
            </w:r>
            <w:r>
              <w:rPr>
                <w:rStyle w:val="VerbatimChar"/>
              </w:rPr>
              <w:t xml:space="preserve">date_only</w:t>
            </w:r>
            <w:r>
              <w:t xml:space="preserve"> </w:t>
            </w:r>
            <w:r>
              <w:t xml:space="preserve">aus</w:t>
            </w:r>
            <w:r>
              <w:t xml:space="preserve"> </w:t>
            </w:r>
            <w:r>
              <w:rPr>
                <w:rStyle w:val="VerbatimChar"/>
              </w:rPr>
              <w:t xml:space="preserve">date.dt.normalize()</w:t>
            </w:r>
            <w:r>
              <w:t xml:space="preserve"> </w:t>
            </w:r>
            <w:r>
              <w:t xml:space="preserve">ableiten statt aus CSV lesen) und</w:t>
            </w:r>
            <w:r>
              <w:t xml:space="preserve"> </w:t>
            </w:r>
            <w:r>
              <w:rPr>
                <w:rStyle w:val="VerbatimChar"/>
              </w:rPr>
              <w:t xml:space="preserve">TypeError</w:t>
            </w:r>
            <w:r>
              <w:t xml:space="preserve"> </w:t>
            </w:r>
            <w:r>
              <w:t xml:space="preserve">bei</w:t>
            </w:r>
            <w:r>
              <w:t xml:space="preserve"> </w:t>
            </w:r>
            <w:r>
              <w:rPr>
                <w:rStyle w:val="VerbatimChar"/>
              </w:rPr>
              <w:t xml:space="preserve">pd.concat</w:t>
            </w:r>
            <w:r>
              <w:t xml:space="preserve"> </w:t>
            </w:r>
            <w:r>
              <w:t xml:space="preserve">der Master-Grafik (EODHD-Datum mit</w:t>
            </w:r>
            <w:r>
              <w:t xml:space="preserve"> </w:t>
            </w:r>
            <w:r>
              <w:rPr>
                <w:rStyle w:val="VerbatimChar"/>
              </w:rPr>
              <w:t xml:space="preserve">utc=True</w:t>
            </w:r>
            <w:r>
              <w:t xml:space="preserve"> </w:t>
            </w:r>
            <w:r>
              <w:t xml:space="preserve">parsen, dann</w:t>
            </w:r>
            <w:r>
              <w:t xml:space="preserve"> </w:t>
            </w:r>
            <w:r>
              <w:rPr>
                <w:rStyle w:val="VerbatimChar"/>
              </w:rPr>
              <w:t xml:space="preserve">tz_convert(None)</w:t>
            </w:r>
            <w:r>
              <w:t xml:space="preserve">). Commits</w:t>
            </w:r>
            <w:r>
              <w:t xml:space="preserve"> </w:t>
            </w:r>
            <w:r>
              <w:rPr>
                <w:rStyle w:val="VerbatimChar"/>
              </w:rPr>
              <w:t xml:space="preserve">2b8d4ae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13140fe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06.05.</w:t>
            </w:r>
          </w:p>
        </w:tc>
        <w:tc>
          <w:tcPr/>
          <w:p>
            <w:pPr>
              <w:pStyle w:val="Compact"/>
            </w:pPr>
            <w:r>
              <w:t xml:space="preserve">Lead/Lag-Notebook erstellt (</w:t>
            </w:r>
            <w:r>
              <w:rPr>
                <w:rStyle w:val="VerbatimChar"/>
              </w:rPr>
              <w:t xml:space="preserve">sentiment_kurs_lead_lag_analyse.ipynb</w:t>
            </w:r>
            <w:r>
              <w:t xml:space="preserve">) als zentrale Analyse für die Hypothese aus Sektion 1. Methodik: Cross-Korrelation Sentiment vs. Forex-Log-Returns, Lags ±10, beide Wege parallel, mit/ohne Interpolation als Sensitivitätscheck. Resultate in</w:t>
            </w:r>
            <w:r>
              <w:t xml:space="preserve"> </w:t>
            </w:r>
            <w:r>
              <w:rPr>
                <w:rStyle w:val="VerbatimChar"/>
              </w:rPr>
              <w:t xml:space="preserve">data/processed/news/lead_lag_results.csv</w:t>
            </w:r>
            <w:r>
              <w:t xml:space="preserve"> </w:t>
            </w:r>
            <w:r>
              <w:t xml:space="preserve">und Sektion 12 dieser Doku.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06.05.</w:t>
            </w:r>
          </w:p>
        </w:tc>
        <w:tc>
          <w:tcPr/>
          <w:p>
            <w:pPr>
              <w:pStyle w:val="Compact"/>
            </w:pPr>
            <w:r>
              <w:t xml:space="preserve">Methodik-Klärung dokumentiert: Outer-Join in</w:t>
            </w:r>
            <w:r>
              <w:t xml:space="preserve"> </w:t>
            </w:r>
            <w:r>
              <w:rPr>
                <w:rStyle w:val="VerbatimChar"/>
              </w:rPr>
              <w:t xml:space="preserve">forex_alle_quellen_kombiniert.csv</w:t>
            </w:r>
            <w:r>
              <w:t xml:space="preserve"> </w:t>
            </w:r>
            <w:r>
              <w:t xml:space="preserve">bleibt ohne Interpolation und ohne Mittelwert; Mittelwert wird zur Laufzeit gebildet, Interpolation ist optional und wird im Lead/Lag-Notebook explizit gegen die Variante ohne Interpolation verglichen. Die</w:t>
            </w:r>
            <w:r>
              <w:t xml:space="preserve"> </w:t>
            </w:r>
            <w:r>
              <w:rPr>
                <w:rStyle w:val="VerbatimChar"/>
              </w:rPr>
              <w:t xml:space="preserve">_v2</w:t>
            </w:r>
            <w:r>
              <w:t xml:space="preserve">-Outputs aus</w:t>
            </w:r>
            <w:r>
              <w:t xml:space="preserve"> </w:t>
            </w:r>
            <w:r>
              <w:rPr>
                <w:rStyle w:val="VerbatimChar"/>
              </w:rPr>
              <w:t xml:space="preserve">news_forex_korrelation_kombiniert.ipynb</w:t>
            </w:r>
            <w:r>
              <w:t xml:space="preserve"> </w:t>
            </w:r>
            <w:r>
              <w:t xml:space="preserve">(Interpolation+Mittelwert vorab) werden als alternative Methodik-Spur gehalten, sind aber nicht der primäre Auswertungspfad.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offen-todo"/>
    <w:p>
      <w:pPr>
        <w:pStyle w:val="Heading2"/>
      </w:pPr>
      <w:r>
        <w:t xml:space="preserve">17. Offen / ToDo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Statischer Bericht</w:t>
      </w:r>
      <w:r>
        <w:t xml:space="preserve">: PDF/Word-Version mit fixierten Plots (statt nur interaktivem Dashboard) für direkte Vergleichbarkeit, gemäss Wunsch der Studierenden. Architektur-Diagramm aus der Workflow-Dashboard-Seite als statisches PNG exportieren.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Repo-Aufräumung vor Abgabe</w:t>
      </w:r>
      <w:r>
        <w:t xml:space="preserve">: Doppelte/veraltete Notebooks bereinigen —</w:t>
      </w:r>
      <w:r>
        <w:t xml:space="preserve"> </w:t>
      </w:r>
      <w:r>
        <w:rPr>
          <w:rStyle w:val="VerbatimChar"/>
        </w:rPr>
        <w:t xml:space="preserve">notebooks/04_eda_news_webscraping.ipynb</w:t>
      </w:r>
      <w:r>
        <w:t xml:space="preserve"> </w:t>
      </w:r>
      <w:r>
        <w:t xml:space="preserve">(Top-Level) ist Doppelgänger zur Version in</w:t>
      </w:r>
      <w:r>
        <w:t xml:space="preserve"> </w:t>
      </w:r>
      <w:r>
        <w:rPr>
          <w:rStyle w:val="VerbatimChar"/>
        </w:rPr>
        <w:t xml:space="preserve">rohdaten_laden/</w:t>
      </w:r>
      <w:r>
        <w:t xml:space="preserve">;</w:t>
      </w:r>
      <w:r>
        <w:t xml:space="preserve"> </w:t>
      </w:r>
      <w:r>
        <w:rPr>
          <w:rStyle w:val="VerbatimChar"/>
        </w:rPr>
        <w:t xml:space="preserve">_fenlin</w:t>
      </w:r>
      <w:r>
        <w:t xml:space="preserve">-Variante und</w:t>
      </w:r>
      <w:r>
        <w:t xml:space="preserve"> </w:t>
      </w:r>
      <w:r>
        <w:rPr>
          <w:rStyle w:val="VerbatimChar"/>
        </w:rPr>
        <w:t xml:space="preserve">Test_datenanalyse.ipynb</w:t>
      </w:r>
      <w:r>
        <w:t xml:space="preserve"> </w:t>
      </w:r>
      <w:r>
        <w:t xml:space="preserve">evaluieren;</w:t>
      </w:r>
      <w:r>
        <w:t xml:space="preserve"> </w:t>
      </w:r>
      <w:r>
        <w:rPr>
          <w:rStyle w:val="VerbatimChar"/>
        </w:rPr>
        <w:t xml:space="preserve">Folien 4.pdf</w:t>
      </w:r>
      <w:r>
        <w:t xml:space="preserve">/</w:t>
      </w:r>
      <w:r>
        <w:rPr>
          <w:rStyle w:val="VerbatimChar"/>
        </w:rPr>
        <w:t xml:space="preserve">Folien 5.pdf</w:t>
      </w:r>
      <w:r>
        <w:t xml:space="preserve">/</w:t>
      </w:r>
      <w:r>
        <w:rPr>
          <w:rStyle w:val="VerbatimChar"/>
        </w:rPr>
        <w:t xml:space="preserve">Folien 6.pdf</w:t>
      </w:r>
      <w:r>
        <w:t xml:space="preserve"> </w:t>
      </w:r>
      <w:r>
        <w:t xml:space="preserve">im</w:t>
      </w:r>
      <w:r>
        <w:t xml:space="preserve"> </w:t>
      </w:r>
      <w:r>
        <w:rPr>
          <w:rStyle w:val="VerbatimChar"/>
        </w:rPr>
        <w:t xml:space="preserve">slides/</w:t>
      </w:r>
      <w:r>
        <w:t xml:space="preserve">-Ordner sind byte-identische Doppel von</w:t>
      </w:r>
      <w:r>
        <w:t xml:space="preserve"> </w:t>
      </w:r>
      <w:r>
        <w:rPr>
          <w:rStyle w:val="VerbatimChar"/>
        </w:rPr>
        <w:t xml:space="preserve">W04_dwae.pdf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W05_dwae.pdf</w:t>
      </w:r>
      <w:r>
        <w:t xml:space="preserve"> </w:t>
      </w:r>
      <w:r>
        <w:t xml:space="preserve">(Slide-Agent-Befund 06.05.);</w:t>
      </w:r>
      <w:r>
        <w:t xml:space="preserve"> </w:t>
      </w:r>
      <w:r>
        <w:rPr>
          <w:rStyle w:val="VerbatimChar"/>
        </w:rPr>
        <w:t xml:space="preserve">data_archive/</w:t>
      </w:r>
      <w:r>
        <w:t xml:space="preserve">-Struktur befüllen.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Granger-Causality-Test</w:t>
      </w:r>
      <w:r>
        <w:t xml:space="preserve">: Im Lead/Lag-Notebook als deaktivierte Cell vorbereitet —</w:t>
      </w:r>
      <w:r>
        <w:t xml:space="preserve"> </w:t>
      </w:r>
      <w:r>
        <w:rPr>
          <w:rStyle w:val="VerbatimChar"/>
        </w:rPr>
        <w:t xml:space="preserve">pip install statsmodels</w:t>
      </w:r>
      <w:r>
        <w:t xml:space="preserve"> </w:t>
      </w:r>
      <w:r>
        <w:t xml:space="preserve">und Aktivierung der Cell genügen. Bei einer formellen Auswertung ist Granger der nächste methodische Schritt nach Cross-Korrelation.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FinBERT / VADER mit Loughran-McDonald-Lexikon</w:t>
      </w:r>
      <w:r>
        <w:t xml:space="preserve"> </w:t>
      </w:r>
      <w:r>
        <w:t xml:space="preserve">als Sentiment-Methode für Finanztexte evaluieren — würde die ~33 % Null-Polarity bei TextBlob deutlich reduzieren und ist eine inhaltlich sinnvolle Erweiterung.</w:t>
      </w:r>
    </w:p>
    <w:p>
      <w:pPr>
        <w:pStyle w:val="Compact"/>
        <w:numPr>
          <w:ilvl w:val="0"/>
          <w:numId w:val="1025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news_forex_korrelation_kombiniert.ipynb</w:t>
      </w:r>
      <w:r>
        <w:t xml:space="preserve"> </w:t>
      </w:r>
      <w:r>
        <w:t xml:space="preserve">mit aktualisierten Daten neu durchlaufen, um die</w:t>
      </w:r>
      <w:r>
        <w:t xml:space="preserve"> </w:t>
      </w:r>
      <w:r>
        <w:rPr>
          <w:rStyle w:val="VerbatimChar"/>
        </w:rPr>
        <w:t xml:space="preserve">_v2</w:t>
      </w:r>
      <w:r>
        <w:t xml:space="preserve">-CSVs zu regenerieren (Dashboard ist nicht davon abhängig).</w:t>
      </w:r>
    </w:p>
    <w:p>
      <w:pPr>
        <w:pStyle w:val="Compact"/>
        <w:numPr>
          <w:ilvl w:val="0"/>
          <w:numId w:val="1025"/>
        </w:numPr>
      </w:pPr>
      <w:r>
        <w:t xml:space="preserve">Optional: Fenlins parallele Arbeit (</w:t>
      </w:r>
      <w:r>
        <w:rPr>
          <w:rStyle w:val="VerbatimChar"/>
        </w:rPr>
        <w:t xml:space="preserve">05_merge_und_korrelation.ipynb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data/final/forex_news_merged.csv</w:t>
      </w:r>
      <w:r>
        <w:t xml:space="preserve">) mit dem PoC-Pfad abgleichen und ggf. konsolidieren.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2026-05-06T17:00:05Z</dcterms:created>
  <dcterms:modified xsi:type="dcterms:W3CDTF">2026-05-06T17:00:05Z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