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44"/>
        </w:rPr>
        <w:t>Zusammenhang zwischen Nachrichten-Sentiment und Wechselkursen</w:t>
      </w:r>
    </w:p>
    <w:p>
      <w:pPr>
        <w:jc w:val="center"/>
      </w:pPr>
      <w:r>
        <w:rPr>
          <w:sz w:val="26"/>
        </w:rPr>
        <w:t>Ein Data-Engineering- und Wrangling-Projekt zu EUR/USD, EUR/CHF und GBP/USD</w:t>
      </w:r>
    </w:p>
    <w:p/>
    <w:p/>
    <w:p/>
    <w:p/>
    <w:p/>
    <w:p/>
    <w:p>
      <w:pPr>
        <w:jc w:val="center"/>
      </w:pPr>
      <w:r>
        <w:rPr>
          <w:sz w:val="24"/>
        </w:rPr>
        <w:t>Modul: Data Engineering and Wrangling</w:t>
      </w:r>
    </w:p>
    <w:p>
      <w:pPr>
        <w:jc w:val="center"/>
      </w:pPr>
      <w:r>
        <w:rPr>
          <w:sz w:val="24"/>
        </w:rPr>
        <w:t>Studiengang Business Artificial Intelligence (BAI)</w:t>
      </w:r>
    </w:p>
    <w:p>
      <w:pPr>
        <w:jc w:val="center"/>
      </w:pPr>
      <w:r>
        <w:rPr>
          <w:sz w:val="24"/>
        </w:rPr>
        <w:t>Fachhochschule Nordwestschweiz (FHNW)</w:t>
      </w:r>
    </w:p>
    <w:p>
      <w:pPr>
        <w:jc w:val="center"/>
      </w:pPr>
      <w:r>
        <w:rPr>
          <w:sz w:val="24"/>
        </w:rPr>
        <w:t>Frühjahrssemester 2026</w:t>
      </w:r>
    </w:p>
    <w:p>
      <w:pPr>
        <w:jc w:val="center"/>
      </w:pPr>
      <w:r>
        <w:rPr>
          <w:sz w:val="24"/>
        </w:rPr>
      </w:r>
    </w:p>
    <w:p>
      <w:pPr>
        <w:jc w:val="center"/>
      </w:pPr>
      <w:r>
        <w:rPr>
          <w:sz w:val="24"/>
        </w:rPr>
        <w:t>Verfasst von:</w:t>
      </w:r>
    </w:p>
    <w:p>
      <w:pPr>
        <w:jc w:val="center"/>
      </w:pPr>
      <w:r>
        <w:rPr>
          <w:sz w:val="24"/>
        </w:rPr>
        <w:t>Jeremy Nathan, Stirling Mulholland, Fenlin Chirakkal</w:t>
      </w:r>
    </w:p>
    <w:p>
      <w:r>
        <w:br w:type="page"/>
      </w:r>
    </w:p>
    <w:p>
      <w:pPr>
        <w:pStyle w:val="Heading1"/>
      </w:pPr>
      <w:r>
        <w:t>Inhaltsverzeichnis</w:t>
      </w:r>
    </w:p>
    <w:p>
      <w:r>
        <w:fldChar w:fldCharType="begin"/>
        <w:instrText xml:space="preserve">TOC \o "1-3" \h \z \u</w:instrText>
        <w:fldChar w:fldCharType="separate"/>
        <w:t>Rechtsklick auf dieses Feld, dann Feld aktualisieren, um das Inhaltsverzeichnis zu füllen.</w:t>
        <w:fldChar w:fldCharType="end"/>
      </w:r>
    </w:p>
    <w:p>
      <w:r>
        <w:br w:type="page"/>
      </w:r>
    </w:p>
    <w:p>
      <w:pPr>
        <w:pStyle w:val="Heading1"/>
      </w:pPr>
      <w:r>
        <w:t>Abbildungsverzeichnis</w:t>
      </w:r>
    </w:p>
    <w:p>
      <w:pPr>
        <w:jc w:val="both"/>
      </w:pPr>
      <w:r>
        <w:t>Abbildung 1: Aufbau der Datenpipeline von der Quelle bis zu den Auswertungen</w:t>
      </w:r>
    </w:p>
    <w:p>
      <w:pPr>
        <w:jc w:val="both"/>
      </w:pPr>
      <w:r>
        <w:t>Abbildung 2: Verteilung der Tagesveränderungen mit Boxplot der Extremwerte</w:t>
      </w:r>
    </w:p>
    <w:p>
      <w:pPr>
        <w:jc w:val="both"/>
      </w:pPr>
      <w:r>
        <w:t>Abbildung 3: Quellenvergleich vor und nach der Datums-Ausrichtung</w:t>
      </w:r>
    </w:p>
    <w:p>
      <w:pPr>
        <w:jc w:val="both"/>
      </w:pPr>
      <w:r>
        <w:t>Abbildung 4: Eigenes Sentiment im Vergleich zum vorberechneten Sentiment von EODHD</w:t>
      </w:r>
    </w:p>
    <w:p>
      <w:pPr>
        <w:jc w:val="both"/>
      </w:pPr>
      <w:r>
        <w:t>Abbildung 5: Zusammenhang zwischen Sentiment und Kursveränderung je zeitlicher Verschiebung</w:t>
      </w:r>
    </w:p>
    <w:p>
      <w:pPr>
        <w:jc w:val="both"/>
      </w:pPr>
      <w:r>
        <w:t>Abbildung 6: EUR/USD, Kursniveau und wöchentliches Nachrichten-Sentiment im Zeitverlauf</w:t>
      </w:r>
    </w:p>
    <w:p>
      <w:pPr>
        <w:jc w:val="both"/>
      </w:pPr>
      <w:r>
        <w:t>Abbildung 7: GBP/USD, Kursniveau und wöchentliches Nachrichten-Sentiment im Zeitverlauf</w:t>
      </w:r>
    </w:p>
    <w:p>
      <w:pPr>
        <w:jc w:val="both"/>
      </w:pPr>
      <w:r>
        <w:t>Abbildung 8: Sentiment einer Woche und kumulative Kursbewegung der Folgewochen</w:t>
      </w:r>
    </w:p>
    <w:p>
      <w:pPr>
        <w:jc w:val="both"/>
      </w:pPr>
      <w:r>
        <w:t>Abbildung 9: Ölpreise WTI und Brent im Zeitverlauf (Anhang E)</w:t>
      </w:r>
    </w:p>
    <w:p>
      <w:pPr>
        <w:jc w:val="both"/>
      </w:pPr>
      <w:r>
        <w:t>Abbildung 10: Monatliche Datenabdeckung je Quelle und Währungspaar (Anhang E)</w:t>
      </w:r>
    </w:p>
    <w:p>
      <w:pPr>
        <w:pStyle w:val="Heading1"/>
      </w:pPr>
      <w:r>
        <w:t>Tabellenverzeichnis</w:t>
      </w:r>
    </w:p>
    <w:p>
      <w:pPr>
        <w:jc w:val="both"/>
      </w:pPr>
      <w:r>
        <w:t>Tabelle 1: Eingesetzte Werkzeuge nach Aufgabe</w:t>
      </w:r>
    </w:p>
    <w:p>
      <w:pPr>
        <w:jc w:val="both"/>
      </w:pPr>
      <w:r>
        <w:t>Tabelle 2: Übersicht der Datenquellen und geladenen Symbole</w:t>
      </w:r>
    </w:p>
    <w:p>
      <w:pPr>
        <w:jc w:val="both"/>
      </w:pPr>
      <w:r>
        <w:t>Tabelle 3: Umfang, fehlende Werte und Duplikate je Datensatz</w:t>
      </w:r>
    </w:p>
    <w:p>
      <w:pPr>
        <w:jc w:val="both"/>
      </w:pPr>
      <w:r>
        <w:t>Tabelle 4: Übereinstimmung von Yahoo und EODHD vor der Korrektur</w:t>
      </w:r>
    </w:p>
    <w:p>
      <w:pPr>
        <w:jc w:val="both"/>
      </w:pPr>
      <w:r>
        <w:t>Tabelle 5: Zusammenhang am selben Tag mit und ohne Interpolation</w:t>
      </w:r>
    </w:p>
    <w:p>
      <w:pPr>
        <w:jc w:val="both"/>
      </w:pPr>
      <w:r>
        <w:t>Tabelle 6: Stärkster Zusammenhang je Wechselkurs auf Tagesebene</w:t>
      </w:r>
    </w:p>
    <w:p>
      <w:pPr>
        <w:jc w:val="both"/>
      </w:pPr>
      <w:r>
        <w:t>Tabelle 7: Sentiment einer Woche und Kursbewegung in den Folgewochen</w:t>
      </w:r>
    </w:p>
    <w:p>
      <w:pPr>
        <w:jc w:val="both"/>
      </w:pPr>
      <w:r>
        <w:t>Tabelle 8: Zusammenhang im selben Zeitraum je Zeithorizont</w:t>
      </w:r>
    </w:p>
    <w:p>
      <w:pPr>
        <w:jc w:val="both"/>
      </w:pPr>
      <w:r>
        <w:t>Tabelle 9: Granger-Test, p-Werte für den Vorhersagebeitrag des Sentiments</w:t>
      </w:r>
    </w:p>
    <w:p>
      <w:pPr>
        <w:jc w:val="both"/>
      </w:pPr>
      <w:r>
        <w:t>Tabelle 10: Glossar der wichtigsten Begriffe</w:t>
      </w:r>
    </w:p>
    <w:p>
      <w:pPr>
        <w:jc w:val="both"/>
      </w:pPr>
      <w:r>
        <w:t>Tabelle 11: Artikel pro Tag und Währungspaar bei EODHD (Anhang E)</w:t>
      </w:r>
    </w:p>
    <w:p>
      <w:r>
        <w:br w:type="page"/>
      </w:r>
    </w:p>
    <w:p>
      <w:pPr>
        <w:pStyle w:val="Heading1"/>
      </w:pPr>
      <w:r>
        <w:t>1. Einleitung</w:t>
      </w:r>
    </w:p>
    <w:p>
      <w:pPr>
        <w:pStyle w:val="Heading2"/>
      </w:pPr>
      <w:r>
        <w:t>1.1 Ausgangslage und Ziel</w:t>
      </w:r>
    </w:p>
    <w:p>
      <w:pPr>
        <w:jc w:val="both"/>
      </w:pPr>
      <w:r>
        <w:t>Wechselkurse reagieren laufend auf neue Informationen, und ein grosser Teil dieser Informationen erreicht den Markt in Form von Finanznachrichten. Dieses Projekt untersucht, ob sich zwischen der Stimmung in solchen Nachrichten und der Bewegung von Wechselkursen ein messbarer Zusammenhang zeigt. Betrachtet werden die drei Wechselkurse Euro zu US-Dollar (EUR/USD), Euro zu Schweizer Franken (EUR/CHF) und Britisches Pfund zu US-Dollar (GBP/USD) im Zeitraum vom 3. Januar 2022 bis zum 21. April 2026. Der Zeitraum umfasst damit gut vier Jahre und sowohl ruhige als auch unruhige Marktphasen; er beginnt am ersten Handelstag des Jahres 2022 und endet am letzten Handelstag, der beim Laden der Daten vollständig vorlag.</w:t>
      </w:r>
    </w:p>
    <w:p>
      <w:pPr>
        <w:jc w:val="both"/>
      </w:pPr>
      <w:r>
        <w:t>Der Schwerpunkt der Arbeit liegt auf der Aufbereitung der Daten: aus mehreren, unterschiedlich aufgebauten Quellen vergleichbare Zeitreihen bauen, Qualitätsprobleme erkennen und beheben, und jede Entscheidung nachvollziehbar begründen. Die Beantwortung der Forschungsfrage ist das Anwendungsbeispiel, an dem wir die aufbereiteten Daten zeigen.</w:t>
      </w:r>
    </w:p>
    <w:p>
      <w:pPr>
        <w:pStyle w:val="Heading2"/>
      </w:pPr>
      <w:r>
        <w:t>1.2 Forschungsfrage</w:t>
      </w:r>
    </w:p>
    <w:p>
      <w:pPr>
        <w:jc w:val="both"/>
      </w:pPr>
      <w:r>
        <w:t>Die Arbeit geht der folgenden Frage nach:</w:t>
      </w:r>
    </w:p>
    <w:p>
      <w:pPr>
        <w:ind w:left="340"/>
      </w:pPr>
      <w:r>
        <w:rPr>
          <w:i/>
        </w:rPr>
        <w:t>Hat die Stimmung von Finanznachrichten einen Einfluss auf Wechselkurse, und falls ja, mit welcher zeitlichen Verzögerung?</w:t>
      </w:r>
    </w:p>
    <w:p>
      <w:pPr>
        <w:jc w:val="both"/>
      </w:pPr>
      <w:r>
        <w:t>Anschaulich formuliert: Wenn die Nachrichten in einem bestimmten Zeitraum überwiegend negativ waren, bewegt sich der Wechselkurs dann im selben Zeitraum oder erst danach nach unten? Der betrachtete Zeitraum ist dabei frei wählbar. Wir verwenden im Bericht meist eine Woche als anschauliches Beispiel, prüfen den Zusammenhang aber ebenso auf Tagesebene und auf anderen Zeithorizonten wie zehn Tagen oder einem Monat.</w:t>
      </w:r>
    </w:p>
    <w:p>
      <w:pPr>
        <w:jc w:val="both"/>
      </w:pPr>
      <w:r>
        <w:t>Unter Stimmung verstehen wir das Sentiment: eine Zahl, die ausdrückt, wie negativ oder positiv ein Text formuliert ist. Sie reicht von minus eins (sehr negativ) über null (neutral) bis plus eins (sehr positiv).</w:t>
      </w:r>
    </w:p>
    <w:p>
      <w:pPr>
        <w:pStyle w:val="Heading2"/>
      </w:pPr>
      <w:r>
        <w:t>1.3 Hypothesen</w:t>
      </w:r>
    </w:p>
    <w:p>
      <w:pPr>
        <w:jc w:val="both"/>
      </w:pPr>
      <w:r>
        <w:t>Wir übersetzen die Frage in drei mögliche Antworten. Dabei steht die zeitliche Verschiebung k für den Abstand zwischen Nachrichten und Kursbewegung, gemessen in der jeweils betrachteten Zeiteinheit (Tage, Wochen oder Monate).</w:t>
      </w:r>
    </w:p>
    <w:p>
      <w:pPr>
        <w:spacing w:after="0"/>
      </w:pPr>
      <w:r>
        <w:rPr>
          <w:b/>
        </w:rPr>
        <w:t>Hypothese H1: das Sentiment läuft dem Kurs voraus</w:t>
      </w:r>
    </w:p>
    <w:p>
      <w:pPr>
        <w:ind w:left="340"/>
        <w:jc w:val="both"/>
      </w:pPr>
      <w:r>
        <w:t>Die Stimmung eines Zeitraums sagt die Kursbewegung der folgenden Zeiträume voraus. Negative Nachrichten heute bedeuten einen fallenden Kurs in den nächsten Tagen oder Wochen. Diese Hypothese würde einen Vorlauf des Sentiments behaupten.</w:t>
      </w:r>
    </w:p>
    <w:p>
      <w:pPr>
        <w:spacing w:after="0"/>
      </w:pPr>
      <w:r>
        <w:rPr>
          <w:b/>
        </w:rPr>
        <w:t>Alternative A1: Sentiment und Kurs bewegen sich gleichzeitig</w:t>
      </w:r>
    </w:p>
    <w:p>
      <w:pPr>
        <w:ind w:left="340"/>
        <w:jc w:val="both"/>
      </w:pPr>
      <w:r>
        <w:t>Stimmung und Kurs ändern sich im selben Zeitraum, ohne dass eine Reihe der anderen vorausläuft. Das Sentiment ist dann eine Begleitinformation, kein Frühindikator.</w:t>
      </w:r>
    </w:p>
    <w:p>
      <w:pPr>
        <w:spacing w:after="0"/>
      </w:pPr>
      <w:r>
        <w:rPr>
          <w:b/>
        </w:rPr>
        <w:t>Alternative A2: der Kurs läuft dem Sentiment voraus</w:t>
      </w:r>
    </w:p>
    <w:p>
      <w:pPr>
        <w:ind w:left="340"/>
        <w:jc w:val="both"/>
      </w:pPr>
      <w:r>
        <w:t>Der Kurs bewegt sich zuerst, die Nachrichten berichten erst danach darüber. Die zeitliche Reihenfolge wäre dann umgekehrt.</w:t>
      </w:r>
    </w:p>
    <w:p>
      <w:pPr>
        <w:pStyle w:val="Heading2"/>
      </w:pPr>
      <w:r>
        <w:t>1.4 Aufbau der Arbeit</w:t>
      </w:r>
    </w:p>
    <w:p>
      <w:pPr>
        <w:jc w:val="both"/>
      </w:pPr>
      <w:r>
        <w:t>Die Daten durchlaufen mehrere Schritte, die zugleich den Aufbau dieses Berichts bilden: Daten laden (Kapitel 4), bereinigen und auf Qualität prüfen (Kapitel 5), harmonisieren (Kapitel 6), in Analysegrössen umrechnen (Kapitel 7), das Sentiment bestimmen (Kapitel 8) und schliesslich auswerten (Kapitel 9). Abbildung 1 zeigt diesen Weg im Überblick. Die Rohdaten bleiben dabei unverändert erhalten, abgeleitete Ergebnisse entstehen in einer getrennten Verarbeitungsschicht. So lässt sich jeder Schritt wiederholen und prüfen, ohne die Originaldaten zu verändern, und ein Fehler in der Verarbeitung erfordert kein neues Laden von den Anbietern. Jeder Verarbeitungsschritt ist als eigenes Skript umgesetzt und liefert bei gleichen Eingaben dasselbe Ergebnis (Anhang C zeigt die Befehle).</w:t>
      </w:r>
    </w:p>
    <w:p>
      <w:pPr>
        <w:jc w:val="center"/>
      </w:pPr>
      <w:r>
        <w:drawing>
          <wp:inline xmlns:a="http://schemas.openxmlformats.org/drawingml/2006/main" xmlns:pic="http://schemas.openxmlformats.org/drawingml/2006/picture">
            <wp:extent cx="6120000" cy="2949598"/>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6120000" cy="2949598"/>
                    </a:xfrm>
                    <a:prstGeom prst="rect"/>
                  </pic:spPr>
                </pic:pic>
              </a:graphicData>
            </a:graphic>
          </wp:inline>
        </w:drawing>
      </w:r>
    </w:p>
    <w:p>
      <w:pPr>
        <w:jc w:val="center"/>
      </w:pPr>
      <w:r>
        <w:rPr>
          <w:i/>
          <w:sz w:val="18"/>
        </w:rPr>
        <w:t>Abbildung 1: Aufbau der Datenpipeline von der Quelle bis zu den Auswertungen.</w:t>
      </w:r>
    </w:p>
    <w:p/>
    <w:p>
      <w:pPr>
        <w:jc w:val="both"/>
      </w:pPr>
      <w:r>
        <w:t>Das Projekt besteht aus zwei Teilen. Den Kern bildet die Datenpipeline mit den Wechselkursen von Yahoo Finance, EODHD und MetaTrader 5 sowie den Finanznachrichten von EODHD samt deren fertig berechnetem Sentiment. Darauf beruht die Analyse.</w:t>
      </w:r>
    </w:p>
    <w:p>
      <w:pPr>
        <w:jc w:val="both"/>
      </w:pPr>
      <w:r>
        <w:t>Speziell für die Nachrichten und deren Stimmungsanalyse zeigen wir zusätzlich, wie sich dieser Schritt selbst umsetzen lässt, und zwar auf zwei Arten. Erstens nehmen wir den Nachrichtentext von EODHD und berechnen das Sentiment mit einem eigenen Verfahren, statt den fertigen Wert von EODHD zu übernehmen. Zweitens beschaffen wir die Nachrichten vollständig selbst über Webscraping und berechnen auch dort das Sentiment selbst. So decken wir den gesamten Weg von der eigenen Datenbeschaffung bis zum fertigen Stimmungswert ab.</w:t>
      </w:r>
    </w:p>
    <w:p>
      <w:r>
        <w:br w:type="page"/>
      </w:r>
    </w:p>
    <w:p>
      <w:pPr>
        <w:pStyle w:val="Heading1"/>
      </w:pPr>
      <w:r>
        <w:t>2. Eingesetzte Werkzeuge</w:t>
      </w:r>
    </w:p>
    <w:p>
      <w:pPr>
        <w:jc w:val="both"/>
      </w:pPr>
      <w:r>
        <w:t>Das Projekt ist in Python umgesetzt. Die folgende Tabelle zeigt, welche Programmbibliothek wir für welche Aufgabe verwendet haben.</w:t>
      </w:r>
    </w:p>
    <w:p>
      <w:pPr>
        <w:jc w:val="center"/>
      </w:pPr>
      <w:r>
        <w:rPr>
          <w:i/>
          <w:sz w:val="18"/>
        </w:rPr>
        <w:t>Tabelle 1: Eingesetzte Werkzeuge nach Aufgabe</w:t>
      </w:r>
    </w:p>
    <w:tbl>
      <w:tblPr>
        <w:tblStyle w:val="TableGrid"/>
        <w:tblW w:type="auto" w:w="0"/>
        <w:jc w:val="center"/>
        <w:tblLook w:firstColumn="1" w:firstRow="1" w:lastColumn="0" w:lastRow="0" w:noHBand="0" w:noVBand="1" w:val="04A0"/>
      </w:tblPr>
      <w:tblGrid>
        <w:gridCol w:w="4986"/>
        <w:gridCol w:w="4986"/>
      </w:tblGrid>
      <w:tr>
        <w:tc>
          <w:tcPr>
            <w:tcW w:type="dxa" w:w="4252"/>
            <w:shd w:val="clear" w:color="auto" w:fill="404040"/>
          </w:tcPr>
          <w:p>
            <w:r/>
            <w:r>
              <w:rPr>
                <w:b/>
                <w:color w:val="FFFFFF"/>
                <w:sz w:val="18"/>
              </w:rPr>
              <w:t>Aufgabe</w:t>
            </w:r>
          </w:p>
        </w:tc>
        <w:tc>
          <w:tcPr>
            <w:tcW w:type="dxa" w:w="4819"/>
            <w:shd w:val="clear" w:color="auto" w:fill="404040"/>
          </w:tcPr>
          <w:p>
            <w:r/>
            <w:r>
              <w:rPr>
                <w:b/>
                <w:color w:val="FFFFFF"/>
                <w:sz w:val="18"/>
              </w:rPr>
              <w:t>Werkzeug</w:t>
            </w:r>
          </w:p>
        </w:tc>
      </w:tr>
      <w:tr>
        <w:tc>
          <w:tcPr>
            <w:tcW w:type="dxa" w:w="4252"/>
          </w:tcPr>
          <w:p>
            <w:r/>
            <w:r>
              <w:rPr>
                <w:b w:val="0"/>
                <w:sz w:val="18"/>
              </w:rPr>
              <w:t>Programmiersprache</w:t>
            </w:r>
          </w:p>
        </w:tc>
        <w:tc>
          <w:tcPr>
            <w:tcW w:type="dxa" w:w="4819"/>
          </w:tcPr>
          <w:p>
            <w:r/>
            <w:r>
              <w:rPr>
                <w:b w:val="0"/>
                <w:sz w:val="18"/>
              </w:rPr>
              <w:t>Python 3.12</w:t>
            </w:r>
          </w:p>
        </w:tc>
      </w:tr>
      <w:tr>
        <w:tc>
          <w:tcPr>
            <w:tcW w:type="dxa" w:w="4252"/>
          </w:tcPr>
          <w:p>
            <w:r/>
            <w:r>
              <w:rPr>
                <w:b w:val="0"/>
                <w:sz w:val="18"/>
              </w:rPr>
              <w:t>Wechselkurse und Ölpreise laden</w:t>
            </w:r>
          </w:p>
        </w:tc>
        <w:tc>
          <w:tcPr>
            <w:tcW w:type="dxa" w:w="4819"/>
          </w:tcPr>
          <w:p>
            <w:r/>
            <w:r>
              <w:rPr>
                <w:b w:val="0"/>
                <w:sz w:val="18"/>
              </w:rPr>
              <w:t>yfinance</w:t>
            </w:r>
          </w:p>
        </w:tc>
      </w:tr>
      <w:tr>
        <w:tc>
          <w:tcPr>
            <w:tcW w:type="dxa" w:w="4252"/>
          </w:tcPr>
          <w:p>
            <w:r/>
            <w:r>
              <w:rPr>
                <w:b w:val="0"/>
                <w:sz w:val="18"/>
              </w:rPr>
              <w:t>EODHD-Daten laden (Kurse und Nachrichten)</w:t>
            </w:r>
          </w:p>
        </w:tc>
        <w:tc>
          <w:tcPr>
            <w:tcW w:type="dxa" w:w="4819"/>
          </w:tcPr>
          <w:p>
            <w:r/>
            <w:r>
              <w:rPr>
                <w:b w:val="0"/>
                <w:sz w:val="18"/>
              </w:rPr>
              <w:t>requests</w:t>
            </w:r>
          </w:p>
        </w:tc>
      </w:tr>
      <w:tr>
        <w:tc>
          <w:tcPr>
            <w:tcW w:type="dxa" w:w="4252"/>
          </w:tcPr>
          <w:p>
            <w:r/>
            <w:r>
              <w:rPr>
                <w:b w:val="0"/>
                <w:sz w:val="18"/>
              </w:rPr>
              <w:t>Nachrichten sammeln (Webscraping)</w:t>
            </w:r>
          </w:p>
        </w:tc>
        <w:tc>
          <w:tcPr>
            <w:tcW w:type="dxa" w:w="4819"/>
          </w:tcPr>
          <w:p>
            <w:r/>
            <w:r>
              <w:rPr>
                <w:b w:val="0"/>
                <w:sz w:val="18"/>
              </w:rPr>
              <w:t>requests, feedparser, BeautifulSoup</w:t>
            </w:r>
          </w:p>
        </w:tc>
      </w:tr>
      <w:tr>
        <w:tc>
          <w:tcPr>
            <w:tcW w:type="dxa" w:w="4252"/>
          </w:tcPr>
          <w:p>
            <w:r/>
            <w:r>
              <w:rPr>
                <w:b w:val="0"/>
                <w:sz w:val="18"/>
              </w:rPr>
              <w:t>Datenverarbeitung und Berechnung</w:t>
            </w:r>
          </w:p>
        </w:tc>
        <w:tc>
          <w:tcPr>
            <w:tcW w:type="dxa" w:w="4819"/>
          </w:tcPr>
          <w:p>
            <w:r/>
            <w:r>
              <w:rPr>
                <w:b w:val="0"/>
                <w:sz w:val="18"/>
              </w:rPr>
              <w:t>pandas, numpy, scipy</w:t>
            </w:r>
          </w:p>
        </w:tc>
      </w:tr>
      <w:tr>
        <w:tc>
          <w:tcPr>
            <w:tcW w:type="dxa" w:w="4252"/>
          </w:tcPr>
          <w:p>
            <w:r/>
            <w:r>
              <w:rPr>
                <w:b w:val="0"/>
                <w:sz w:val="18"/>
              </w:rPr>
              <w:t>Eigene Sentiment-Analyse</w:t>
            </w:r>
          </w:p>
        </w:tc>
        <w:tc>
          <w:tcPr>
            <w:tcW w:type="dxa" w:w="4819"/>
          </w:tcPr>
          <w:p>
            <w:r/>
            <w:r>
              <w:rPr>
                <w:b w:val="0"/>
                <w:sz w:val="18"/>
              </w:rPr>
              <w:t>TextBlob</w:t>
            </w:r>
          </w:p>
        </w:tc>
      </w:tr>
      <w:tr>
        <w:tc>
          <w:tcPr>
            <w:tcW w:type="dxa" w:w="4252"/>
          </w:tcPr>
          <w:p>
            <w:r/>
            <w:r>
              <w:rPr>
                <w:b w:val="0"/>
                <w:sz w:val="18"/>
              </w:rPr>
              <w:t>Statistische Tests (Granger)</w:t>
            </w:r>
          </w:p>
        </w:tc>
        <w:tc>
          <w:tcPr>
            <w:tcW w:type="dxa" w:w="4819"/>
          </w:tcPr>
          <w:p>
            <w:r/>
            <w:r>
              <w:rPr>
                <w:b w:val="0"/>
                <w:sz w:val="18"/>
              </w:rPr>
              <w:t>statsmodels</w:t>
            </w:r>
          </w:p>
        </w:tc>
      </w:tr>
      <w:tr>
        <w:tc>
          <w:tcPr>
            <w:tcW w:type="dxa" w:w="4252"/>
          </w:tcPr>
          <w:p>
            <w:r/>
            <w:r>
              <w:rPr>
                <w:b w:val="0"/>
                <w:sz w:val="18"/>
              </w:rPr>
              <w:t>Abbildungen im Bericht</w:t>
            </w:r>
          </w:p>
        </w:tc>
        <w:tc>
          <w:tcPr>
            <w:tcW w:type="dxa" w:w="4819"/>
          </w:tcPr>
          <w:p>
            <w:r/>
            <w:r>
              <w:rPr>
                <w:b w:val="0"/>
                <w:sz w:val="18"/>
              </w:rPr>
              <w:t>matplotlib, seaborn</w:t>
            </w:r>
          </w:p>
        </w:tc>
      </w:tr>
      <w:tr>
        <w:tc>
          <w:tcPr>
            <w:tcW w:type="dxa" w:w="4252"/>
          </w:tcPr>
          <w:p>
            <w:r/>
            <w:r>
              <w:rPr>
                <w:b w:val="0"/>
                <w:sz w:val="18"/>
              </w:rPr>
              <w:t>Interaktive Darstellung (Anhang D)</w:t>
            </w:r>
          </w:p>
        </w:tc>
        <w:tc>
          <w:tcPr>
            <w:tcW w:type="dxa" w:w="4819"/>
          </w:tcPr>
          <w:p>
            <w:r/>
            <w:r>
              <w:rPr>
                <w:b w:val="0"/>
                <w:sz w:val="18"/>
              </w:rPr>
              <w:t>plotly, streamlit</w:t>
            </w:r>
          </w:p>
        </w:tc>
      </w:tr>
      <w:tr>
        <w:tc>
          <w:tcPr>
            <w:tcW w:type="dxa" w:w="4252"/>
          </w:tcPr>
          <w:p>
            <w:r/>
            <w:r>
              <w:rPr>
                <w:b w:val="0"/>
                <w:sz w:val="18"/>
              </w:rPr>
              <w:t>Pipeline-Diagramm</w:t>
            </w:r>
          </w:p>
        </w:tc>
        <w:tc>
          <w:tcPr>
            <w:tcW w:type="dxa" w:w="4819"/>
          </w:tcPr>
          <w:p>
            <w:r/>
            <w:r>
              <w:rPr>
                <w:b w:val="0"/>
                <w:sz w:val="18"/>
              </w:rPr>
              <w:t>Graphviz</w:t>
            </w:r>
          </w:p>
        </w:tc>
      </w:tr>
    </w:tbl>
    <w:p/>
    <w:p>
      <w:r>
        <w:br w:type="page"/>
      </w:r>
    </w:p>
    <w:p>
      <w:pPr>
        <w:pStyle w:val="Heading1"/>
      </w:pPr>
      <w:r>
        <w:t>3. Datengrundlage</w:t>
      </w:r>
    </w:p>
    <w:p>
      <w:pPr>
        <w:pStyle w:val="Heading2"/>
      </w:pPr>
      <w:r>
        <w:t>3.1 Übersicht der Quellen</w:t>
      </w:r>
    </w:p>
    <w:p>
      <w:pPr>
        <w:jc w:val="both"/>
      </w:pPr>
      <w:r>
        <w:t>Wir verwenden bewusst mehrere Quellen pro Datentyp. Nur so lassen sich die Quellen gegeneinander prüfen, was im Projekt einen echten Datenfehler aufgedeckt hat (Kapitel 5.5). Tabelle 2 zeigt, welche Quelle welche Wechselkurse und Nachrichten liefert. Blau markiert ist, was direkt in die Analyse einfliesst, orange die eigene Umsetzung der Nachrichten und des Sentiments.</w:t>
      </w:r>
    </w:p>
    <w:p>
      <w:pPr>
        <w:jc w:val="center"/>
      </w:pPr>
      <w:r>
        <w:rPr>
          <w:i/>
          <w:sz w:val="18"/>
        </w:rPr>
        <w:t>Tabelle 2: Übersicht der Datenquellen und geladenen Symbole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361"/>
            <w:shd w:val="clear" w:color="auto" w:fill="404040"/>
          </w:tcPr>
          <w:p>
            <w:r/>
            <w:r>
              <w:rPr>
                <w:b/>
                <w:color w:val="FFFFFF"/>
                <w:sz w:val="18"/>
              </w:rPr>
              <w:t>Datentyp</w:t>
            </w:r>
          </w:p>
        </w:tc>
        <w:tc>
          <w:tcPr>
            <w:tcW w:type="dxa" w:w="1701"/>
            <w:shd w:val="clear" w:color="auto" w:fill="404040"/>
          </w:tcPr>
          <w:p>
            <w:r/>
            <w:r>
              <w:rPr>
                <w:b/>
                <w:color w:val="FFFFFF"/>
                <w:sz w:val="18"/>
              </w:rPr>
              <w:t>Quelle</w:t>
            </w:r>
          </w:p>
        </w:tc>
        <w:tc>
          <w:tcPr>
            <w:tcW w:type="dxa" w:w="3288"/>
            <w:shd w:val="clear" w:color="auto" w:fill="404040"/>
          </w:tcPr>
          <w:p>
            <w:r/>
            <w:r>
              <w:rPr>
                <w:b/>
                <w:color w:val="FFFFFF"/>
                <w:sz w:val="18"/>
              </w:rPr>
              <w:t>Geladene Symbole oder Kurse</w:t>
            </w:r>
          </w:p>
        </w:tc>
        <w:tc>
          <w:tcPr>
            <w:tcW w:type="dxa" w:w="2494"/>
            <w:shd w:val="clear" w:color="auto" w:fill="404040"/>
          </w:tcPr>
          <w:p>
            <w:r/>
            <w:r>
              <w:rPr>
                <w:b/>
                <w:color w:val="FFFFFF"/>
                <w:sz w:val="18"/>
              </w:rPr>
              <w:t>Zugang</w:t>
            </w:r>
          </w:p>
        </w:tc>
      </w:tr>
      <w:tr>
        <w:tc>
          <w:tcPr>
            <w:tcW w:type="dxa" w:w="1361"/>
            <w:shd w:val="clear" w:color="auto" w:fill="DCE6F1"/>
          </w:tcPr>
          <w:p>
            <w:r/>
            <w:r>
              <w:rPr>
                <w:b w:val="0"/>
                <w:sz w:val="18"/>
              </w:rPr>
              <w:t>Wechselkurs</w:t>
            </w:r>
          </w:p>
        </w:tc>
        <w:tc>
          <w:tcPr>
            <w:tcW w:type="dxa" w:w="1701"/>
            <w:shd w:val="clear" w:color="auto" w:fill="DCE6F1"/>
          </w:tcPr>
          <w:p>
            <w:r/>
            <w:r>
              <w:rPr>
                <w:b w:val="0"/>
                <w:sz w:val="18"/>
              </w:rPr>
              <w:t>Yahoo Finance</w:t>
            </w:r>
          </w:p>
        </w:tc>
        <w:tc>
          <w:tcPr>
            <w:tcW w:type="dxa" w:w="3288"/>
            <w:shd w:val="clear" w:color="auto" w:fill="DCE6F1"/>
          </w:tcPr>
          <w:p>
            <w:r/>
            <w:r>
              <w:rPr>
                <w:b w:val="0"/>
                <w:sz w:val="18"/>
              </w:rPr>
              <w:t>EURUSD=X, EURCHF=X, GBPUSD=X</w:t>
            </w:r>
          </w:p>
        </w:tc>
        <w:tc>
          <w:tcPr>
            <w:tcW w:type="dxa" w:w="2494"/>
            <w:shd w:val="clear" w:color="auto" w:fill="DCE6F1"/>
          </w:tcPr>
          <w:p>
            <w:r/>
            <w:r>
              <w:rPr>
                <w:b w:val="0"/>
                <w:sz w:val="18"/>
              </w:rPr>
              <w:t>Bibliothek yfinance, kein Login</w:t>
            </w:r>
          </w:p>
        </w:tc>
      </w:tr>
      <w:tr>
        <w:tc>
          <w:tcPr>
            <w:tcW w:type="dxa" w:w="1361"/>
            <w:shd w:val="clear" w:color="auto" w:fill="DCE6F1"/>
          </w:tcPr>
          <w:p>
            <w:r/>
            <w:r>
              <w:rPr>
                <w:b w:val="0"/>
                <w:sz w:val="18"/>
              </w:rPr>
              <w:t>Wechselkurs</w:t>
            </w:r>
          </w:p>
        </w:tc>
        <w:tc>
          <w:tcPr>
            <w:tcW w:type="dxa" w:w="1701"/>
            <w:shd w:val="clear" w:color="auto" w:fill="DCE6F1"/>
          </w:tcPr>
          <w:p>
            <w:r/>
            <w:r>
              <w:rPr>
                <w:b w:val="0"/>
                <w:sz w:val="18"/>
              </w:rPr>
              <w:t>EODHD</w:t>
            </w:r>
          </w:p>
        </w:tc>
        <w:tc>
          <w:tcPr>
            <w:tcW w:type="dxa" w:w="3288"/>
            <w:shd w:val="clear" w:color="auto" w:fill="DCE6F1"/>
          </w:tcPr>
          <w:p>
            <w:r/>
            <w:r>
              <w:rPr>
                <w:b w:val="0"/>
                <w:sz w:val="18"/>
              </w:rPr>
              <w:t>EURUSD.FOREX, EURCHF.FOREX, GBPUSD.FOREX</w:t>
            </w:r>
          </w:p>
        </w:tc>
        <w:tc>
          <w:tcPr>
            <w:tcW w:type="dxa" w:w="2494"/>
            <w:shd w:val="clear" w:color="auto" w:fill="DCE6F1"/>
          </w:tcPr>
          <w:p>
            <w:r/>
            <w:r>
              <w:rPr>
                <w:b w:val="0"/>
                <w:sz w:val="18"/>
              </w:rPr>
              <w:t>REST-Schnittstelle mit Schlüssel</w:t>
            </w:r>
          </w:p>
        </w:tc>
      </w:tr>
      <w:tr>
        <w:tc>
          <w:tcPr>
            <w:tcW w:type="dxa" w:w="1361"/>
            <w:shd w:val="clear" w:color="auto" w:fill="DCE6F1"/>
          </w:tcPr>
          <w:p>
            <w:r/>
            <w:r>
              <w:rPr>
                <w:b w:val="0"/>
                <w:sz w:val="18"/>
              </w:rPr>
              <w:t>Wechselkurs</w:t>
            </w:r>
          </w:p>
        </w:tc>
        <w:tc>
          <w:tcPr>
            <w:tcW w:type="dxa" w:w="1701"/>
            <w:shd w:val="clear" w:color="auto" w:fill="DCE6F1"/>
          </w:tcPr>
          <w:p>
            <w:r/>
            <w:r>
              <w:rPr>
                <w:b w:val="0"/>
                <w:sz w:val="18"/>
              </w:rPr>
              <w:t>MetaTrader 5</w:t>
            </w:r>
          </w:p>
        </w:tc>
        <w:tc>
          <w:tcPr>
            <w:tcW w:type="dxa" w:w="3288"/>
            <w:shd w:val="clear" w:color="auto" w:fill="DCE6F1"/>
          </w:tcPr>
          <w:p>
            <w:r/>
            <w:r>
              <w:rPr>
                <w:b w:val="0"/>
                <w:sz w:val="18"/>
              </w:rPr>
              <w:t>EURUSD (Tages- und 15-Minuten-Daten)</w:t>
            </w:r>
          </w:p>
        </w:tc>
        <w:tc>
          <w:tcPr>
            <w:tcW w:type="dxa" w:w="2494"/>
            <w:shd w:val="clear" w:color="auto" w:fill="DCE6F1"/>
          </w:tcPr>
          <w:p>
            <w:r/>
            <w:r>
              <w:rPr>
                <w:b w:val="0"/>
                <w:sz w:val="18"/>
              </w:rPr>
              <w:t>CSV-Export aus dem Broker ActivTrades</w:t>
            </w:r>
          </w:p>
        </w:tc>
      </w:tr>
      <w:tr>
        <w:tc>
          <w:tcPr>
            <w:tcW w:type="dxa" w:w="1361"/>
            <w:shd w:val="clear" w:color="auto" w:fill="DCE6F1"/>
          </w:tcPr>
          <w:p>
            <w:r/>
            <w:r>
              <w:rPr>
                <w:b w:val="0"/>
                <w:sz w:val="18"/>
              </w:rPr>
              <w:t>Nachrichten</w:t>
            </w:r>
          </w:p>
        </w:tc>
        <w:tc>
          <w:tcPr>
            <w:tcW w:type="dxa" w:w="1701"/>
            <w:shd w:val="clear" w:color="auto" w:fill="DCE6F1"/>
          </w:tcPr>
          <w:p>
            <w:r/>
            <w:r>
              <w:rPr>
                <w:b w:val="0"/>
                <w:sz w:val="18"/>
              </w:rPr>
              <w:t>EODHD</w:t>
            </w:r>
          </w:p>
        </w:tc>
        <w:tc>
          <w:tcPr>
            <w:tcW w:type="dxa" w:w="3288"/>
            <w:shd w:val="clear" w:color="auto" w:fill="DCE6F1"/>
          </w:tcPr>
          <w:p>
            <w:r/>
            <w:r>
              <w:rPr>
                <w:b w:val="0"/>
                <w:sz w:val="18"/>
              </w:rPr>
              <w:t>EURUSD.FOREX, EURCHF.FOREX, GBPUSD.FOREX</w:t>
            </w:r>
          </w:p>
        </w:tc>
        <w:tc>
          <w:tcPr>
            <w:tcW w:type="dxa" w:w="2494"/>
            <w:shd w:val="clear" w:color="auto" w:fill="DCE6F1"/>
          </w:tcPr>
          <w:p>
            <w:r/>
            <w:r>
              <w:rPr>
                <w:b w:val="0"/>
                <w:sz w:val="18"/>
              </w:rPr>
              <w:t>REST-Schnittstelle mit Schlüssel</w:t>
            </w:r>
          </w:p>
        </w:tc>
      </w:tr>
      <w:tr>
        <w:tc>
          <w:tcPr>
            <w:tcW w:type="dxa" w:w="1361"/>
            <w:shd w:val="clear" w:color="auto" w:fill="DCE6F1"/>
          </w:tcPr>
          <w:p>
            <w:r/>
            <w:r>
              <w:rPr>
                <w:b w:val="0"/>
                <w:sz w:val="18"/>
              </w:rPr>
              <w:t>Ölpreis</w:t>
            </w:r>
          </w:p>
        </w:tc>
        <w:tc>
          <w:tcPr>
            <w:tcW w:type="dxa" w:w="1701"/>
            <w:shd w:val="clear" w:color="auto" w:fill="DCE6F1"/>
          </w:tcPr>
          <w:p>
            <w:r/>
            <w:r>
              <w:rPr>
                <w:b w:val="0"/>
                <w:sz w:val="18"/>
              </w:rPr>
              <w:t>Yahoo Finance</w:t>
            </w:r>
          </w:p>
        </w:tc>
        <w:tc>
          <w:tcPr>
            <w:tcW w:type="dxa" w:w="3288"/>
            <w:shd w:val="clear" w:color="auto" w:fill="DCE6F1"/>
          </w:tcPr>
          <w:p>
            <w:r/>
            <w:r>
              <w:rPr>
                <w:b w:val="0"/>
                <w:sz w:val="18"/>
              </w:rPr>
              <w:t>CL=F (WTI), BZ=F (Brent)</w:t>
            </w:r>
          </w:p>
        </w:tc>
        <w:tc>
          <w:tcPr>
            <w:tcW w:type="dxa" w:w="2494"/>
            <w:shd w:val="clear" w:color="auto" w:fill="DCE6F1"/>
          </w:tcPr>
          <w:p>
            <w:r/>
            <w:r>
              <w:rPr>
                <w:b w:val="0"/>
                <w:sz w:val="18"/>
              </w:rPr>
              <w:t>Bibliothek yfinance, kein Login</w:t>
            </w:r>
          </w:p>
        </w:tc>
      </w:tr>
      <w:tr>
        <w:tc>
          <w:tcPr>
            <w:tcW w:type="dxa" w:w="1361"/>
            <w:shd w:val="clear" w:color="auto" w:fill="FCE4D6"/>
          </w:tcPr>
          <w:p>
            <w:r/>
            <w:r>
              <w:rPr>
                <w:b w:val="0"/>
                <w:sz w:val="18"/>
              </w:rPr>
              <w:t>Nachrichten</w:t>
            </w:r>
          </w:p>
        </w:tc>
        <w:tc>
          <w:tcPr>
            <w:tcW w:type="dxa" w:w="1701"/>
            <w:shd w:val="clear" w:color="auto" w:fill="FCE4D6"/>
          </w:tcPr>
          <w:p>
            <w:r/>
            <w:r>
              <w:rPr>
                <w:b w:val="0"/>
                <w:sz w:val="18"/>
              </w:rPr>
              <w:t>RSS-Feeds (4 aktive)</w:t>
            </w:r>
          </w:p>
        </w:tc>
        <w:tc>
          <w:tcPr>
            <w:tcW w:type="dxa" w:w="3288"/>
            <w:shd w:val="clear" w:color="auto" w:fill="FCE4D6"/>
          </w:tcPr>
          <w:p>
            <w:r/>
            <w:r>
              <w:rPr>
                <w:b w:val="0"/>
                <w:sz w:val="18"/>
              </w:rPr>
              <w:t>ForexLive, FXStreet, Yahoo Finance, Google News</w:t>
            </w:r>
          </w:p>
        </w:tc>
        <w:tc>
          <w:tcPr>
            <w:tcW w:type="dxa" w:w="2494"/>
            <w:shd w:val="clear" w:color="auto" w:fill="FCE4D6"/>
          </w:tcPr>
          <w:p>
            <w:r/>
            <w:r>
              <w:rPr>
                <w:b w:val="0"/>
                <w:sz w:val="18"/>
              </w:rPr>
              <w:t>requests und feedparser</w:t>
            </w:r>
          </w:p>
        </w:tc>
      </w:tr>
      <w:tr>
        <w:tc>
          <w:tcPr>
            <w:tcW w:type="dxa" w:w="1361"/>
            <w:shd w:val="clear" w:color="auto" w:fill="FCE4D6"/>
          </w:tcPr>
          <w:p>
            <w:r/>
            <w:r>
              <w:rPr>
                <w:b w:val="0"/>
                <w:sz w:val="18"/>
              </w:rPr>
              <w:t>Nachrichten</w:t>
            </w:r>
          </w:p>
        </w:tc>
        <w:tc>
          <w:tcPr>
            <w:tcW w:type="dxa" w:w="1701"/>
            <w:shd w:val="clear" w:color="auto" w:fill="FCE4D6"/>
          </w:tcPr>
          <w:p>
            <w:r/>
            <w:r>
              <w:rPr>
                <w:b w:val="0"/>
                <w:sz w:val="18"/>
              </w:rPr>
              <w:t>Reddit</w:t>
            </w:r>
          </w:p>
        </w:tc>
        <w:tc>
          <w:tcPr>
            <w:tcW w:type="dxa" w:w="3288"/>
            <w:shd w:val="clear" w:color="auto" w:fill="FCE4D6"/>
          </w:tcPr>
          <w:p>
            <w:r/>
            <w:r>
              <w:rPr>
                <w:b w:val="0"/>
                <w:sz w:val="18"/>
              </w:rPr>
              <w:t>r/Forex, r/investing, r/economics</w:t>
            </w:r>
          </w:p>
        </w:tc>
        <w:tc>
          <w:tcPr>
            <w:tcW w:type="dxa" w:w="2494"/>
            <w:shd w:val="clear" w:color="auto" w:fill="FCE4D6"/>
          </w:tcPr>
          <w:p>
            <w:r/>
            <w:r>
              <w:rPr>
                <w:b w:val="0"/>
                <w:sz w:val="18"/>
              </w:rPr>
              <w:t>öffentlicher JSON-Endpunkt</w:t>
            </w:r>
          </w:p>
        </w:tc>
      </w:tr>
    </w:tbl>
    <w:p/>
    <w:tbl>
      <w:tblPr>
        <w:tblStyle w:val="TableGrid"/>
        <w:tblW w:type="auto" w:w="0"/>
        <w:tblLook w:firstColumn="1" w:firstRow="1" w:lastColumn="0" w:lastRow="0" w:noHBand="0" w:noVBand="1" w:val="04A0"/>
      </w:tblPr>
      <w:tblGrid>
        <w:gridCol w:w="4986"/>
        <w:gridCol w:w="4986"/>
      </w:tblGrid>
      <w:tr>
        <w:tc>
          <w:tcPr>
            <w:tcW w:type="dxa" w:w="4986"/>
            <w:shd w:val="clear" w:color="auto" w:fill="DCE6F1"/>
          </w:tcPr>
          <w:p>
            <w:r/>
            <w:r>
              <w:rPr>
                <w:b w:val="0"/>
                <w:sz w:val="18"/>
              </w:rPr>
              <w:t>Im Hauptpfad der Analyse verwendet</w:t>
            </w:r>
          </w:p>
        </w:tc>
        <w:tc>
          <w:tcPr>
            <w:tcW w:type="dxa" w:w="4986"/>
            <w:shd w:val="clear" w:color="auto" w:fill="FCE4D6"/>
          </w:tcPr>
          <w:p>
            <w:r/>
            <w:r>
              <w:rPr>
                <w:b w:val="0"/>
                <w:sz w:val="18"/>
              </w:rPr>
              <w:t>Eigene Umsetzung von Nachrichten und Sentiment (Demonstration)</w:t>
            </w:r>
          </w:p>
        </w:tc>
      </w:tr>
    </w:tbl>
    <w:p/>
    <w:p>
      <w:pPr>
        <w:pStyle w:val="Heading2"/>
      </w:pPr>
      <w:r>
        <w:t>3.2 Warum diese Quellen</w:t>
      </w:r>
    </w:p>
    <w:p>
      <w:pPr>
        <w:spacing w:after="0"/>
      </w:pPr>
      <w:r>
        <w:rPr>
          <w:b/>
        </w:rPr>
        <w:t>EODHD</w:t>
      </w:r>
    </w:p>
    <w:p>
      <w:pPr>
        <w:ind w:left="340"/>
        <w:jc w:val="both"/>
      </w:pPr>
      <w:r>
        <w:t>Der Ausgangspunkt für EODHD war, dass dieser Anbieter Finanznachrichten direkt zusammen mit einem fertig berechneten Stimmungswert liefert. Weil EODHD die Nachrichten bereitstellt, lag es nahe, auch die Wechselkurse von derselben Quelle zu beziehen. So stammen Kurs und Nachricht aus demselben System.</w:t>
      </w:r>
    </w:p>
    <w:p>
      <w:pPr>
        <w:spacing w:after="0"/>
      </w:pPr>
      <w:r>
        <w:rPr>
          <w:b/>
        </w:rPr>
        <w:t>Yahoo Finance</w:t>
      </w:r>
    </w:p>
    <w:p>
      <w:pPr>
        <w:ind w:left="340"/>
        <w:jc w:val="both"/>
      </w:pPr>
      <w:r>
        <w:t>Yahoo Finance dient als zweite, kostenlose und unabhängige Quelle für dieselben Wechselkurse. Mit einer zweiten Quelle lässt sich prüfen, ob die Werte von EODHD plausibel sind.</w:t>
      </w:r>
    </w:p>
    <w:p>
      <w:pPr>
        <w:spacing w:after="0"/>
      </w:pPr>
      <w:r>
        <w:rPr>
          <w:b/>
        </w:rPr>
        <w:t>MetaTrader 5</w:t>
      </w:r>
    </w:p>
    <w:p>
      <w:pPr>
        <w:ind w:left="340"/>
        <w:jc w:val="both"/>
      </w:pPr>
      <w:r>
        <w:t>MetaTrader 5 stammt direkt von einem handelbaren Broker. Bei Yahoo Finance und EODHD handelt man nicht, es sind reine Datenanbieter. Wenn sich Quellen unterscheiden, ist es sinnvoll, eine Quelle einzubeziehen, die von dem Ort kommt, an dem auch tatsächlich gehandelt wird. Die Daten stammen aus einem Demokonto beim Broker ActivTrades, über den sich MetaTrader 5 laden lässt. MetaTrader 5 dient zum einen dem Quellenvergleich und fliesst zum anderen bei EUR/USD als dritte Quelle in den Tages-Mittelwert ein (Kapitel 7.3), bis zu seinem Exportende am 26. Dezember 2025.</w:t>
      </w:r>
    </w:p>
    <w:p>
      <w:pPr>
        <w:spacing w:after="0"/>
      </w:pPr>
      <w:r>
        <w:rPr>
          <w:b/>
        </w:rPr>
        <w:t>Ölpreise</w:t>
      </w:r>
    </w:p>
    <w:p>
      <w:pPr>
        <w:ind w:left="340"/>
        <w:jc w:val="both"/>
      </w:pPr>
      <w:r>
        <w:t>Der Ölpreis gilt als häufig genannter Einflussfaktor auf rohstoffnahe Währungen und dient als zuschaltbare Vergleichsreihe.</w:t>
      </w:r>
    </w:p>
    <w:p>
      <w:r>
        <w:br w:type="page"/>
      </w:r>
    </w:p>
    <w:p>
      <w:pPr>
        <w:pStyle w:val="Heading1"/>
      </w:pPr>
      <w:r>
        <w:t>4. Daten laden</w:t>
      </w:r>
    </w:p>
    <w:p>
      <w:pPr>
        <w:jc w:val="both"/>
      </w:pPr>
      <w:r>
        <w:t>Jede Quelle hat ein eigenes Lade-Skript im Ordner src/data_loading. Alle folgen demselben Muster: Daten holen und unverändert im Ordner data/raw ablegen. In diesem Schritt findet bewusst keine Bereinigung statt, damit das Rohmaterial erhalten bleibt.</w:t>
      </w:r>
    </w:p>
    <w:p>
      <w:pPr>
        <w:pStyle w:val="Heading2"/>
      </w:pPr>
      <w:r>
        <w:t>4.1 Wechselkurse</w:t>
      </w:r>
    </w:p>
    <w:p>
      <w:pPr>
        <w:jc w:val="both"/>
      </w:pPr>
      <w:r>
        <w:t>Von Yahoo Finance laden wir die drei Symbole EURUSD=X, EURCHF=X und GBPUSD=X als Tagesdaten über die Bibliothek yfinance. Ein Login ist nicht nötig.</w:t>
      </w:r>
    </w:p>
    <w:p>
      <w:pPr>
        <w:jc w:val="both"/>
      </w:pPr>
      <w:r>
        <w:t>Von EODHD laden wir die drei Symbole EURUSD.FOREX, EURCHF.FOREX und GBPUSD.FOREX über den Aufruf https://eodhd.com/api/eod/{Symbol} mit dem Parameter period=d für Tagesdaten. Alle Aufrufe an EODHD, sowohl für Kurse als auch für Nachrichten, nutzen denselben einen Zugangsschlüssel aus der lokalen Datei .env.</w:t>
      </w:r>
    </w:p>
    <w:p>
      <w:pPr>
        <w:jc w:val="both"/>
      </w:pPr>
      <w:r>
        <w:t>Von MetaTrader 5 exportieren wir EURUSD als Tagesdaten und zusätzlich als 15-Minuten-Daten. Der Export erfolgt manuell aus der Handelsplattform.</w:t>
      </w:r>
    </w:p>
    <w:p>
      <w:pPr>
        <w:pStyle w:val="Heading2"/>
      </w:pPr>
      <w:r>
        <w:t>4.2 Nachrichten von EODHD</w:t>
      </w:r>
    </w:p>
    <w:p>
      <w:pPr>
        <w:jc w:val="both"/>
      </w:pPr>
      <w:r>
        <w:t>Die Nachrichten laden wir über den Aufruf https://eodhd.com/api/news. Gefiltert wird je Währungspaar über den Symbol-Parameter s, mit den drei Werten EURUSD.FOREX, EURCHF.FOREX und GBPUSD.FOREX. Pro Aufruf holen wir bis zu 1000 Artikel (Parameter limit=1000) und blättern über den Parameter offset weiter, bis keine weiteren Artikel mehr kommen. Pro Paar speichern wir die Rohdaten als JSON-Datei und zusätzlich eine aufbereitete CSV-Tabelle. Den verschachtelten Stimmungswert flachen wir dabei in eigene Spalten auf.</w:t>
      </w:r>
    </w:p>
    <w:p>
      <w:pPr>
        <w:pStyle w:val="Heading2"/>
      </w:pPr>
      <w:r>
        <w:t>4.3 Ölpreise</w:t>
      </w:r>
    </w:p>
    <w:p>
      <w:pPr>
        <w:jc w:val="both"/>
      </w:pPr>
      <w:r>
        <w:t>Von Yahoo Finance laden wir die zwei Symbole CL=F (Rohölsorte West Texas Intermediate, kurz WTI) und BZ=F (Rohölsorte Brent) als Tagesdaten.</w:t>
      </w:r>
    </w:p>
    <w:p>
      <w:pPr>
        <w:pStyle w:val="Heading2"/>
      </w:pPr>
      <w:r>
        <w:t>4.4 Eigene Nachrichten über Webscraping</w:t>
      </w:r>
    </w:p>
    <w:p>
      <w:pPr>
        <w:jc w:val="both"/>
      </w:pPr>
      <w:r>
        <w:t>Für die eigene Datenbeschaffung sammeln wir Nachrichten aus zwei Arten von Quellen. Erstens aus RSS-Feeds, einem standardisierten Format, über das Webseiten ihre neuesten Artikel bereitstellen. Wir fragen die folgenden Feeds ab:</w:t>
      </w:r>
    </w:p>
    <w:p>
      <w:pPr>
        <w:pStyle w:val="ListBullet"/>
        <w:jc w:val="both"/>
      </w:pPr>
      <w:r>
        <w:t>ForexLive: https://www.forexlive.com/feed</w:t>
      </w:r>
    </w:p>
    <w:p>
      <w:pPr>
        <w:pStyle w:val="ListBullet"/>
        <w:jc w:val="both"/>
      </w:pPr>
      <w:r>
        <w:t>FXStreet: https://www.fxstreet.com/rss/news</w:t>
      </w:r>
    </w:p>
    <w:p>
      <w:pPr>
        <w:pStyle w:val="ListBullet"/>
        <w:jc w:val="both"/>
      </w:pPr>
      <w:r>
        <w:t>Yahoo Finance: https://finance.yahoo.com/news/rssindex</w:t>
      </w:r>
    </w:p>
    <w:p>
      <w:pPr>
        <w:pStyle w:val="ListBullet"/>
        <w:jc w:val="both"/>
      </w:pPr>
      <w:r>
        <w:t>Google News (Suche nach forex EUR USD): https://news.google.com/rss/search?q=forex+EUR+USD</w:t>
      </w:r>
    </w:p>
    <w:p>
      <w:pPr>
        <w:jc w:val="both"/>
      </w:pPr>
      <w:r>
        <w:t>Ein fünfter Feed, DailyFX, wurde ebenfalls abgefragt, lieferte aber den Fehlercode HTTP 403 (Zugriff verweigert) und damit keine Daten. Es blieben vier nutzbare Feeds.</w:t>
      </w:r>
    </w:p>
    <w:p>
      <w:pPr>
        <w:jc w:val="both"/>
      </w:pPr>
      <w:r>
        <w:t>Zweitens lesen wir die öffentlich verfügbaren Beiträge der drei Reddit-Foren r/Forex (Sortierungen hot und new), r/investing (Sortierung hot) und r/economics (Sortierung hot) über deren JSON-Endpunkt. Beim Abfragen der RSS-Feeds holen wir den Inhalt zuerst mit der Bibliothek requests und übergeben ihn dann an die Bibliothek feedparser; ein direkter Zugriff scheiterte an der Zertifikatsprüfung.</w:t>
      </w:r>
    </w:p>
    <w:p>
      <w:r>
        <w:br w:type="page"/>
      </w:r>
    </w:p>
    <w:p>
      <w:pPr>
        <w:pStyle w:val="Heading1"/>
      </w:pPr>
      <w:r>
        <w:t>5. Datenbereinigung und Qualitätsprüfung</w:t>
      </w:r>
    </w:p>
    <w:p>
      <w:pPr>
        <w:pStyle w:val="Heading2"/>
      </w:pPr>
      <w:r>
        <w:t>5.1 Explorative Übersicht der Kursdaten</w:t>
      </w:r>
    </w:p>
    <w:p>
      <w:pPr>
        <w:jc w:val="both"/>
      </w:pPr>
      <w:r>
        <w:t>Vor der Bereinigung haben wir uns einen Überblick über die geladenen Daten verschafft. Je Währungspaar liegen 1117 Handelstage vor, von Anfang Januar 2022 bis zum 21. April 2026. Für die Prüfung der Verteilung betrachten wir die Tagesveränderung in Prozent, also die Veränderung des Kurses von einem Handelstag zum nächsten. Abbildung 2 zeigt links die Verteilung der Tagesveränderungen und rechts den Boxplot mit den Extremwerten.</w:t>
      </w:r>
    </w:p>
    <w:p>
      <w:pPr>
        <w:jc w:val="center"/>
      </w:pPr>
      <w:r>
        <w:drawing>
          <wp:inline xmlns:a="http://schemas.openxmlformats.org/drawingml/2006/main" xmlns:pic="http://schemas.openxmlformats.org/drawingml/2006/picture">
            <wp:extent cx="5760000" cy="2419200"/>
            <wp:docPr id="2" name="Picture 2"/>
            <wp:cNvGraphicFramePr>
              <a:graphicFrameLocks noChangeAspect="1"/>
            </wp:cNvGraphicFramePr>
            <a:graphic>
              <a:graphicData uri="http://schemas.openxmlformats.org/drawingml/2006/picture">
                <pic:pic>
                  <pic:nvPicPr>
                    <pic:cNvPr id="0" name="fig_eda_returns.png"/>
                    <pic:cNvPicPr/>
                  </pic:nvPicPr>
                  <pic:blipFill>
                    <a:blip r:embed="rId10"/>
                    <a:stretch>
                      <a:fillRect/>
                    </a:stretch>
                  </pic:blipFill>
                  <pic:spPr>
                    <a:xfrm>
                      <a:off x="0" y="0"/>
                      <a:ext cx="5760000" cy="2419200"/>
                    </a:xfrm>
                    <a:prstGeom prst="rect"/>
                  </pic:spPr>
                </pic:pic>
              </a:graphicData>
            </a:graphic>
          </wp:inline>
        </w:drawing>
      </w:r>
    </w:p>
    <w:p>
      <w:pPr>
        <w:jc w:val="center"/>
      </w:pPr>
      <w:r>
        <w:rPr>
          <w:i/>
          <w:sz w:val="18"/>
        </w:rPr>
        <w:t>Abbildung 2: Verteilung der Tagesveränderungen mit Boxplot der Extremwerte.</w:t>
      </w:r>
    </w:p>
    <w:p/>
    <w:p>
      <w:pPr>
        <w:jc w:val="both"/>
      </w:pPr>
      <w:r>
        <w:t>Die Verteilungen sind um null zentriert und symmetrisch, mit einer typischen Tagesschwankung von 0.46 Prozent bei EUR/USD, 0.55 Prozent bei GBP/USD und 0.35 Prozent bei EUR/CHF. EUR/CHF schwankt also am wenigsten, was zur Rolle des Schweizer Frankens als stabiler Währung passt. Auffällig sind die im Vergleich zur Glockenkurve häufigeren Extremwerte an den Rändern; mit diesen befasst sich Kapitel 5.4.</w:t>
      </w:r>
    </w:p>
    <w:p>
      <w:pPr>
        <w:pStyle w:val="Heading2"/>
      </w:pPr>
      <w:r>
        <w:t>5.2 Fehlende Werte</w:t>
      </w:r>
    </w:p>
    <w:p>
      <w:pPr>
        <w:jc w:val="both"/>
      </w:pPr>
      <w:r>
        <w:t>Beim Umgang mit fehlenden Werten haben wir für jeden Datentyp einzeln entschieden. Der Grundsatz: Wir füllen eine Lücke nur dann auf, wenn sie rein technisch entsteht, nicht aber dann, wenn das Fehlen selbst eine Information ist.</w:t>
      </w:r>
    </w:p>
    <w:p>
      <w:pPr>
        <w:pStyle w:val="Heading3"/>
      </w:pPr>
      <w:r>
        <w:t>Wechselkurse</w:t>
      </w:r>
    </w:p>
    <w:p>
      <w:pPr>
        <w:jc w:val="both"/>
      </w:pPr>
      <w:r>
        <w:t>Der Devisenmarkt schliesst am Freitagabend und öffnet erst am Sonntagabend wieder. Yahoo und MetaTrader liefern darum nur Werktage. EODHD liefert zusätzlich praktisch jeden Sonntag einen Wert, weil der Markt am Sonntagabend in Asien öffnet; in den unkorrigierten EODHD-Rohdaten sind ausserdem einzelne Zeilen auf Samstag datiert, ein weiteres Symptom des in Kapitel 5.5 beschriebenen Datierungsproblems. Diese Wochenendwerte bleiben in den Rohdaten erhalten. Für die kombinierte Analysereihe verwenden wir aber den Handelskalender von Yahoo, also Montag bis Freitag. Der Grund: Am Sonntag hätte nur eine einzige Quelle einen Wert, und der Mittelwert über die Quellen würde an diesen Tagen die Grundlage wechseln. An Feiertagen fehlen einzelne Werte, die wir nicht erfinden. Ob ein Auffüllen fehlender Tage durch Interpolation sinnvoll ist, haben wir zusätzlich getestet; den Vergleich mit und ohne Interpolation zeigen wir in Kapitel 7.4.</w:t>
      </w:r>
    </w:p>
    <w:p>
      <w:pPr>
        <w:pStyle w:val="Heading3"/>
      </w:pPr>
      <w:r>
        <w:t>Nachrichten-Sentiment</w:t>
      </w:r>
    </w:p>
    <w:p>
      <w:pPr>
        <w:jc w:val="both"/>
      </w:pPr>
      <w:r>
        <w:t>Liegt an einem Tag kein Artikel vor, gibt es auch keinen Stimmungswert, und das Feld bleibt leer. Solche Lücken füllen wir bewusst nicht auf. Wir haben sie als fehlend aufgrund des Ereignisses selbst eingestuft: Ob ein Artikel existiert, hängt direkt davon ab, ob an diesem Tag etwas Berichtenswertes passiert ist. Ein Tag ohne Artikel bedeutet also nicht dasselbe wie ein neutraler Tag mit Stimmung null. Würden wir die Lücke mit null oder mit dem Nachbarwert füllen, täuschten wir eine Nachrichtenlage vor, die es nicht gab. Die genaue Einordnung der Arten fehlender Werte steht im Anhang B.</w:t>
      </w:r>
    </w:p>
    <w:p>
      <w:pPr>
        <w:jc w:val="both"/>
      </w:pPr>
      <w:r>
        <w:t>Bei der späteren Zusammenfassung auf Wochen oder Monate werden fehlende Tage automatisch übersprungen. Eine Woche mit nur zwei statt fünf Nachrichtentagen wird also weiterhin ausgewertet, eben auf Basis der vorhandenen Tage.</w:t>
      </w:r>
    </w:p>
    <w:p>
      <w:pPr>
        <w:pStyle w:val="Heading3"/>
      </w:pPr>
      <w:r>
        <w:t>Sonderfall EUR/CHF-Nachrichten</w:t>
      </w:r>
    </w:p>
    <w:p>
      <w:pPr>
        <w:jc w:val="both"/>
      </w:pPr>
      <w:r>
        <w:t>Für EUR/CHF lieferte EODHD nur sehr wenige Artikel (13 im gesamten Zeitraum, davon 12 mit Stimmungswert). Wir vermuten, dass dieses Paar international weniger Medienaufmerksamkeit bekommt. So kam es von EODHD, und wegen der zu dünnen Grundlage haben wir EUR/CHF in der Sentiment-Analyse nicht verwendet.</w:t>
      </w:r>
    </w:p>
    <w:p>
      <w:pPr>
        <w:pStyle w:val="Heading2"/>
      </w:pPr>
      <w:r>
        <w:t>5.3 Duplikate</w:t>
      </w:r>
    </w:p>
    <w:p>
      <w:pPr>
        <w:jc w:val="both"/>
      </w:pPr>
      <w:r>
        <w:t>Bei den Wechselkursen haben wir geprüft, ob ein Datum je Quelle doppelt vorkommt. Das war praktisch nicht der Fall: In keiner der Yahoo- und EODHD-Rohdateien gab es doppelte Datumseinträge. Eine Entfernung von Doppeln war also nicht nötig, der Prüfschritt blieb ohne Treffer.</w:t>
      </w:r>
    </w:p>
    <w:p>
      <w:pPr>
        <w:jc w:val="both"/>
      </w:pPr>
      <w:r>
        <w:t>Bei den selbst gesammelten Nachrichten traten Duplikate dagegen tatsächlich auf. Wir haben die Feeds zu sechs verschiedenen Zeitpunkten abgefragt. Derselbe Artikel erscheint dabei in mehreren Abfragen, solange er im Feed steht. Von insgesamt 3012 gesammelten Artikeln waren 541 solche Mehrfachvorkommen. Wir haben sie über die eindeutige Internetadresse des Artikels (den Link) entfernt und je Artikel das erste Vorkommen behalten.</w:t>
      </w:r>
    </w:p>
    <w:p>
      <w:pPr>
        <w:jc w:val="both"/>
      </w:pPr>
      <w:r>
        <w:t>Tabelle 3 fasst Umfang, fehlende Werte und Duplikate aller Datensätze zusammen, mit dem jeweils festgelegten Umgang.</w:t>
      </w:r>
    </w:p>
    <w:p>
      <w:pPr>
        <w:jc w:val="center"/>
      </w:pPr>
      <w:r>
        <w:rPr>
          <w:i/>
          <w:sz w:val="18"/>
        </w:rPr>
        <w:t>Tabelle 3: Umfang, fehlende Werte und Duplikate je Datensatz</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404040"/>
          </w:tcPr>
          <w:p>
            <w:r/>
            <w:r>
              <w:rPr>
                <w:b/>
                <w:color w:val="FFFFFF"/>
                <w:sz w:val="16"/>
              </w:rPr>
              <w:t>Datensatz</w:t>
            </w:r>
          </w:p>
        </w:tc>
        <w:tc>
          <w:tcPr>
            <w:tcW w:type="dxa" w:w="1928"/>
            <w:shd w:val="clear" w:color="auto" w:fill="404040"/>
          </w:tcPr>
          <w:p>
            <w:r/>
            <w:r>
              <w:rPr>
                <w:b/>
                <w:color w:val="FFFFFF"/>
                <w:sz w:val="16"/>
              </w:rPr>
              <w:t>Umfang</w:t>
            </w:r>
          </w:p>
        </w:tc>
        <w:tc>
          <w:tcPr>
            <w:tcW w:type="dxa" w:w="2041"/>
            <w:shd w:val="clear" w:color="auto" w:fill="404040"/>
          </w:tcPr>
          <w:p>
            <w:r/>
            <w:r>
              <w:rPr>
                <w:b/>
                <w:color w:val="FFFFFF"/>
                <w:sz w:val="16"/>
              </w:rPr>
              <w:t>Fehlende Werte</w:t>
            </w:r>
          </w:p>
        </w:tc>
        <w:tc>
          <w:tcPr>
            <w:tcW w:type="dxa" w:w="1474"/>
            <w:shd w:val="clear" w:color="auto" w:fill="404040"/>
          </w:tcPr>
          <w:p>
            <w:r/>
            <w:r>
              <w:rPr>
                <w:b/>
                <w:color w:val="FFFFFF"/>
                <w:sz w:val="16"/>
              </w:rPr>
              <w:t>Duplikate</w:t>
            </w:r>
          </w:p>
        </w:tc>
        <w:tc>
          <w:tcPr>
            <w:tcW w:type="dxa" w:w="2041"/>
            <w:shd w:val="clear" w:color="auto" w:fill="404040"/>
          </w:tcPr>
          <w:p>
            <w:r/>
            <w:r>
              <w:rPr>
                <w:b/>
                <w:color w:val="FFFFFF"/>
                <w:sz w:val="16"/>
              </w:rPr>
              <w:t>Umgang</w:t>
            </w:r>
          </w:p>
        </w:tc>
      </w:tr>
      <w:tr>
        <w:tc>
          <w:tcPr>
            <w:tcW w:type="dxa" w:w="2041"/>
            <w:shd w:val="clear" w:color="auto" w:fill="DCE6F1"/>
          </w:tcPr>
          <w:p>
            <w:r/>
            <w:r>
              <w:rPr>
                <w:b w:val="0"/>
                <w:sz w:val="16"/>
              </w:rPr>
              <w:t>Kurse Yahoo (je Paar)</w:t>
            </w:r>
          </w:p>
        </w:tc>
        <w:tc>
          <w:tcPr>
            <w:tcW w:type="dxa" w:w="1928"/>
            <w:shd w:val="clear" w:color="auto" w:fill="DCE6F1"/>
          </w:tcPr>
          <w:p>
            <w:r/>
            <w:r>
              <w:rPr>
                <w:b w:val="0"/>
                <w:sz w:val="16"/>
              </w:rPr>
              <w:t>1117 Tage, 03.01.2022 bis 21.04.2026</w:t>
            </w:r>
          </w:p>
        </w:tc>
        <w:tc>
          <w:tcPr>
            <w:tcW w:type="dxa" w:w="2041"/>
            <w:shd w:val="clear" w:color="auto" w:fill="DCE6F1"/>
          </w:tcPr>
          <w:p>
            <w:r/>
            <w:r>
              <w:rPr>
                <w:b w:val="0"/>
                <w:sz w:val="16"/>
              </w:rPr>
              <w:t>5 Werktage (0.4 Prozent)</w:t>
            </w:r>
          </w:p>
        </w:tc>
        <w:tc>
          <w:tcPr>
            <w:tcW w:type="dxa" w:w="1474"/>
            <w:shd w:val="clear" w:color="auto" w:fill="DCE6F1"/>
          </w:tcPr>
          <w:p>
            <w:r/>
            <w:r>
              <w:rPr>
                <w:b w:val="0"/>
                <w:sz w:val="16"/>
              </w:rPr>
              <w:t>0</w:t>
            </w:r>
          </w:p>
        </w:tc>
        <w:tc>
          <w:tcPr>
            <w:tcW w:type="dxa" w:w="2041"/>
            <w:shd w:val="clear" w:color="auto" w:fill="DCE6F1"/>
          </w:tcPr>
          <w:p>
            <w:r/>
            <w:r>
              <w:rPr>
                <w:b w:val="0"/>
                <w:sz w:val="16"/>
              </w:rPr>
              <w:t>Lücken bleiben leer</w:t>
            </w:r>
          </w:p>
        </w:tc>
      </w:tr>
      <w:tr>
        <w:tc>
          <w:tcPr>
            <w:tcW w:type="dxa" w:w="2041"/>
            <w:shd w:val="clear" w:color="auto" w:fill="DCE6F1"/>
          </w:tcPr>
          <w:p>
            <w:r/>
            <w:r>
              <w:rPr>
                <w:b w:val="0"/>
                <w:sz w:val="16"/>
              </w:rPr>
              <w:t>Kurse EODHD (drei Paare)</w:t>
            </w:r>
          </w:p>
        </w:tc>
        <w:tc>
          <w:tcPr>
            <w:tcW w:type="dxa" w:w="1928"/>
            <w:shd w:val="clear" w:color="auto" w:fill="DCE6F1"/>
          </w:tcPr>
          <w:p>
            <w:r/>
            <w:r>
              <w:rPr>
                <w:b w:val="0"/>
                <w:sz w:val="16"/>
              </w:rPr>
              <w:t>EUR/USD 1412, GBP/USD 1415, EUR/CHF 1175 Tage</w:t>
            </w:r>
          </w:p>
        </w:tc>
        <w:tc>
          <w:tcPr>
            <w:tcW w:type="dxa" w:w="2041"/>
            <w:shd w:val="clear" w:color="auto" w:fill="DCE6F1"/>
          </w:tcPr>
          <w:p>
            <w:r/>
            <w:r>
              <w:rPr>
                <w:b w:val="0"/>
                <w:sz w:val="16"/>
              </w:rPr>
              <w:t>keine fehlenden Werktage, zusätzlich Wochenendwerte</w:t>
            </w:r>
          </w:p>
        </w:tc>
        <w:tc>
          <w:tcPr>
            <w:tcW w:type="dxa" w:w="1474"/>
            <w:shd w:val="clear" w:color="auto" w:fill="DCE6F1"/>
          </w:tcPr>
          <w:p>
            <w:r/>
            <w:r>
              <w:rPr>
                <w:b w:val="0"/>
                <w:sz w:val="16"/>
              </w:rPr>
              <w:t>0</w:t>
            </w:r>
          </w:p>
        </w:tc>
        <w:tc>
          <w:tcPr>
            <w:tcW w:type="dxa" w:w="2041"/>
            <w:shd w:val="clear" w:color="auto" w:fill="DCE6F1"/>
          </w:tcPr>
          <w:p>
            <w:r/>
            <w:r>
              <w:rPr>
                <w:b w:val="0"/>
                <w:sz w:val="16"/>
              </w:rPr>
              <w:t>Wochenende nur in den Rohdaten (Kapitel 5.2)</w:t>
            </w:r>
          </w:p>
        </w:tc>
      </w:tr>
      <w:tr>
        <w:tc>
          <w:tcPr>
            <w:tcW w:type="dxa" w:w="2041"/>
            <w:shd w:val="clear" w:color="auto" w:fill="DCE6F1"/>
          </w:tcPr>
          <w:p>
            <w:r/>
            <w:r>
              <w:rPr>
                <w:b w:val="0"/>
                <w:sz w:val="16"/>
              </w:rPr>
              <w:t>Kurse MetaTrader (EUR/USD)</w:t>
            </w:r>
          </w:p>
        </w:tc>
        <w:tc>
          <w:tcPr>
            <w:tcW w:type="dxa" w:w="1928"/>
            <w:shd w:val="clear" w:color="auto" w:fill="DCE6F1"/>
          </w:tcPr>
          <w:p>
            <w:r/>
            <w:r>
              <w:rPr>
                <w:b w:val="0"/>
                <w:sz w:val="16"/>
              </w:rPr>
              <w:t>1037 Tage, bis 26.12.2025</w:t>
            </w:r>
          </w:p>
        </w:tc>
        <w:tc>
          <w:tcPr>
            <w:tcW w:type="dxa" w:w="2041"/>
            <w:shd w:val="clear" w:color="auto" w:fill="DCE6F1"/>
          </w:tcPr>
          <w:p>
            <w:r/>
            <w:r>
              <w:rPr>
                <w:b w:val="0"/>
                <w:sz w:val="16"/>
              </w:rPr>
              <w:t>3 Werktage (0.3 Prozent)</w:t>
            </w:r>
          </w:p>
        </w:tc>
        <w:tc>
          <w:tcPr>
            <w:tcW w:type="dxa" w:w="1474"/>
            <w:shd w:val="clear" w:color="auto" w:fill="DCE6F1"/>
          </w:tcPr>
          <w:p>
            <w:r/>
            <w:r>
              <w:rPr>
                <w:b w:val="0"/>
                <w:sz w:val="16"/>
              </w:rPr>
              <w:t>0</w:t>
            </w:r>
          </w:p>
        </w:tc>
        <w:tc>
          <w:tcPr>
            <w:tcW w:type="dxa" w:w="2041"/>
            <w:shd w:val="clear" w:color="auto" w:fill="DCE6F1"/>
          </w:tcPr>
          <w:p>
            <w:r/>
            <w:r>
              <w:rPr>
                <w:b w:val="0"/>
                <w:sz w:val="16"/>
              </w:rPr>
              <w:t>dritte Quelle im EUR/USD-Mittel</w:t>
            </w:r>
          </w:p>
        </w:tc>
      </w:tr>
      <w:tr>
        <w:tc>
          <w:tcPr>
            <w:tcW w:type="dxa" w:w="2041"/>
            <w:shd w:val="clear" w:color="auto" w:fill="DCE6F1"/>
          </w:tcPr>
          <w:p>
            <w:r/>
            <w:r>
              <w:rPr>
                <w:b w:val="0"/>
                <w:sz w:val="16"/>
              </w:rPr>
              <w:t>Nachrichten EODHD (EUR/USD, GBP/USD, EUR/CHF)</w:t>
            </w:r>
          </w:p>
        </w:tc>
        <w:tc>
          <w:tcPr>
            <w:tcW w:type="dxa" w:w="1928"/>
            <w:shd w:val="clear" w:color="auto" w:fill="DCE6F1"/>
          </w:tcPr>
          <w:p>
            <w:r/>
            <w:r>
              <w:rPr>
                <w:b w:val="0"/>
                <w:sz w:val="16"/>
              </w:rPr>
              <w:t>28045 / 18172 / 13 Artikel</w:t>
            </w:r>
          </w:p>
        </w:tc>
        <w:tc>
          <w:tcPr>
            <w:tcW w:type="dxa" w:w="2041"/>
            <w:shd w:val="clear" w:color="auto" w:fill="DCE6F1"/>
          </w:tcPr>
          <w:p>
            <w:r/>
            <w:r>
              <w:rPr>
                <w:b w:val="0"/>
                <w:sz w:val="16"/>
              </w:rPr>
              <w:t>108 / 128 / 1 Artikel ohne Sentiment</w:t>
            </w:r>
          </w:p>
        </w:tc>
        <w:tc>
          <w:tcPr>
            <w:tcW w:type="dxa" w:w="1474"/>
            <w:shd w:val="clear" w:color="auto" w:fill="DCE6F1"/>
          </w:tcPr>
          <w:p>
            <w:r/>
            <w:r>
              <w:rPr>
                <w:b w:val="0"/>
                <w:sz w:val="16"/>
              </w:rPr>
              <w:t>0 doppelte Links</w:t>
            </w:r>
          </w:p>
        </w:tc>
        <w:tc>
          <w:tcPr>
            <w:tcW w:type="dxa" w:w="2041"/>
            <w:shd w:val="clear" w:color="auto" w:fill="DCE6F1"/>
          </w:tcPr>
          <w:p>
            <w:r/>
            <w:r>
              <w:rPr>
                <w:b w:val="0"/>
                <w:sz w:val="16"/>
              </w:rPr>
              <w:t>Artikel ohne Sentiment bleiben leer</w:t>
            </w:r>
          </w:p>
        </w:tc>
      </w:tr>
      <w:tr>
        <w:tc>
          <w:tcPr>
            <w:tcW w:type="dxa" w:w="2041"/>
            <w:shd w:val="clear" w:color="auto" w:fill="FCE4D6"/>
          </w:tcPr>
          <w:p>
            <w:r/>
            <w:r>
              <w:rPr>
                <w:b w:val="0"/>
                <w:sz w:val="16"/>
              </w:rPr>
              <w:t>Nachrichten Webscraping</w:t>
            </w:r>
          </w:p>
        </w:tc>
        <w:tc>
          <w:tcPr>
            <w:tcW w:type="dxa" w:w="1928"/>
            <w:shd w:val="clear" w:color="auto" w:fill="FCE4D6"/>
          </w:tcPr>
          <w:p>
            <w:r/>
            <w:r>
              <w:rPr>
                <w:b w:val="0"/>
                <w:sz w:val="16"/>
              </w:rPr>
              <w:t>3012 Artikel aus 6 Abfragen</w:t>
            </w:r>
          </w:p>
        </w:tc>
        <w:tc>
          <w:tcPr>
            <w:tcW w:type="dxa" w:w="2041"/>
            <w:shd w:val="clear" w:color="auto" w:fill="FCE4D6"/>
          </w:tcPr>
          <w:p>
            <w:r/>
            <w:r>
              <w:rPr>
                <w:b w:val="0"/>
                <w:sz w:val="16"/>
              </w:rPr>
              <w:t>431 Artikel ohne brauchbares Datum</w:t>
            </w:r>
          </w:p>
        </w:tc>
        <w:tc>
          <w:tcPr>
            <w:tcW w:type="dxa" w:w="1474"/>
            <w:shd w:val="clear" w:color="auto" w:fill="FCE4D6"/>
          </w:tcPr>
          <w:p>
            <w:r/>
            <w:r>
              <w:rPr>
                <w:b w:val="0"/>
                <w:sz w:val="16"/>
              </w:rPr>
              <w:t>541 Mehrfachvorkommen</w:t>
            </w:r>
          </w:p>
        </w:tc>
        <w:tc>
          <w:tcPr>
            <w:tcW w:type="dxa" w:w="2041"/>
            <w:shd w:val="clear" w:color="auto" w:fill="FCE4D6"/>
          </w:tcPr>
          <w:p>
            <w:r/>
            <w:r>
              <w:rPr>
                <w:b w:val="0"/>
                <w:sz w:val="16"/>
              </w:rPr>
              <w:t>Duplikate entfernt, 2471 verbleiben</w:t>
            </w:r>
          </w:p>
        </w:tc>
      </w:tr>
    </w:tbl>
    <w:p/>
    <w:p>
      <w:pPr>
        <w:jc w:val="both"/>
      </w:pPr>
      <w:r>
        <w:t>Die 431 Artikel ohne brauchbares Datum stammen aus Feeds, die kein maschinenlesbares Veröffentlichungsdatum mitliefern. Sie bleiben im Artikelbestand erhalten, fliessen aber nicht in die Auswertung auf Tagesebene ein, weil sie sich keinem Tag zuordnen lassen. Die unterschiedliche Tageszahl der drei EODHD-Reihen erklärt sich über die Wochenendwerte: Bei EUR/CHF liefert EODHD deutlich seltener einen Sonntagswert als bei den beiden anderen Paaren, die Werktage sind bei allen drei Paaren vollständig.</w:t>
      </w:r>
    </w:p>
    <w:p>
      <w:pPr>
        <w:pStyle w:val="Heading2"/>
      </w:pPr>
      <w:r>
        <w:t>5.4 Ausreisser</w:t>
      </w:r>
    </w:p>
    <w:p>
      <w:pPr>
        <w:jc w:val="both"/>
      </w:pPr>
      <w:r>
        <w:t>Ausreisser sind einzelne Werte, die weit ausserhalb des üblichen Bereichs liegen. Wir haben die Tagesveränderungen der drei Wechselkurse mit zwei gängigen Verfahren geprüft, der z-Wert-Regel und der Interquartilsabstand-Regel (beide im Anhang B erklärt). Die strengere z-Wert-Regel findet je Wechselkurs 13 bis 14 auffällige Tage, die breiter gefasste Interquartilsabstand-Regel 39 bis 42 Tage, also rund 3.5 bis 3.8 Prozent aller Tage.</w:t>
      </w:r>
    </w:p>
    <w:p>
      <w:pPr>
        <w:jc w:val="both"/>
      </w:pPr>
      <w:r>
        <w:t>Die Prüfung der auffälligsten Tage zeigt, dass es sich um echte Marktereignisse handelt und nicht um Datenfehler. Der stärkste Tagesverlust von GBP/USD, minus 4.25 Prozent am 26. September 2022, ist die dokumentierte Marktreaktion auf die Ankündigung umfangreicher schuldenfinanzierter Steuersenkungen in Grossbritannien vom 23. September 2022. Der stärkste Tagesverlust von EUR/CHF, minus 1.98 Prozent am 17. Juni 2022, folgt unmittelbar auf die überraschende Zinserhöhung der Schweizerischen Nationalbank vom 16. Juni 2022.</w:t>
      </w:r>
    </w:p>
    <w:p>
      <w:pPr>
        <w:jc w:val="both"/>
      </w:pPr>
      <w:r>
        <w:t>Unser Umgang: Wir behalten alle Ausreisser. Ein Entfernen oder Kappen wäre hier falsch, denn genau diese starken Bewegungen sind die Reaktion des Markts auf Nachrichten und damit der Kern unserer Forschungsfrage. Bei Zeitreihen sind extreme Werte oft die wichtigste Information. Stattdessen begrenzen wir den Einfluss von Ausreissern dort, wo er stören würde, durch robuste Verfahren: Beim Tages-Sentiment fassen wir mehrere Artikel mit dem Median statt dem Durchschnitt zusammen (Kapitel 7.1), und beim Quellenvergleich mitteln wir erst nach der zeitlichen Ausrichtung (Kapitel 6.2).</w:t>
      </w:r>
    </w:p>
    <w:p>
      <w:pPr>
        <w:pStyle w:val="Heading2"/>
      </w:pPr>
      <w:r>
        <w:t>5.5 Qualitätsprüfung über die Quellen: ein Datierungsfehler</w:t>
      </w:r>
    </w:p>
    <w:p>
      <w:pPr>
        <w:jc w:val="both"/>
      </w:pPr>
      <w:r>
        <w:t>Mehrere Quellen sind nur dann ein Gewinn, wenn man sie gegeneinander prüft. Wir haben deshalb getestet, ob sich zwei Anbieter desselben Wechselkurses in ihren Tagesveränderungen gleichen. Die Tagesveränderung ist der Unterschied des Kurses von einem Tag zum nächsten. Als Mass für die Übereinstimmung verwenden wir die Korrelation der Tagesveränderungen beider Anbieter: Bei korrekter Datierung muss sie nahe eins liegen. Stimmen zwei Quellen hier nicht überein, stimmt etwas mit der zeitlichen Zuordnung nicht.</w:t>
      </w:r>
    </w:p>
    <w:p>
      <w:pPr>
        <w:jc w:val="center"/>
      </w:pPr>
      <w:r>
        <w:rPr>
          <w:i/>
          <w:sz w:val="18"/>
        </w:rPr>
        <w:t>Tabelle 4: Übereinstimmung von Yahoo und EODHD vor der Korrektur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701"/>
            <w:shd w:val="clear" w:color="auto" w:fill="404040"/>
          </w:tcPr>
          <w:p>
            <w:r/>
            <w:r>
              <w:rPr>
                <w:b/>
                <w:color w:val="FFFFFF"/>
                <w:sz w:val="18"/>
              </w:rPr>
              <w:t>Wechselkurs</w:t>
            </w:r>
          </w:p>
        </w:tc>
        <w:tc>
          <w:tcPr>
            <w:tcW w:type="dxa" w:w="2835"/>
            <w:shd w:val="clear" w:color="auto" w:fill="404040"/>
          </w:tcPr>
          <w:p>
            <w:r/>
            <w:r>
              <w:rPr>
                <w:b/>
                <w:color w:val="FFFFFF"/>
                <w:sz w:val="18"/>
              </w:rPr>
              <w:t>Korrelation der Tagesveränderungen</w:t>
            </w:r>
          </w:p>
        </w:tc>
        <w:tc>
          <w:tcPr>
            <w:tcW w:type="dxa" w:w="1984"/>
            <w:shd w:val="clear" w:color="auto" w:fill="404040"/>
          </w:tcPr>
          <w:p>
            <w:r/>
            <w:r>
              <w:rPr>
                <w:b/>
                <w:color w:val="FFFFFF"/>
                <w:sz w:val="18"/>
              </w:rPr>
              <w:t>Mittlere Differenz</w:t>
            </w:r>
          </w:p>
        </w:tc>
        <w:tc>
          <w:tcPr>
            <w:tcW w:type="dxa" w:w="1701"/>
            <w:shd w:val="clear" w:color="auto" w:fill="404040"/>
          </w:tcPr>
          <w:p>
            <w:r/>
            <w:r>
              <w:rPr>
                <w:b/>
                <w:color w:val="FFFFFF"/>
                <w:sz w:val="18"/>
              </w:rPr>
              <w:t>Bewertung</w:t>
            </w:r>
          </w:p>
        </w:tc>
      </w:tr>
      <w:tr>
        <w:tc>
          <w:tcPr>
            <w:tcW w:type="dxa" w:w="1701"/>
          </w:tcPr>
          <w:p>
            <w:r/>
            <w:r>
              <w:rPr>
                <w:b w:val="0"/>
                <w:sz w:val="18"/>
              </w:rPr>
              <w:t>EUR/CHF</w:t>
            </w:r>
          </w:p>
        </w:tc>
        <w:tc>
          <w:tcPr>
            <w:tcW w:type="dxa" w:w="2835"/>
          </w:tcPr>
          <w:p>
            <w:r/>
            <w:r>
              <w:rPr>
                <w:b w:val="0"/>
                <w:sz w:val="18"/>
              </w:rPr>
              <w:t>0.92</w:t>
            </w:r>
          </w:p>
        </w:tc>
        <w:tc>
          <w:tcPr>
            <w:tcW w:type="dxa" w:w="1984"/>
          </w:tcPr>
          <w:p>
            <w:r/>
            <w:r>
              <w:rPr>
                <w:b w:val="0"/>
                <w:sz w:val="18"/>
              </w:rPr>
              <w:t>rund 2 Pips</w:t>
            </w:r>
          </w:p>
        </w:tc>
        <w:tc>
          <w:tcPr>
            <w:tcW w:type="dxa" w:w="1701"/>
          </w:tcPr>
          <w:p>
            <w:r/>
            <w:r>
              <w:rPr>
                <w:b w:val="0"/>
                <w:sz w:val="18"/>
              </w:rPr>
              <w:t>in Ordnung</w:t>
            </w:r>
          </w:p>
        </w:tc>
      </w:tr>
      <w:tr>
        <w:tc>
          <w:tcPr>
            <w:tcW w:type="dxa" w:w="1701"/>
          </w:tcPr>
          <w:p>
            <w:r/>
            <w:r>
              <w:rPr>
                <w:b w:val="0"/>
                <w:sz w:val="18"/>
              </w:rPr>
              <w:t>EUR/USD</w:t>
            </w:r>
          </w:p>
        </w:tc>
        <w:tc>
          <w:tcPr>
            <w:tcW w:type="dxa" w:w="2835"/>
          </w:tcPr>
          <w:p>
            <w:r/>
            <w:r>
              <w:rPr>
                <w:b w:val="0"/>
                <w:sz w:val="18"/>
              </w:rPr>
              <w:t>0.00</w:t>
            </w:r>
          </w:p>
        </w:tc>
        <w:tc>
          <w:tcPr>
            <w:tcW w:type="dxa" w:w="1984"/>
          </w:tcPr>
          <w:p>
            <w:r/>
            <w:r>
              <w:rPr>
                <w:b w:val="0"/>
                <w:sz w:val="18"/>
              </w:rPr>
              <w:t>rund 43 Pips</w:t>
            </w:r>
          </w:p>
        </w:tc>
        <w:tc>
          <w:tcPr>
            <w:tcW w:type="dxa" w:w="1701"/>
          </w:tcPr>
          <w:p>
            <w:r/>
            <w:r>
              <w:rPr>
                <w:b w:val="0"/>
                <w:sz w:val="18"/>
              </w:rPr>
              <w:t>fehlerhaft</w:t>
            </w:r>
          </w:p>
        </w:tc>
      </w:tr>
      <w:tr>
        <w:tc>
          <w:tcPr>
            <w:tcW w:type="dxa" w:w="1701"/>
          </w:tcPr>
          <w:p>
            <w:r/>
            <w:r>
              <w:rPr>
                <w:b w:val="0"/>
                <w:sz w:val="18"/>
              </w:rPr>
              <w:t>GBP/USD</w:t>
            </w:r>
          </w:p>
        </w:tc>
        <w:tc>
          <w:tcPr>
            <w:tcW w:type="dxa" w:w="2835"/>
          </w:tcPr>
          <w:p>
            <w:r/>
            <w:r>
              <w:rPr>
                <w:b w:val="0"/>
                <w:sz w:val="18"/>
              </w:rPr>
              <w:t>0.00</w:t>
            </w:r>
          </w:p>
        </w:tc>
        <w:tc>
          <w:tcPr>
            <w:tcW w:type="dxa" w:w="1984"/>
          </w:tcPr>
          <w:p>
            <w:r/>
            <w:r>
              <w:rPr>
                <w:b w:val="0"/>
                <w:sz w:val="18"/>
              </w:rPr>
              <w:t>rund 50 Pips</w:t>
            </w:r>
          </w:p>
        </w:tc>
        <w:tc>
          <w:tcPr>
            <w:tcW w:type="dxa" w:w="1701"/>
          </w:tcPr>
          <w:p>
            <w:r/>
            <w:r>
              <w:rPr>
                <w:b w:val="0"/>
                <w:sz w:val="18"/>
              </w:rPr>
              <w:t>fehlerhaft</w:t>
            </w:r>
          </w:p>
        </w:tc>
      </w:tr>
    </w:tbl>
    <w:p/>
    <w:p>
      <w:pPr>
        <w:jc w:val="both"/>
      </w:pPr>
      <w:r>
        <w:t>Zwei echte Datenquellen für denselben EUR/USD- oder GBP/USD-Kurs dürften sich am selben Tag niemals um 43 oder 50 Pips unterscheiden, und ihre Tagesveränderungen müssten fast vollständig übereinstimmen, nicht bei null liegen (ein Pip ist die kleinste übliche Kursbewegung, die vierte Nachkommastelle). Verschiebt man die EODHD-Reihe um genau einen Kalendertag, springt die Übereinstimmung auf 0.66 beziehungsweise 0.89. Die EODHD-Tagesreihen waren also für EUR/USD und GBP/USD um einen Tag gegenüber Yahoo versetzt, für EUR/CHF nicht.</w:t>
      </w:r>
    </w:p>
    <w:p>
      <w:pPr>
        <w:jc w:val="both"/>
      </w:pPr>
      <w:r>
        <w:t>Die Ursache liegt in unterschiedlichen Konventionen, wie ein Tagesbalken datiert wird. Yahoo Finance stempelt seine Tageswerte uneinheitlich mal auf 23:00 Uhr des Vortags, mal auf 00:00 Uhr (jeweils Weltzeit). EODHD ordnet den Sonntags-Balken je nach Paar anders zu. In Summe ergibt sich der Versatz von einem Tag.</w:t>
      </w:r>
    </w:p>
    <w:p>
      <w:pPr>
        <w:jc w:val="both"/>
      </w:pPr>
      <w:r>
        <w:t>Warum das wichtig war: In der Analyse mitteln wir die Quellen pro Tag (Kapitel 7.3). Mittelt man zwei um einen Tag versetzte Reihen, mischt man zwei verschiedene Markttage zu einem Wert, und die daraus berechneten Tagesveränderungen werden teils unsinnig.</w:t>
      </w:r>
    </w:p>
    <w:p>
      <w:pPr>
        <w:jc w:val="both"/>
      </w:pPr>
      <w:r>
        <w:t>Entscheidend ist die Grössenordnung. Dass sich zwei Forex-Anbieter leicht unterscheiden, ist normal, denn der Devisenmarkt ist dezentral, es gibt keinen einzigen offiziellen Kurs, und jeder Handelsplatz quotiert minimal anders. Genau dafür ist ein Mittelwert das richtige Werkzeug. Bei EUR/CHF betrug der Unterschied rund 2 Pips, also normale Anbieter-Streuung. Bei EUR/USD waren es rund 43 Pips, das Zwanzigfache. So weit driften echte Kurse nicht auseinander, das war ein Datierungsfehler. Nach der Korrektur schrumpft der Unterschied auf rund 12 beziehungsweise 1 Pip. Abbildung 3 zeigt die Übereinstimmung vor und nach der Korrektur.</w:t>
      </w:r>
    </w:p>
    <w:p>
      <w:pPr>
        <w:jc w:val="center"/>
      </w:pPr>
      <w:r>
        <w:drawing>
          <wp:inline xmlns:a="http://schemas.openxmlformats.org/drawingml/2006/main" xmlns:pic="http://schemas.openxmlformats.org/drawingml/2006/picture">
            <wp:extent cx="5040000" cy="2822400"/>
            <wp:docPr id="3" name="Picture 3"/>
            <wp:cNvGraphicFramePr>
              <a:graphicFrameLocks noChangeAspect="1"/>
            </wp:cNvGraphicFramePr>
            <a:graphic>
              <a:graphicData uri="http://schemas.openxmlformats.org/drawingml/2006/picture">
                <pic:pic>
                  <pic:nvPicPr>
                    <pic:cNvPr id="0" name="fig_source_alignment.png"/>
                    <pic:cNvPicPr/>
                  </pic:nvPicPr>
                  <pic:blipFill>
                    <a:blip r:embed="rId11"/>
                    <a:stretch>
                      <a:fillRect/>
                    </a:stretch>
                  </pic:blipFill>
                  <pic:spPr>
                    <a:xfrm>
                      <a:off x="0" y="0"/>
                      <a:ext cx="5040000" cy="2822400"/>
                    </a:xfrm>
                    <a:prstGeom prst="rect"/>
                  </pic:spPr>
                </pic:pic>
              </a:graphicData>
            </a:graphic>
          </wp:inline>
        </w:drawing>
      </w:r>
    </w:p>
    <w:p>
      <w:pPr>
        <w:jc w:val="center"/>
      </w:pPr>
      <w:r>
        <w:rPr>
          <w:i/>
          <w:sz w:val="18"/>
        </w:rPr>
        <w:t>Abbildung 3: Quellenvergleich vor und nach der Datums-Ausrichtung. Vor der Korrektur stimmen Yahoo und EODHD bei EUR/USD und GBP/USD kaum überein, danach deutlich besser. Die Balken vor der Ausrichtung bei EUR/USD und GBP/USD haben den Wert 0.00 und sind deshalb nicht sichtbar.</w:t>
      </w:r>
    </w:p>
    <w:p/>
    <w:p>
      <w:pPr>
        <w:jc w:val="both"/>
      </w:pPr>
      <w:r>
        <w:t>Auch nach der Korrektur bleibt bei EUR/USD eine Restdifferenz: Die Korrelation erreicht 0.66 statt der 0.89 von GBP/USD, und es verbleiben rund 12 Pips mittlere Differenz. Wir führen das auf die beschriebene Stempel-Mischung zurück: Weil Yahoo bei EUR/USD zwischen zwei Zeitstempel-Konventionen wechselt, decken sich die Tagesfenster der beiden Anbieter auch nach der Verschiebung nicht an jedem Tag exakt, und ein Teil der Tagesbewegung fällt beim einen Anbieter auf den Nachbartag. Dass die Abweichung bei EODHD liegt und nicht bei Yahoo, zeigt der Vergleich mit der dritten Quelle: MetaTrader, das ebenfalls um einen Tag versetzt war, stimmt nach der Korrektur zu 0.96 mit Yahoo überein. Für die kombinierte Reihe ist die Restdifferenz vertretbar, weil der Mittelwert über die ausgerichteten Quellen diese Rest-Streuung glättet; als offener Punkt ist sie in Kapitel 10 festgehalten. Die Behebung des Versatzes beschreibt Kapitel 6.2.</w:t>
      </w:r>
    </w:p>
    <w:p>
      <w:r>
        <w:br w:type="page"/>
      </w:r>
    </w:p>
    <w:p>
      <w:pPr>
        <w:pStyle w:val="Heading1"/>
      </w:pPr>
      <w:r>
        <w:t>6. Harmonisierung</w:t>
      </w:r>
    </w:p>
    <w:p>
      <w:pPr>
        <w:jc w:val="both"/>
      </w:pPr>
      <w:r>
        <w:t>Ziel der Harmonisierung ist, alle Quellen auf dasselbe Format und denselben Markttag zu bringen, damit ein Vergleich überhaupt möglich ist.</w:t>
      </w:r>
    </w:p>
    <w:p>
      <w:pPr>
        <w:pStyle w:val="Heading2"/>
      </w:pPr>
      <w:r>
        <w:t>6.1 Vereinheitlichung von Format und Benennung</w:t>
      </w:r>
    </w:p>
    <w:p>
      <w:pPr>
        <w:pStyle w:val="ListBullet"/>
        <w:jc w:val="both"/>
      </w:pPr>
      <w:r>
        <w:t>Spaltennamen: Yahoo schreibt Open, High, Low, Close gross, EODHD klein, MetaTrader mit spitzen Klammern. Wir vereinheitlichen alles auf die Kleinschreibung open, high, low, close.</w:t>
      </w:r>
    </w:p>
    <w:p>
      <w:pPr>
        <w:pStyle w:val="ListBullet"/>
        <w:jc w:val="both"/>
      </w:pPr>
      <w:r>
        <w:t>Datumsformat: Die Quellen liefern unterschiedliche Schreibweisen des Datums. Wir wandeln alle in ein einheitliches Datumsformat um.</w:t>
      </w:r>
    </w:p>
    <w:p>
      <w:pPr>
        <w:pStyle w:val="ListBullet"/>
        <w:jc w:val="both"/>
      </w:pPr>
      <w:r>
        <w:t>Schreibweise der Währungspaare: Yahoo nutzt EURUSD=X, EODHD nutzt EURUSD.FOREX, MetaTrader nutzt EURUSD. Intern verwenden wir einheitlich EUR_USD, EUR_CHF und GBP_USD.</w:t>
      </w:r>
    </w:p>
    <w:p>
      <w:pPr>
        <w:pStyle w:val="ListBullet"/>
        <w:jc w:val="both"/>
      </w:pPr>
      <w:r>
        <w:t>Nachrichtenfelder: Den verschachtelten Stimmungswert von EODHD flachen wir in eigene Spalten auf, damit er wie eine normale Tabellenspalte nutzbar ist.</w:t>
      </w:r>
    </w:p>
    <w:p>
      <w:pPr>
        <w:pStyle w:val="Heading2"/>
      </w:pPr>
      <w:r>
        <w:t>6.2 Zeitliche Ausrichtung der Quellen</w:t>
      </w:r>
    </w:p>
    <w:p>
      <w:pPr>
        <w:jc w:val="both"/>
      </w:pPr>
      <w:r>
        <w:t>Der wichtigste Harmonisierungsschritt ist die Korrektur des in Kapitel 5.5 gefundenen Datierungsfehlers. Das Skript regenerate_forex_combined.py geht dabei wie folgt vor:</w:t>
      </w:r>
    </w:p>
    <w:p>
      <w:pPr>
        <w:pStyle w:val="ListBullet"/>
        <w:jc w:val="both"/>
      </w:pPr>
      <w:r>
        <w:t>Yahoo dient als zeitliche Referenz. Seine uneinheitlichen Zeitstempel werden korrekt auf den jeweils richtigen Handelstag gerundet.</w:t>
      </w:r>
    </w:p>
    <w:p>
      <w:pPr>
        <w:pStyle w:val="ListBullet"/>
        <w:jc w:val="both"/>
      </w:pPr>
      <w:r>
        <w:t>Für jede andere Quelle wird der Versatz zwischen minus zwei und plus zwei Tagen gesucht, der die Übereinstimmung der Tagesveränderungen mit Yahoo am grössten macht.</w:t>
      </w:r>
    </w:p>
    <w:p>
      <w:pPr>
        <w:pStyle w:val="ListBullet"/>
        <w:jc w:val="both"/>
      </w:pPr>
      <w:r>
        <w:t>Ein Versatz wird nur dann angewendet, wenn er die Übereinstimmung deutlich verbessert, nämlich um mindestens 0.15 gegenüber der unverschobenen Variante. So bleibt EUR/CHF unverändert, während EUR/USD und GBP/USD um einen Tag korrigiert werden.</w:t>
      </w:r>
    </w:p>
    <w:p>
      <w:pPr>
        <w:jc w:val="both"/>
      </w:pPr>
      <w:r>
        <w:t>Erst nach dieser Ausrichtung werden die Quellen zusammengeführt und gemittelt.</w:t>
      </w:r>
    </w:p>
    <w:p>
      <w:pPr>
        <w:jc w:val="both"/>
      </w:pPr>
      <w:r>
        <w:t>Yahoo als zeitliche Referenz zu setzen ist eine Annahme, die wir geprüft haben: Die brokernahe, von Yahoo unabhängige Quelle MetaTrader stimmt nach der Ausrichtung zu 0.96 mit Yahoo überein (Kapitel 5.5). Die Referenz wird also von einer dritten Quelle bestätigt und entsteht nicht allein dadurch, dass wir die anderen Quellen an Yahoo anpassen.</w:t>
      </w:r>
    </w:p>
    <w:p>
      <w:pPr>
        <w:jc w:val="both"/>
      </w:pPr>
      <w:r>
        <w:t>Eine zusätzliche Qualitätsprüfung bestätigt die MetaTrader-Daten von innen heraus: Wir haben die 15-Minuten-Daten zu Tageswerten zusammengefasst und mit dem Tages-Export verglichen. An allen 1037 gemeinsamen Tagen stimmen die Schlusskurse exakt überein, ohne eine einzige Abweichung.</w:t>
      </w:r>
    </w:p>
    <w:p>
      <w:r>
        <w:br w:type="page"/>
      </w:r>
    </w:p>
    <w:p>
      <w:pPr>
        <w:pStyle w:val="Heading1"/>
      </w:pPr>
      <w:r>
        <w:t>7. Aufbereitung der Analysegrössen</w:t>
      </w:r>
    </w:p>
    <w:p>
      <w:pPr>
        <w:pStyle w:val="Heading2"/>
      </w:pPr>
      <w:r>
        <w:t>7.1 Tages-Sentiment aus mehreren Artikeln</w:t>
      </w:r>
    </w:p>
    <w:p>
      <w:pPr>
        <w:jc w:val="both"/>
      </w:pPr>
      <w:r>
        <w:t>An einem Tag gibt es oft mehrere Artikel mit je einem Stimmungswert. Wir fassen sie pro Tag zum Median zusammen, also dem mittleren Wert, nicht zum Durchschnitt. Der Hintergrund ist unsere Annahme zur Tagesstimmung: Wenn etwas Bedeutendes passiert, erscheinen dazu mehrere Artikel mit deutlichem Sentiment. Ein einzelner oder zwei stark formulierte Artikel deuten dagegen nicht auf ein grosses Ereignis hin, denn sonst gäbe es mehr Artikel. Der Median bildet deshalb die breite Stimmung des Tages ab und wird von solchen einzelnen Ausreissern nicht verzerrt, während der Durchschnitt von einem einzelnen extremen Artikel stark beeinflusst würde.</w:t>
      </w:r>
    </w:p>
    <w:p>
      <w:pPr>
        <w:jc w:val="both"/>
      </w:pPr>
      <w:r>
        <w:t>Ergänzend lässt sich auch der Durchschnitt je Tag bilden. Das ist sinnvoll, wenn man umgekehrt prüfen möchte, ob einzelne, stark formulierte Artikel eine eigene Bedeutung haben und nicht untergehen sollen.</w:t>
      </w:r>
    </w:p>
    <w:p>
      <w:pPr>
        <w:pStyle w:val="Heading2"/>
      </w:pPr>
      <w:r>
        <w:t>7.2 Warum wir Veränderungen und nicht nur das Kursniveau betrachten</w:t>
      </w:r>
    </w:p>
    <w:p>
      <w:pPr>
        <w:jc w:val="both"/>
      </w:pPr>
      <w:r>
        <w:t>Für den statistischen Vergleich betrachten wir neben dem Kursniveau vor allem die Kursveränderung, also den Unterschied von einem Zeitpunkt zum nächsten. Der Grund: Kurse haben über Jahre einen langfristigen Trend. Vergleicht man zwei Kursniveaus direkt, misst man vor allem, ob beide demselben Trend folgen, und nicht, ob der Kurs gerade auf eine Nachricht reagiert. Mit der Veränderung messen wir die eigentliche Reaktion.</w:t>
      </w:r>
    </w:p>
    <w:p>
      <w:pPr>
        <w:jc w:val="both"/>
      </w:pPr>
      <w:r>
        <w:t>Die eingangs gestellte anschauliche Frage betrifft aber genau das Niveau: Sinkt der Kurs nach negativen Nachrichten nachträglich weiter? Diese Niveau-Sicht behandeln wir deshalb in Kapitel 9.3 ausdrücklich, sowohl mit einer Grafik des Kursverlaufs als auch, indem wir die kumulative Kursbewegung über die folgenden Wochen messen.</w:t>
      </w:r>
    </w:p>
    <w:p>
      <w:pPr>
        <w:pStyle w:val="Heading2"/>
      </w:pPr>
      <w:r>
        <w:t>7.3 Mittelwert über die Quellen</w:t>
      </w:r>
    </w:p>
    <w:p>
      <w:pPr>
        <w:jc w:val="both"/>
      </w:pPr>
      <w:r>
        <w:t>Wo mehrere Quellen einen Kurs liefern, bilden wir den Mittelwert über die an diesem Tag vorhandenen Quellen. Wie in Kapitel 5.5 erläutert, hat der Devisenmarkt keinen einzigen wahren Kurs, und der Mittelwert glättet die normale, kleine Streuung zwischen den Anbietern. Wichtig ist, dass dieser Mittelwert erst gebildet wird, nachdem die Quellen auf denselben Markttag ausgerichtet sind.</w:t>
      </w:r>
    </w:p>
    <w:p>
      <w:pPr>
        <w:pStyle w:val="Heading2"/>
      </w:pPr>
      <w:r>
        <w:t>7.4 Interpolation der Kurse</w:t>
      </w:r>
    </w:p>
    <w:p>
      <w:pPr>
        <w:jc w:val="both"/>
      </w:pPr>
      <w:r>
        <w:t>Eine Interpolation füllt fehlende Tage rechnerisch auf. Liegt der Kurs heute bei 1 und übermorgen bei 3, setzt die lineare Interpolation den fehlenden Tag dazwischen auf 2. Das macht die Zeitreihe lückenlos und erleichtert spätere Berechnungen. Wir haben beide Varianten gerechnet und verglichen.</w:t>
      </w:r>
    </w:p>
    <w:p>
      <w:pPr>
        <w:jc w:val="center"/>
      </w:pPr>
      <w:r>
        <w:rPr>
          <w:i/>
          <w:sz w:val="18"/>
        </w:rPr>
        <w:t>Tabelle 5: Zusammenhang am selben Tag mit und ohne Interpolation</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val="clear" w:color="auto" w:fill="404040"/>
          </w:tcPr>
          <w:p>
            <w:r/>
            <w:r>
              <w:rPr>
                <w:b/>
                <w:color w:val="FFFFFF"/>
                <w:sz w:val="18"/>
              </w:rPr>
              <w:t>Wechselkurs</w:t>
            </w:r>
          </w:p>
        </w:tc>
        <w:tc>
          <w:tcPr>
            <w:tcW w:type="dxa" w:w="2835"/>
            <w:shd w:val="clear" w:color="auto" w:fill="404040"/>
          </w:tcPr>
          <w:p>
            <w:r/>
            <w:r>
              <w:rPr>
                <w:b/>
                <w:color w:val="FFFFFF"/>
                <w:sz w:val="18"/>
              </w:rPr>
              <w:t>ohne Interpolation</w:t>
            </w:r>
          </w:p>
        </w:tc>
        <w:tc>
          <w:tcPr>
            <w:tcW w:type="dxa" w:w="2835"/>
            <w:shd w:val="clear" w:color="auto" w:fill="404040"/>
          </w:tcPr>
          <w:p>
            <w:r/>
            <w:r>
              <w:rPr>
                <w:b/>
                <w:color w:val="FFFFFF"/>
                <w:sz w:val="18"/>
              </w:rPr>
              <w:t>mit Interpolation</w:t>
            </w:r>
          </w:p>
        </w:tc>
      </w:tr>
      <w:tr>
        <w:tc>
          <w:tcPr>
            <w:tcW w:type="dxa" w:w="2268"/>
          </w:tcPr>
          <w:p>
            <w:r/>
            <w:r>
              <w:rPr>
                <w:b w:val="0"/>
                <w:sz w:val="18"/>
              </w:rPr>
              <w:t>EUR/USD</w:t>
            </w:r>
          </w:p>
        </w:tc>
        <w:tc>
          <w:tcPr>
            <w:tcW w:type="dxa" w:w="2835"/>
          </w:tcPr>
          <w:p>
            <w:r/>
            <w:r>
              <w:rPr>
                <w:b w:val="0"/>
                <w:sz w:val="18"/>
              </w:rPr>
              <w:t>0.18</w:t>
            </w:r>
          </w:p>
        </w:tc>
        <w:tc>
          <w:tcPr>
            <w:tcW w:type="dxa" w:w="2835"/>
          </w:tcPr>
          <w:p>
            <w:r/>
            <w:r>
              <w:rPr>
                <w:b w:val="0"/>
                <w:sz w:val="18"/>
              </w:rPr>
              <w:t>0.11</w:t>
            </w:r>
          </w:p>
        </w:tc>
      </w:tr>
      <w:tr>
        <w:tc>
          <w:tcPr>
            <w:tcW w:type="dxa" w:w="2268"/>
          </w:tcPr>
          <w:p>
            <w:r/>
            <w:r>
              <w:rPr>
                <w:b w:val="0"/>
                <w:sz w:val="18"/>
              </w:rPr>
              <w:t>GBP/USD</w:t>
            </w:r>
          </w:p>
        </w:tc>
        <w:tc>
          <w:tcPr>
            <w:tcW w:type="dxa" w:w="2835"/>
          </w:tcPr>
          <w:p>
            <w:r/>
            <w:r>
              <w:rPr>
                <w:b w:val="0"/>
                <w:sz w:val="18"/>
              </w:rPr>
              <w:t>0.21</w:t>
            </w:r>
          </w:p>
        </w:tc>
        <w:tc>
          <w:tcPr>
            <w:tcW w:type="dxa" w:w="2835"/>
          </w:tcPr>
          <w:p>
            <w:r/>
            <w:r>
              <w:rPr>
                <w:b w:val="0"/>
                <w:sz w:val="18"/>
              </w:rPr>
              <w:t>0.16</w:t>
            </w:r>
          </w:p>
        </w:tc>
      </w:tr>
    </w:tbl>
    <w:p/>
    <w:p>
      <w:pPr>
        <w:jc w:val="both"/>
      </w:pPr>
      <w:r>
        <w:t>Mit Interpolation fällt der Zusammenhang. Das ist nachvollziehbar: Die zusätzlich eingefügten Werte an Wochenenden sind rechnerisch erfunden und enthalten keine neue Information aus Nachrichten. Sie vergrössern die Datenmenge, ohne ein Signal hinzuzufügen, und verwässern dadurch den Zusammenhang. Zugleich ist die Interpolation nur eine Näherung, denn auch Kurse können sich von Tag zu Tag stark ändern, je nachdem was passiert. Deshalb verwenden wir die Variante ohne Interpolation als Hauptauswertung und die interpolierte Variante als Vergleich. Beide führen zur selben Kernaussage.</w:t>
      </w:r>
    </w:p>
    <w:p>
      <w:pPr>
        <w:jc w:val="both"/>
      </w:pPr>
      <w:r>
        <w:t>Damit ist auch die Frage beantwortet, wie sich der Zusammenhang ohne Interpolation berechnen lässt: Für den statistischen Vergleich verwenden wir nur die Tage, an denen sowohl ein Kurs als auch ein Stimmungswert vorliegt. Ein Wert für jeden Kalendertag ist dafür nicht nötig.</w:t>
      </w:r>
    </w:p>
    <w:p>
      <w:pPr>
        <w:pStyle w:val="Heading2"/>
      </w:pPr>
      <w:r>
        <w:t>7.5 Zusammenfassung auf andere Zeithorizonte</w:t>
      </w:r>
    </w:p>
    <w:p>
      <w:pPr>
        <w:jc w:val="both"/>
      </w:pPr>
      <w:r>
        <w:t>Neben der Tagesebene fassen wir die Daten auf Wochen, Monate und Quartale zusammen. So lässt sich derselbe Zusammenhang über verschiedene Zeithorizonte prüfen. Fehlende Tage werden dabei nicht vorher gefüllt, sondern beim Zusammenfassen übersprungen.</w:t>
      </w:r>
    </w:p>
    <w:p>
      <w:r>
        <w:br w:type="page"/>
      </w:r>
    </w:p>
    <w:p>
      <w:pPr>
        <w:pStyle w:val="Heading1"/>
      </w:pPr>
      <w:r>
        <w:t>8. Sentiment-Analyse</w:t>
      </w:r>
    </w:p>
    <w:p>
      <w:pPr>
        <w:jc w:val="both"/>
      </w:pPr>
      <w:r>
        <w:t>Wir bestimmen die Stimmung auf mehreren Wegen, damit sichtbar wird, wie stark das Ergebnis von der Methode abhängt.</w:t>
      </w:r>
    </w:p>
    <w:p>
      <w:pPr>
        <w:pStyle w:val="Heading2"/>
      </w:pPr>
      <w:r>
        <w:t>8.1 Hauptweg: das fertige Sentiment von EODHD</w:t>
      </w:r>
    </w:p>
    <w:p>
      <w:pPr>
        <w:jc w:val="both"/>
      </w:pPr>
      <w:r>
        <w:t>EODHD liefert pro Artikel bereits einen Stimmungswert zwischen minus eins und plus eins. Wie dieser Wert genau berechnet wird, legt der Anbieter nicht offen. Wir behandeln ihn deshalb als gegebenen Wert und nutzen ihn als Hauptgrundlage der Analyse.</w:t>
      </w:r>
    </w:p>
    <w:p>
      <w:pPr>
        <w:pStyle w:val="Heading2"/>
      </w:pPr>
      <w:r>
        <w:t>8.2 Eigene Berechnung auf dem Nachrichtentext von EODHD</w:t>
      </w:r>
    </w:p>
    <w:p>
      <w:pPr>
        <w:jc w:val="both"/>
      </w:pPr>
      <w:r>
        <w:t>Als erste eigene Umsetzung nehmen wir denselben Nachrichtentext von EODHD und berechnen das Sentiment selbst mit dem Werkzeug TextBlob, statt den fertigen Wert zu übernehmen. So zeigen wir, dass wir die Stimmungsanalyse selbst durchführen können, und können zugleich vergleichen, wie nah unsere Berechnung an den Wert von EODHD herankommt. Abbildung 4 stellt beide Werte für denselben Artikel gegenüber.</w:t>
      </w:r>
    </w:p>
    <w:p>
      <w:pPr>
        <w:jc w:val="center"/>
      </w:pPr>
      <w:r>
        <w:drawing>
          <wp:inline xmlns:a="http://schemas.openxmlformats.org/drawingml/2006/main" xmlns:pic="http://schemas.openxmlformats.org/drawingml/2006/picture">
            <wp:extent cx="4500000" cy="4153846"/>
            <wp:docPr id="4" name="Picture 4"/>
            <wp:cNvGraphicFramePr>
              <a:graphicFrameLocks noChangeAspect="1"/>
            </wp:cNvGraphicFramePr>
            <a:graphic>
              <a:graphicData uri="http://schemas.openxmlformats.org/drawingml/2006/picture">
                <pic:pic>
                  <pic:nvPicPr>
                    <pic:cNvPr id="0" name="fig_sentiment_compare.png"/>
                    <pic:cNvPicPr/>
                  </pic:nvPicPr>
                  <pic:blipFill>
                    <a:blip r:embed="rId12"/>
                    <a:stretch>
                      <a:fillRect/>
                    </a:stretch>
                  </pic:blipFill>
                  <pic:spPr>
                    <a:xfrm>
                      <a:off x="0" y="0"/>
                      <a:ext cx="4500000" cy="4153846"/>
                    </a:xfrm>
                    <a:prstGeom prst="rect"/>
                  </pic:spPr>
                </pic:pic>
              </a:graphicData>
            </a:graphic>
          </wp:inline>
        </w:drawing>
      </w:r>
    </w:p>
    <w:p>
      <w:pPr>
        <w:jc w:val="center"/>
      </w:pPr>
      <w:r>
        <w:rPr>
          <w:i/>
          <w:sz w:val="18"/>
        </w:rPr>
        <w:t>Abbildung 4: Eigenes Sentiment (TextBlob) im Vergleich zum vorberechneten Sentiment von EODHD auf demselben Artikeltext.</w:t>
      </w:r>
    </w:p>
    <w:p/>
    <w:p>
      <w:pPr>
        <w:jc w:val="both"/>
      </w:pPr>
      <w:r>
        <w:t>Die Übereinstimmung ist mit einer Korrelation von rund 0.27 nur schwach. Ein einfaches, auf Allgemeinsprache ausgelegtes Verfahren wie TextBlob reproduziert die Werte des spezialisierten EODHD-Verfahrens also nur teilweise. Das zeigt, wie stark das Ergebnis einer Sentiment-Analyse von der gewählten Methode abhängt.</w:t>
      </w:r>
    </w:p>
    <w:p>
      <w:pPr>
        <w:pStyle w:val="Heading2"/>
      </w:pPr>
      <w:r>
        <w:t>8.3 Eigene Nachrichten und eigenes Sentiment über Webscraping</w:t>
      </w:r>
    </w:p>
    <w:p>
      <w:pPr>
        <w:jc w:val="both"/>
      </w:pPr>
      <w:r>
        <w:t>Als zweite eigene Umsetzung beschaffen wir die Nachrichten vollständig selbst über Webscraping (Kapitel 4.4) und berechnen das Sentiment ebenfalls selbst mit TextBlob, aus Titel und Kurzbeschreibung des Artikels. Auch hier bilden wir pro Tag den Median. Damit demonstrieren wir den vollen Weg von der eigenen Datenbeschaffung bis zum fertigen Stimmungswert.</w:t>
      </w:r>
    </w:p>
    <w:p>
      <w:pPr>
        <w:pStyle w:val="Heading2"/>
      </w:pPr>
      <w:r>
        <w:t>8.4 Grenzen und Abdeckung</w:t>
      </w:r>
    </w:p>
    <w:p>
      <w:pPr>
        <w:jc w:val="both"/>
      </w:pPr>
      <w:r>
        <w:t>TextBlob schlägt Wörter in einem allgemeinen Wörterbuch nach und ist nicht auf Finanztexte spezialisiert. Für fachsprachliche Begriffe liefert es deshalb oft den Wert null, in unseren Daten bei rund einem Drittel der Artikel. Wir setzen TextBlob dennoch ein, weil es transparent und reproduzierbar ist. Spezialisierte Verfahren für Finanztexte wären eine sinnvolle Erweiterung und sind in Kapitel 10 als nächster Schritt genannt.</w:t>
      </w:r>
    </w:p>
    <w:p>
      <w:pPr>
        <w:jc w:val="both"/>
      </w:pPr>
      <w:r>
        <w:t>Die Abdeckung der selbst gesammelten Nachrichten ist begrenzt. Insgesamt liegen 127 Tage mit Artikeln vor. Davon stammt nur ein einziger Tag aus dem September 2024, die eigentliche Abdeckung beginnt im September 2025 und reicht bis April 2026. An 58 der 127 Tage gibt es nur einen einzigen Artikel. Diese dünne Grundlage ist der Grund, warum diese zweite Umsetzung eine Machbarkeitsdemonstration bleibt und keine belastbare Aussage liefert.</w:t>
      </w:r>
    </w:p>
    <w:p>
      <w:r>
        <w:br w:type="page"/>
      </w:r>
    </w:p>
    <w:p>
      <w:pPr>
        <w:pStyle w:val="Heading1"/>
      </w:pPr>
      <w:r>
        <w:t>9. Analyse und Ergebnisse</w:t>
      </w:r>
    </w:p>
    <w:p>
      <w:pPr>
        <w:pStyle w:val="Heading2"/>
      </w:pPr>
      <w:r>
        <w:t>9.1 Vorgehen</w:t>
      </w:r>
    </w:p>
    <w:p>
      <w:pPr>
        <w:jc w:val="both"/>
      </w:pPr>
      <w:r>
        <w:t>Wir vergleichen das Sentiment eines Zeitraums mit der Kursveränderung desselben und der folgenden Zeiträume. Auf Tagesebene betrachten wir Verschiebungen von minus zehn bis plus zehn Tagen. Als Mass dient die Korrelation, eine Zahl zwischen minus eins und plus eins, die angibt, wie stark zwei Grössen zusammenhängen. Ein Wert nahe null bedeutet keinen Zusammenhang. Damit ein Wert als gesichert gilt (statistisch signifikant), muss er ein Konfidenzband überschreiten, das von der Anzahl der Beobachtungen abhängt und sich als rund 2 geteilt durch die Wurzel der Beobachtungszahl berechnet; bei rund 1100 Beobachtungen liegt es bei etwa plus minus 0.06. Weil wir 21 Verschiebungen nebeneinander prüfen, werten wir ein einzelnes, knappes Überschreiten des Bandes nicht als Beleg; massgebend ist, ob sich ein klares Maximum bei einer bestimmten Verschiebung deutlich vom Band abhebt. Abbildung 5 zeigt den Zusammenhang für jede Verschiebung.</w:t>
      </w:r>
    </w:p>
    <w:p>
      <w:pPr>
        <w:jc w:val="both"/>
      </w:pPr>
      <w:r>
        <w:t>So entsteht die Kurve in Abbildung 5: Für jede Verschiebung k bilden wir alle Paare aus dem Sentiment eines Tages und der Kursveränderung k Tage später und berechnen über alle rund 1100 Paare eine einzige Korrelation. Ein Punkt der Kurve ist also kein Mittelwert über Tage, sondern eine Korrelation über den gesamten Zeitraum. Beispiel Verschiebung plus 2: Das Sentiment vom Montag wird mit der Kursveränderung vom Mittwoch verglichen, das Sentiment vom Dienstag mit der vom Donnerstag, und so weiter über alle Tage. Negative Verschiebungen drehen die Reihenfolge um: Bei minus 2 wird das Sentiment vom Mittwoch mit der Kursveränderung vom Montag davor verglichen. Das ist kein rückwirkender Einfluss, sondern der Test der Alternative A2 aus Kapitel 1.3: Wenn die Nachrichten erst über bereits geschehene Kursbewegungen berichten, müsste der Zusammenhang auf der negativen Seite hoch sein.</w:t>
      </w:r>
    </w:p>
    <w:p>
      <w:pPr>
        <w:jc w:val="center"/>
      </w:pPr>
      <w:r>
        <w:drawing>
          <wp:inline xmlns:a="http://schemas.openxmlformats.org/drawingml/2006/main" xmlns:pic="http://schemas.openxmlformats.org/drawingml/2006/picture">
            <wp:extent cx="5580000" cy="2929500"/>
            <wp:docPr id="5" name="Picture 5"/>
            <wp:cNvGraphicFramePr>
              <a:graphicFrameLocks noChangeAspect="1"/>
            </wp:cNvGraphicFramePr>
            <a:graphic>
              <a:graphicData uri="http://schemas.openxmlformats.org/drawingml/2006/picture">
                <pic:pic>
                  <pic:nvPicPr>
                    <pic:cNvPr id="0" name="fig_leadlag.png"/>
                    <pic:cNvPicPr/>
                  </pic:nvPicPr>
                  <pic:blipFill>
                    <a:blip r:embed="rId13"/>
                    <a:stretch>
                      <a:fillRect/>
                    </a:stretch>
                  </pic:blipFill>
                  <pic:spPr>
                    <a:xfrm>
                      <a:off x="0" y="0"/>
                      <a:ext cx="5580000" cy="2929500"/>
                    </a:xfrm>
                    <a:prstGeom prst="rect"/>
                  </pic:spPr>
                </pic:pic>
              </a:graphicData>
            </a:graphic>
          </wp:inline>
        </w:drawing>
      </w:r>
    </w:p>
    <w:p>
      <w:pPr>
        <w:jc w:val="center"/>
      </w:pPr>
      <w:r>
        <w:rPr>
          <w:i/>
          <w:sz w:val="18"/>
        </w:rPr>
        <w:t>Abbildung 5: Zusammenhang zwischen Sentiment und Kursveränderung je zeitlicher Verschiebung auf Tagesebene. Das Maximum liegt bei der Verschiebung null. Die hellen Bänder zeigen den Bereich, in dem ein Wert als zufällig gilt.</w:t>
      </w:r>
    </w:p>
    <w:p/>
    <w:p>
      <w:pPr>
        <w:pStyle w:val="Heading2"/>
      </w:pPr>
      <w:r>
        <w:t>9.2 Ergebnis auf Tagesebene</w:t>
      </w:r>
    </w:p>
    <w:p>
      <w:pPr>
        <w:jc w:val="center"/>
      </w:pPr>
      <w:r>
        <w:rPr>
          <w:i/>
          <w:sz w:val="18"/>
        </w:rPr>
        <w:t>Tabelle 6: Stärkster Zusammenhang je Wechselkurs auf Tagesebene</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474"/>
            <w:shd w:val="clear" w:color="auto" w:fill="404040"/>
          </w:tcPr>
          <w:p>
            <w:r/>
            <w:r>
              <w:rPr>
                <w:b/>
                <w:color w:val="FFFFFF"/>
                <w:sz w:val="18"/>
              </w:rPr>
              <w:t>Wechselkurs</w:t>
            </w:r>
          </w:p>
        </w:tc>
        <w:tc>
          <w:tcPr>
            <w:tcW w:type="dxa" w:w="2381"/>
            <w:shd w:val="clear" w:color="auto" w:fill="404040"/>
          </w:tcPr>
          <w:p>
            <w:r/>
            <w:r>
              <w:rPr>
                <w:b/>
                <w:color w:val="FFFFFF"/>
                <w:sz w:val="18"/>
              </w:rPr>
              <w:t>stärkste Verschiebung</w:t>
            </w:r>
          </w:p>
        </w:tc>
        <w:tc>
          <w:tcPr>
            <w:tcW w:type="dxa" w:w="1701"/>
            <w:shd w:val="clear" w:color="auto" w:fill="404040"/>
          </w:tcPr>
          <w:p>
            <w:r/>
            <w:r>
              <w:rPr>
                <w:b/>
                <w:color w:val="FFFFFF"/>
                <w:sz w:val="18"/>
              </w:rPr>
              <w:t>Zusammenhang dort</w:t>
            </w:r>
          </w:p>
        </w:tc>
        <w:tc>
          <w:tcPr>
            <w:tcW w:type="dxa" w:w="1587"/>
            <w:shd w:val="clear" w:color="auto" w:fill="404040"/>
          </w:tcPr>
          <w:p>
            <w:r/>
            <w:r>
              <w:rPr>
                <w:b/>
                <w:color w:val="FFFFFF"/>
                <w:sz w:val="18"/>
              </w:rPr>
              <w:t>gleichzeitig</w:t>
            </w:r>
          </w:p>
        </w:tc>
        <w:tc>
          <w:tcPr>
            <w:tcW w:type="dxa" w:w="1587"/>
            <w:shd w:val="clear" w:color="auto" w:fill="404040"/>
          </w:tcPr>
          <w:p>
            <w:r/>
            <w:r>
              <w:rPr>
                <w:b/>
                <w:color w:val="FFFFFF"/>
                <w:sz w:val="18"/>
              </w:rPr>
              <w:t>Beobachtungen</w:t>
            </w:r>
          </w:p>
        </w:tc>
      </w:tr>
      <w:tr>
        <w:tc>
          <w:tcPr>
            <w:tcW w:type="dxa" w:w="1474"/>
            <w:shd w:val="clear" w:color="auto" w:fill="DCE6F1"/>
          </w:tcPr>
          <w:p>
            <w:r/>
            <w:r>
              <w:rPr>
                <w:b w:val="0"/>
                <w:sz w:val="18"/>
              </w:rPr>
              <w:t>EUR/USD</w:t>
            </w:r>
          </w:p>
        </w:tc>
        <w:tc>
          <w:tcPr>
            <w:tcW w:type="dxa" w:w="2381"/>
            <w:shd w:val="clear" w:color="auto" w:fill="DCE6F1"/>
          </w:tcPr>
          <w:p>
            <w:r/>
            <w:r>
              <w:rPr>
                <w:b w:val="0"/>
                <w:sz w:val="18"/>
              </w:rPr>
              <w:t>0 Tage (gleichzeitig)</w:t>
            </w:r>
          </w:p>
        </w:tc>
        <w:tc>
          <w:tcPr>
            <w:tcW w:type="dxa" w:w="1701"/>
            <w:shd w:val="clear" w:color="auto" w:fill="DCE6F1"/>
          </w:tcPr>
          <w:p>
            <w:r/>
            <w:r>
              <w:rPr>
                <w:b w:val="0"/>
                <w:sz w:val="18"/>
              </w:rPr>
              <w:t>0.18</w:t>
            </w:r>
          </w:p>
        </w:tc>
        <w:tc>
          <w:tcPr>
            <w:tcW w:type="dxa" w:w="1587"/>
            <w:shd w:val="clear" w:color="auto" w:fill="DCE6F1"/>
          </w:tcPr>
          <w:p>
            <w:r/>
            <w:r>
              <w:rPr>
                <w:b w:val="0"/>
                <w:sz w:val="18"/>
              </w:rPr>
              <w:t>0.18</w:t>
            </w:r>
          </w:p>
        </w:tc>
        <w:tc>
          <w:tcPr>
            <w:tcW w:type="dxa" w:w="1587"/>
            <w:shd w:val="clear" w:color="auto" w:fill="DCE6F1"/>
          </w:tcPr>
          <w:p>
            <w:r/>
            <w:r>
              <w:rPr>
                <w:b w:val="0"/>
                <w:sz w:val="18"/>
              </w:rPr>
              <w:t>1108</w:t>
            </w:r>
          </w:p>
        </w:tc>
      </w:tr>
      <w:tr>
        <w:tc>
          <w:tcPr>
            <w:tcW w:type="dxa" w:w="1474"/>
            <w:shd w:val="clear" w:color="auto" w:fill="DCE6F1"/>
          </w:tcPr>
          <w:p>
            <w:r/>
            <w:r>
              <w:rPr>
                <w:b w:val="0"/>
                <w:sz w:val="18"/>
              </w:rPr>
              <w:t>GBP/USD</w:t>
            </w:r>
          </w:p>
        </w:tc>
        <w:tc>
          <w:tcPr>
            <w:tcW w:type="dxa" w:w="2381"/>
            <w:shd w:val="clear" w:color="auto" w:fill="DCE6F1"/>
          </w:tcPr>
          <w:p>
            <w:r/>
            <w:r>
              <w:rPr>
                <w:b w:val="0"/>
                <w:sz w:val="18"/>
              </w:rPr>
              <w:t>0 Tage (gleichzeitig)</w:t>
            </w:r>
          </w:p>
        </w:tc>
        <w:tc>
          <w:tcPr>
            <w:tcW w:type="dxa" w:w="1701"/>
            <w:shd w:val="clear" w:color="auto" w:fill="DCE6F1"/>
          </w:tcPr>
          <w:p>
            <w:r/>
            <w:r>
              <w:rPr>
                <w:b w:val="0"/>
                <w:sz w:val="18"/>
              </w:rPr>
              <w:t>0.21</w:t>
            </w:r>
          </w:p>
        </w:tc>
        <w:tc>
          <w:tcPr>
            <w:tcW w:type="dxa" w:w="1587"/>
            <w:shd w:val="clear" w:color="auto" w:fill="DCE6F1"/>
          </w:tcPr>
          <w:p>
            <w:r/>
            <w:r>
              <w:rPr>
                <w:b w:val="0"/>
                <w:sz w:val="18"/>
              </w:rPr>
              <w:t>0.21</w:t>
            </w:r>
          </w:p>
        </w:tc>
        <w:tc>
          <w:tcPr>
            <w:tcW w:type="dxa" w:w="1587"/>
            <w:shd w:val="clear" w:color="auto" w:fill="DCE6F1"/>
          </w:tcPr>
          <w:p>
            <w:r/>
            <w:r>
              <w:rPr>
                <w:b w:val="0"/>
                <w:sz w:val="18"/>
              </w:rPr>
              <w:t>1105</w:t>
            </w:r>
          </w:p>
        </w:tc>
      </w:tr>
      <w:tr>
        <w:tc>
          <w:tcPr>
            <w:tcW w:type="dxa" w:w="1474"/>
            <w:shd w:val="clear" w:color="auto" w:fill="DCE6F1"/>
          </w:tcPr>
          <w:p>
            <w:r/>
            <w:r>
              <w:rPr>
                <w:b w:val="0"/>
                <w:sz w:val="18"/>
              </w:rPr>
              <w:t>EUR/CHF</w:t>
            </w:r>
          </w:p>
        </w:tc>
        <w:tc>
          <w:tcPr>
            <w:tcW w:type="dxa" w:w="2381"/>
            <w:shd w:val="clear" w:color="auto" w:fill="DCE6F1"/>
          </w:tcPr>
          <w:p>
            <w:r/>
            <w:r>
              <w:rPr>
                <w:b w:val="0"/>
                <w:sz w:val="18"/>
              </w:rPr>
              <w:t>nicht aussagekräftig</w:t>
            </w:r>
          </w:p>
        </w:tc>
        <w:tc>
          <w:tcPr>
            <w:tcW w:type="dxa" w:w="1701"/>
            <w:shd w:val="clear" w:color="auto" w:fill="DCE6F1"/>
          </w:tcPr>
          <w:p>
            <w:r/>
            <w:r>
              <w:rPr>
                <w:b w:val="0"/>
                <w:sz w:val="18"/>
              </w:rPr>
              <w:t>nur 9 Tage</w:t>
            </w:r>
          </w:p>
        </w:tc>
        <w:tc>
          <w:tcPr>
            <w:tcW w:type="dxa" w:w="1587"/>
            <w:shd w:val="clear" w:color="auto" w:fill="DCE6F1"/>
          </w:tcPr>
          <w:p>
            <w:r/>
            <w:r>
              <w:rPr>
                <w:b w:val="0"/>
                <w:sz w:val="18"/>
              </w:rPr>
              <w:t>nur 9 Tage</w:t>
            </w:r>
          </w:p>
        </w:tc>
        <w:tc>
          <w:tcPr>
            <w:tcW w:type="dxa" w:w="1587"/>
            <w:shd w:val="clear" w:color="auto" w:fill="DCE6F1"/>
          </w:tcPr>
          <w:p>
            <w:r/>
            <w:r>
              <w:rPr>
                <w:b w:val="0"/>
                <w:sz w:val="18"/>
              </w:rPr>
              <w:t>9</w:t>
            </w:r>
          </w:p>
        </w:tc>
      </w:tr>
    </w:tbl>
    <w:p/>
    <w:p>
      <w:pPr>
        <w:jc w:val="both"/>
      </w:pPr>
      <w:r>
        <w:t>Bei EUR/USD und GBP/USD liegt der stärkste Zusammenhang eindeutig bei der Verschiebung null, also bei gleichzeitiger Bewegung, mit Werten von 0.18 und 0.21. Diese Werte liegen klar über dem Konfidenzband und sind damit gesichert. Mit wachsender Verschiebung in beide Richtungen fällt der Zusammenhang rasch ab. Auffällig ist, dass die Kurve bei der Verschiebung von minus einem Tag noch leicht über dem Band liegt (EUR/USD 0.10, GBP/USD 0.07): Die Nachrichten eines Tages hängen also auch mit der Kursbewegung des unmittelbar vorangehenden Tages zusammen. Das passt zur Alternative A2, denn ein Teil der Berichterstattung folgt dem Markt. Für EUR/CHF liegen nur neun gemeinsame Tage vor, was für eine Aussage nicht ausreicht.</w:t>
      </w:r>
    </w:p>
    <w:p>
      <w:pPr>
        <w:pStyle w:val="Heading2"/>
      </w:pPr>
      <w:r>
        <w:t>9.3 Niveau- und Wochen-Sicht: läuft das Sentiment voraus?</w:t>
      </w:r>
    </w:p>
    <w:p>
      <w:pPr>
        <w:jc w:val="both"/>
      </w:pPr>
      <w:r>
        <w:t>Die anschauliche Frage lautet: Wenn das Sentiment in einer Woche negativ war, fällt der Kurs in den darauffolgenden Wochen? Abbildung 6 stellt für EUR/USD je Woche das Kursniveau (dunkle Linie) und das Nachrichten-Sentiment (Balken, blau positiv, orange negativ) dar. So lässt sich direkt ablesen, ob auf eine Woche mit negativem Sentiment ein fallender Kurs folgt. Ein solches Muster ist im Bild nicht erkennbar: Negative Sentiment-Wochen werden nicht systematisch von fallenden Kursen abgelöst. Weil über vier Jahre viele Wochen nebeneinander liegen, zeigt der untere Teil jeder Abbildung zusätzlich die letzten zwölf Monate vergrössert. Dort ist auch die Wochen-Aggregation direkt sichtbar: Jeder Punkt der Kurslinie ist ein Wochenschlusskurs, die gestrichelte Verbindung zeigt, dass dazwischen keine weiteren Werte liegen.</w:t>
      </w:r>
    </w:p>
    <w:p>
      <w:pPr>
        <w:jc w:val="both"/>
      </w:pPr>
      <w:r>
        <w:t>Zum Lesen der Balken ist eine Unterscheidung wichtig. Eine Woche ohne sichtbaren Balken ist keine Woche ohne Nachrichten: Auf Wochenebene gibt es in jeder der 225 Wochen mindestens einen Artikel. Ein fehlender Balken bedeutet stattdessen, dass der Median der Woche exakt neutral war, also null. Das kommt häufig vor (bei EUR/USD in 126, bei GBP/USD in 95 der 225 Wochen), weil viele Artikel ein Sentiment von genau null tragen. Diese neutralen Wochen sind in den Abbildungen als graue Punkte auf der Nulllinie markiert. Tage ganz ohne Artikel gibt es nur auf Tagesebene (Kapitel 5.2); beim Zusammenfassen zu Wochen verschwinden diese Lücken.</w:t>
      </w:r>
    </w:p>
    <w:p>
      <w:pPr>
        <w:jc w:val="center"/>
      </w:pPr>
      <w:r>
        <w:drawing>
          <wp:inline xmlns:a="http://schemas.openxmlformats.org/drawingml/2006/main" xmlns:pic="http://schemas.openxmlformats.org/drawingml/2006/picture">
            <wp:extent cx="5940000" cy="4050000"/>
            <wp:docPr id="6" name="Picture 6"/>
            <wp:cNvGraphicFramePr>
              <a:graphicFrameLocks noChangeAspect="1"/>
            </wp:cNvGraphicFramePr>
            <a:graphic>
              <a:graphicData uri="http://schemas.openxmlformats.org/drawingml/2006/picture">
                <pic:pic>
                  <pic:nvPicPr>
                    <pic:cNvPr id="0" name="fig_weekly_EUR_USD.png"/>
                    <pic:cNvPicPr/>
                  </pic:nvPicPr>
                  <pic:blipFill>
                    <a:blip r:embed="rId14"/>
                    <a:stretch>
                      <a:fillRect/>
                    </a:stretch>
                  </pic:blipFill>
                  <pic:spPr>
                    <a:xfrm>
                      <a:off x="0" y="0"/>
                      <a:ext cx="5940000" cy="4050000"/>
                    </a:xfrm>
                    <a:prstGeom prst="rect"/>
                  </pic:spPr>
                </pic:pic>
              </a:graphicData>
            </a:graphic>
          </wp:inline>
        </w:drawing>
      </w:r>
    </w:p>
    <w:p>
      <w:pPr>
        <w:jc w:val="center"/>
      </w:pPr>
      <w:r>
        <w:rPr>
          <w:i/>
          <w:sz w:val="18"/>
        </w:rPr>
        <w:t>Abbildung 6: EUR/USD, Kursniveau und wöchentliches Nachrichten-Sentiment. Oben der gesamte Zeitraum, unten die letzten zwölf Monate vergrössert. Punkte auf der Kurslinie sind Wochenschlusskurse, graue Punkte auf der Nulllinie sind neutrale Wochen (Median 0). Die Sentiment-Achse ist in beiden Teilbildern gleich skaliert.</w:t>
      </w:r>
    </w:p>
    <w:p/>
    <w:p>
      <w:pPr>
        <w:jc w:val="center"/>
      </w:pPr>
      <w:r>
        <w:drawing>
          <wp:inline xmlns:a="http://schemas.openxmlformats.org/drawingml/2006/main" xmlns:pic="http://schemas.openxmlformats.org/drawingml/2006/picture">
            <wp:extent cx="5940000" cy="4050000"/>
            <wp:docPr id="7" name="Picture 7"/>
            <wp:cNvGraphicFramePr>
              <a:graphicFrameLocks noChangeAspect="1"/>
            </wp:cNvGraphicFramePr>
            <a:graphic>
              <a:graphicData uri="http://schemas.openxmlformats.org/drawingml/2006/picture">
                <pic:pic>
                  <pic:nvPicPr>
                    <pic:cNvPr id="0" name="fig_weekly_GBP_USD.png"/>
                    <pic:cNvPicPr/>
                  </pic:nvPicPr>
                  <pic:blipFill>
                    <a:blip r:embed="rId15"/>
                    <a:stretch>
                      <a:fillRect/>
                    </a:stretch>
                  </pic:blipFill>
                  <pic:spPr>
                    <a:xfrm>
                      <a:off x="0" y="0"/>
                      <a:ext cx="5940000" cy="4050000"/>
                    </a:xfrm>
                    <a:prstGeom prst="rect"/>
                  </pic:spPr>
                </pic:pic>
              </a:graphicData>
            </a:graphic>
          </wp:inline>
        </w:drawing>
      </w:r>
    </w:p>
    <w:p>
      <w:pPr>
        <w:jc w:val="center"/>
      </w:pPr>
      <w:r>
        <w:rPr>
          <w:i/>
          <w:sz w:val="18"/>
        </w:rPr>
        <w:t>Abbildung 7: GBP/USD, Kursniveau und wöchentliches Nachrichten-Sentiment. Oben der gesamte Zeitraum, unten die letzten zwölf Monate vergrössert. Punkte auf der Kurslinie sind Wochenschlusskurse, graue Punkte auf der Nulllinie sind neutrale Wochen (Median 0). Die Sentiment-Achse ist in beiden Teilbildern gleich skaliert.</w:t>
      </w:r>
    </w:p>
    <w:p/>
    <w:p>
      <w:pPr>
        <w:jc w:val="both"/>
      </w:pPr>
      <w:r>
        <w:t>In der vergrösserten Ansicht fallen durchaus einzelne Episoden auf, die nach einem Vorlauf aussehen. Im März 2026 etwa fällt der Kurs in zwei Wochen mit stark negativem Sentiment deutlich, und in positiven Wochen steigt er wieder. Solche Episoden sind echt, und sie passen zum Ergebnis des Granger-Tests in Kapitel 9.4, der dem Sentiment einen kleinen, messbaren Vorhersagebeitrag zuschreibt. Als Beleg für eine verlässliche Vorhersage taugen sie aber nicht, denn im selben Bild gibt es ebenso Wochen, in denen das Muster ausbleibt. Wer nur die passenden Episoden herausgreift, überschätzt den Effekt. Massgebend ist deshalb die Auswertung über alle 225 Wochen.</w:t>
      </w:r>
    </w:p>
    <w:p>
      <w:pPr>
        <w:jc w:val="both"/>
      </w:pPr>
      <w:r>
        <w:t>Um das nicht nur visuell, sondern auch in Zahlen zu prüfen, messen wir den Zusammenhang zwischen dem Sentiment einer Woche und der kumulativen Kursbewegung bis ein, zwei, drei und vier Wochen später. Wenn das Sentiment vorausliefe, müsste dieser Zusammenhang für die Folgewochen deutlich von null verschieden sein.</w:t>
      </w:r>
    </w:p>
    <w:p>
      <w:pPr>
        <w:jc w:val="center"/>
      </w:pPr>
      <w:r>
        <w:rPr>
          <w:i/>
          <w:sz w:val="18"/>
        </w:rPr>
        <w:t>Tabelle 7: Sentiment einer Woche und Kursbewegung in den Folgewochen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474"/>
            <w:shd w:val="clear" w:color="auto" w:fill="404040"/>
          </w:tcPr>
          <w:p>
            <w:r/>
            <w:r>
              <w:rPr>
                <w:b/>
                <w:color w:val="FFFFFF"/>
                <w:sz w:val="18"/>
              </w:rPr>
              <w:t>Wechselkurs</w:t>
            </w:r>
          </w:p>
        </w:tc>
        <w:tc>
          <w:tcPr>
            <w:tcW w:type="dxa" w:w="1361"/>
            <w:shd w:val="clear" w:color="auto" w:fill="404040"/>
          </w:tcPr>
          <w:p>
            <w:r/>
            <w:r>
              <w:rPr>
                <w:b/>
                <w:color w:val="FFFFFF"/>
                <w:sz w:val="18"/>
              </w:rPr>
              <w:t>selbe Woche</w:t>
            </w:r>
          </w:p>
        </w:tc>
        <w:tc>
          <w:tcPr>
            <w:tcW w:type="dxa" w:w="1587"/>
            <w:shd w:val="clear" w:color="auto" w:fill="404040"/>
          </w:tcPr>
          <w:p>
            <w:r/>
            <w:r>
              <w:rPr>
                <w:b/>
                <w:color w:val="FFFFFF"/>
                <w:sz w:val="18"/>
              </w:rPr>
              <w:t>bis 1 Woche später</w:t>
            </w:r>
          </w:p>
        </w:tc>
        <w:tc>
          <w:tcPr>
            <w:tcW w:type="dxa" w:w="1587"/>
            <w:shd w:val="clear" w:color="auto" w:fill="404040"/>
          </w:tcPr>
          <w:p>
            <w:r/>
            <w:r>
              <w:rPr>
                <w:b/>
                <w:color w:val="FFFFFF"/>
                <w:sz w:val="18"/>
              </w:rPr>
              <w:t>bis 2 Wochen später</w:t>
            </w:r>
          </w:p>
        </w:tc>
        <w:tc>
          <w:tcPr>
            <w:tcW w:type="dxa" w:w="1587"/>
            <w:shd w:val="clear" w:color="auto" w:fill="404040"/>
          </w:tcPr>
          <w:p>
            <w:r/>
            <w:r>
              <w:rPr>
                <w:b/>
                <w:color w:val="FFFFFF"/>
                <w:sz w:val="18"/>
              </w:rPr>
              <w:t>bis 3 Wochen später</w:t>
            </w:r>
          </w:p>
        </w:tc>
        <w:tc>
          <w:tcPr>
            <w:tcW w:type="dxa" w:w="1587"/>
            <w:shd w:val="clear" w:color="auto" w:fill="404040"/>
          </w:tcPr>
          <w:p>
            <w:r/>
            <w:r>
              <w:rPr>
                <w:b/>
                <w:color w:val="FFFFFF"/>
                <w:sz w:val="18"/>
              </w:rPr>
              <w:t>bis 4 Wochen später</w:t>
            </w:r>
          </w:p>
        </w:tc>
      </w:tr>
      <w:tr>
        <w:tc>
          <w:tcPr>
            <w:tcW w:type="dxa" w:w="1474"/>
            <w:shd w:val="clear" w:color="auto" w:fill="DCE6F1"/>
          </w:tcPr>
          <w:p>
            <w:r/>
            <w:r>
              <w:rPr>
                <w:b w:val="0"/>
                <w:sz w:val="18"/>
              </w:rPr>
              <w:t>EUR/USD</w:t>
            </w:r>
          </w:p>
        </w:tc>
        <w:tc>
          <w:tcPr>
            <w:tcW w:type="dxa" w:w="1361"/>
            <w:shd w:val="clear" w:color="auto" w:fill="DCE6F1"/>
          </w:tcPr>
          <w:p>
            <w:r/>
            <w:r>
              <w:rPr>
                <w:b w:val="0"/>
                <w:sz w:val="18"/>
              </w:rPr>
              <w:t>0.22</w:t>
            </w:r>
          </w:p>
        </w:tc>
        <w:tc>
          <w:tcPr>
            <w:tcW w:type="dxa" w:w="1587"/>
            <w:shd w:val="clear" w:color="auto" w:fill="DCE6F1"/>
          </w:tcPr>
          <w:p>
            <w:r/>
            <w:r>
              <w:rPr>
                <w:b w:val="0"/>
                <w:sz w:val="18"/>
              </w:rPr>
              <w:t>0.07</w:t>
            </w:r>
          </w:p>
        </w:tc>
        <w:tc>
          <w:tcPr>
            <w:tcW w:type="dxa" w:w="1587"/>
            <w:shd w:val="clear" w:color="auto" w:fill="DCE6F1"/>
          </w:tcPr>
          <w:p>
            <w:r/>
            <w:r>
              <w:rPr>
                <w:b w:val="0"/>
                <w:sz w:val="18"/>
              </w:rPr>
              <w:t>0.01</w:t>
            </w:r>
          </w:p>
        </w:tc>
        <w:tc>
          <w:tcPr>
            <w:tcW w:type="dxa" w:w="1587"/>
            <w:shd w:val="clear" w:color="auto" w:fill="DCE6F1"/>
          </w:tcPr>
          <w:p>
            <w:r/>
            <w:r>
              <w:rPr>
                <w:b w:val="0"/>
                <w:sz w:val="18"/>
              </w:rPr>
              <w:t>minus 0.03</w:t>
            </w:r>
          </w:p>
        </w:tc>
        <w:tc>
          <w:tcPr>
            <w:tcW w:type="dxa" w:w="1587"/>
            <w:shd w:val="clear" w:color="auto" w:fill="DCE6F1"/>
          </w:tcPr>
          <w:p>
            <w:r/>
            <w:r>
              <w:rPr>
                <w:b w:val="0"/>
                <w:sz w:val="18"/>
              </w:rPr>
              <w:t>minus 0.01</w:t>
            </w:r>
          </w:p>
        </w:tc>
      </w:tr>
      <w:tr>
        <w:tc>
          <w:tcPr>
            <w:tcW w:type="dxa" w:w="1474"/>
            <w:shd w:val="clear" w:color="auto" w:fill="DCE6F1"/>
          </w:tcPr>
          <w:p>
            <w:r/>
            <w:r>
              <w:rPr>
                <w:b w:val="0"/>
                <w:sz w:val="18"/>
              </w:rPr>
              <w:t>GBP/USD</w:t>
            </w:r>
          </w:p>
        </w:tc>
        <w:tc>
          <w:tcPr>
            <w:tcW w:type="dxa" w:w="1361"/>
            <w:shd w:val="clear" w:color="auto" w:fill="DCE6F1"/>
          </w:tcPr>
          <w:p>
            <w:r/>
            <w:r>
              <w:rPr>
                <w:b w:val="0"/>
                <w:sz w:val="18"/>
              </w:rPr>
              <w:t>0.17</w:t>
            </w:r>
          </w:p>
        </w:tc>
        <w:tc>
          <w:tcPr>
            <w:tcW w:type="dxa" w:w="1587"/>
            <w:shd w:val="clear" w:color="auto" w:fill="DCE6F1"/>
          </w:tcPr>
          <w:p>
            <w:r/>
            <w:r>
              <w:rPr>
                <w:b w:val="0"/>
                <w:sz w:val="18"/>
              </w:rPr>
              <w:t>0.07</w:t>
            </w:r>
          </w:p>
        </w:tc>
        <w:tc>
          <w:tcPr>
            <w:tcW w:type="dxa" w:w="1587"/>
            <w:shd w:val="clear" w:color="auto" w:fill="DCE6F1"/>
          </w:tcPr>
          <w:p>
            <w:r/>
            <w:r>
              <w:rPr>
                <w:b w:val="0"/>
                <w:sz w:val="18"/>
              </w:rPr>
              <w:t>0.07</w:t>
            </w:r>
          </w:p>
        </w:tc>
        <w:tc>
          <w:tcPr>
            <w:tcW w:type="dxa" w:w="1587"/>
            <w:shd w:val="clear" w:color="auto" w:fill="DCE6F1"/>
          </w:tcPr>
          <w:p>
            <w:r/>
            <w:r>
              <w:rPr>
                <w:b w:val="0"/>
                <w:sz w:val="18"/>
              </w:rPr>
              <w:t>0.01</w:t>
            </w:r>
          </w:p>
        </w:tc>
        <w:tc>
          <w:tcPr>
            <w:tcW w:type="dxa" w:w="1587"/>
            <w:shd w:val="clear" w:color="auto" w:fill="DCE6F1"/>
          </w:tcPr>
          <w:p>
            <w:r/>
            <w:r>
              <w:rPr>
                <w:b w:val="0"/>
                <w:sz w:val="18"/>
              </w:rPr>
              <w:t>minus 0.02</w:t>
            </w:r>
          </w:p>
        </w:tc>
      </w:tr>
    </w:tbl>
    <w:p/>
    <w:p>
      <w:pPr>
        <w:jc w:val="center"/>
      </w:pPr>
      <w:r>
        <w:drawing>
          <wp:inline xmlns:a="http://schemas.openxmlformats.org/drawingml/2006/main" xmlns:pic="http://schemas.openxmlformats.org/drawingml/2006/picture">
            <wp:extent cx="5400000" cy="2835000"/>
            <wp:docPr id="8" name="Picture 8"/>
            <wp:cNvGraphicFramePr>
              <a:graphicFrameLocks noChangeAspect="1"/>
            </wp:cNvGraphicFramePr>
            <a:graphic>
              <a:graphicData uri="http://schemas.openxmlformats.org/drawingml/2006/picture">
                <pic:pic>
                  <pic:nvPicPr>
                    <pic:cNvPr id="0" name="fig_forward_weeks.png"/>
                    <pic:cNvPicPr/>
                  </pic:nvPicPr>
                  <pic:blipFill>
                    <a:blip r:embed="rId16"/>
                    <a:stretch>
                      <a:fillRect/>
                    </a:stretch>
                  </pic:blipFill>
                  <pic:spPr>
                    <a:xfrm>
                      <a:off x="0" y="0"/>
                      <a:ext cx="5400000" cy="2835000"/>
                    </a:xfrm>
                    <a:prstGeom prst="rect"/>
                  </pic:spPr>
                </pic:pic>
              </a:graphicData>
            </a:graphic>
          </wp:inline>
        </w:drawing>
      </w:r>
    </w:p>
    <w:p>
      <w:pPr>
        <w:jc w:val="center"/>
      </w:pPr>
      <w:r>
        <w:rPr>
          <w:i/>
          <w:sz w:val="18"/>
        </w:rPr>
        <w:t>Abbildung 8: Sentiment einer Woche und kumulative Kursbewegung der Folgewochen. Der Zusammenhang besteht nur in derselben Woche und fällt danach gegen null.</w:t>
      </w:r>
    </w:p>
    <w:p/>
    <w:p>
      <w:pPr>
        <w:jc w:val="both"/>
      </w:pPr>
      <w:r>
        <w:t>Das Muster ist klar: Der Zusammenhang ist in derselben Woche am stärksten und fällt danach rasch gegen null. Auch über das Kursniveau und über mehrere Folgewochen betrachtet sagt das Sentiment einer Woche die spätere Kursbewegung nicht voraus. Stimmung und Kurs bewegen sich gemeinsam in derselben Periode.</w:t>
      </w:r>
    </w:p>
    <w:p>
      <w:pPr>
        <w:jc w:val="both"/>
      </w:pPr>
      <w:r>
        <w:t>Dieselbe Prüfung haben wir neben der Tages- und Wochenebene auch auf Monatsebene gemacht. Tabelle 8 stellt den Zusammenhang im selben Zeitraum für alle drei Zeithorizonte nebeneinander. Dass die Wochen-Spalte 224 statt 225 Beobachtungen zählt, liegt an der Veränderungsrechnung: Die erste der 225 Wochen hat keine Vorwoche, ihre Kursveränderung lässt sich nicht bilden.</w:t>
      </w:r>
    </w:p>
    <w:p>
      <w:pPr>
        <w:jc w:val="center"/>
      </w:pPr>
      <w:r>
        <w:rPr>
          <w:i/>
          <w:sz w:val="18"/>
        </w:rPr>
        <w:t>Tabelle 8: Zusammenhang im selben Zeitraum je Zeithorizont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587"/>
            <w:shd w:val="clear" w:color="auto" w:fill="404040"/>
          </w:tcPr>
          <w:p>
            <w:r/>
            <w:r>
              <w:rPr>
                <w:b/>
                <w:color w:val="FFFFFF"/>
                <w:sz w:val="18"/>
              </w:rPr>
              <w:t>Wechselkurs</w:t>
            </w:r>
          </w:p>
        </w:tc>
        <w:tc>
          <w:tcPr>
            <w:tcW w:type="dxa" w:w="1247"/>
            <w:shd w:val="clear" w:color="auto" w:fill="404040"/>
          </w:tcPr>
          <w:p>
            <w:r/>
            <w:r>
              <w:rPr>
                <w:b/>
                <w:color w:val="FFFFFF"/>
                <w:sz w:val="18"/>
              </w:rPr>
              <w:t>Tag</w:t>
            </w:r>
          </w:p>
        </w:tc>
        <w:tc>
          <w:tcPr>
            <w:tcW w:type="dxa" w:w="1247"/>
            <w:shd w:val="clear" w:color="auto" w:fill="404040"/>
          </w:tcPr>
          <w:p>
            <w:r/>
            <w:r>
              <w:rPr>
                <w:b/>
                <w:color w:val="FFFFFF"/>
                <w:sz w:val="18"/>
              </w:rPr>
              <w:t>Woche</w:t>
            </w:r>
          </w:p>
        </w:tc>
        <w:tc>
          <w:tcPr>
            <w:tcW w:type="dxa" w:w="1247"/>
            <w:shd w:val="clear" w:color="auto" w:fill="404040"/>
          </w:tcPr>
          <w:p>
            <w:r/>
            <w:r>
              <w:rPr>
                <w:b/>
                <w:color w:val="FFFFFF"/>
                <w:sz w:val="18"/>
              </w:rPr>
              <w:t>Monat</w:t>
            </w:r>
          </w:p>
        </w:tc>
        <w:tc>
          <w:tcPr>
            <w:tcW w:type="dxa" w:w="3402"/>
            <w:shd w:val="clear" w:color="auto" w:fill="404040"/>
          </w:tcPr>
          <w:p>
            <w:r/>
            <w:r>
              <w:rPr>
                <w:b/>
                <w:color w:val="FFFFFF"/>
                <w:sz w:val="18"/>
              </w:rPr>
              <w:t>Beobachtungen (Tag / Woche / Monat)</w:t>
            </w:r>
          </w:p>
        </w:tc>
      </w:tr>
      <w:tr>
        <w:tc>
          <w:tcPr>
            <w:tcW w:type="dxa" w:w="1587"/>
            <w:shd w:val="clear" w:color="auto" w:fill="DCE6F1"/>
          </w:tcPr>
          <w:p>
            <w:r/>
            <w:r>
              <w:rPr>
                <w:b w:val="0"/>
                <w:sz w:val="18"/>
              </w:rPr>
              <w:t>EUR/USD</w:t>
            </w:r>
          </w:p>
        </w:tc>
        <w:tc>
          <w:tcPr>
            <w:tcW w:type="dxa" w:w="1247"/>
            <w:shd w:val="clear" w:color="auto" w:fill="DCE6F1"/>
          </w:tcPr>
          <w:p>
            <w:r/>
            <w:r>
              <w:rPr>
                <w:b w:val="0"/>
                <w:sz w:val="18"/>
              </w:rPr>
              <w:t>0.18</w:t>
            </w:r>
          </w:p>
        </w:tc>
        <w:tc>
          <w:tcPr>
            <w:tcW w:type="dxa" w:w="1247"/>
            <w:shd w:val="clear" w:color="auto" w:fill="DCE6F1"/>
          </w:tcPr>
          <w:p>
            <w:r/>
            <w:r>
              <w:rPr>
                <w:b w:val="0"/>
                <w:sz w:val="18"/>
              </w:rPr>
              <w:t>0.22</w:t>
            </w:r>
          </w:p>
        </w:tc>
        <w:tc>
          <w:tcPr>
            <w:tcW w:type="dxa" w:w="1247"/>
            <w:shd w:val="clear" w:color="auto" w:fill="DCE6F1"/>
          </w:tcPr>
          <w:p>
            <w:r/>
            <w:r>
              <w:rPr>
                <w:b w:val="0"/>
                <w:sz w:val="18"/>
              </w:rPr>
              <w:t>0.09</w:t>
            </w:r>
          </w:p>
        </w:tc>
        <w:tc>
          <w:tcPr>
            <w:tcW w:type="dxa" w:w="3402"/>
            <w:shd w:val="clear" w:color="auto" w:fill="DCE6F1"/>
          </w:tcPr>
          <w:p>
            <w:r/>
            <w:r>
              <w:rPr>
                <w:b w:val="0"/>
                <w:sz w:val="18"/>
              </w:rPr>
              <w:t>1108 / 224 / 51</w:t>
            </w:r>
          </w:p>
        </w:tc>
      </w:tr>
      <w:tr>
        <w:tc>
          <w:tcPr>
            <w:tcW w:type="dxa" w:w="1587"/>
            <w:shd w:val="clear" w:color="auto" w:fill="DCE6F1"/>
          </w:tcPr>
          <w:p>
            <w:r/>
            <w:r>
              <w:rPr>
                <w:b w:val="0"/>
                <w:sz w:val="18"/>
              </w:rPr>
              <w:t>GBP/USD</w:t>
            </w:r>
          </w:p>
        </w:tc>
        <w:tc>
          <w:tcPr>
            <w:tcW w:type="dxa" w:w="1247"/>
            <w:shd w:val="clear" w:color="auto" w:fill="DCE6F1"/>
          </w:tcPr>
          <w:p>
            <w:r/>
            <w:r>
              <w:rPr>
                <w:b w:val="0"/>
                <w:sz w:val="18"/>
              </w:rPr>
              <w:t>0.21</w:t>
            </w:r>
          </w:p>
        </w:tc>
        <w:tc>
          <w:tcPr>
            <w:tcW w:type="dxa" w:w="1247"/>
            <w:shd w:val="clear" w:color="auto" w:fill="DCE6F1"/>
          </w:tcPr>
          <w:p>
            <w:r/>
            <w:r>
              <w:rPr>
                <w:b w:val="0"/>
                <w:sz w:val="18"/>
              </w:rPr>
              <w:t>0.17</w:t>
            </w:r>
          </w:p>
        </w:tc>
        <w:tc>
          <w:tcPr>
            <w:tcW w:type="dxa" w:w="1247"/>
            <w:shd w:val="clear" w:color="auto" w:fill="DCE6F1"/>
          </w:tcPr>
          <w:p>
            <w:r/>
            <w:r>
              <w:rPr>
                <w:b w:val="0"/>
                <w:sz w:val="18"/>
              </w:rPr>
              <w:t>0.27</w:t>
            </w:r>
          </w:p>
        </w:tc>
        <w:tc>
          <w:tcPr>
            <w:tcW w:type="dxa" w:w="3402"/>
            <w:shd w:val="clear" w:color="auto" w:fill="DCE6F1"/>
          </w:tcPr>
          <w:p>
            <w:r/>
            <w:r>
              <w:rPr>
                <w:b w:val="0"/>
                <w:sz w:val="18"/>
              </w:rPr>
              <w:t>1105 / 224 / 51</w:t>
            </w:r>
          </w:p>
        </w:tc>
      </w:tr>
    </w:tbl>
    <w:p/>
    <w:p>
      <w:pPr>
        <w:jc w:val="both"/>
      </w:pPr>
      <w:r>
        <w:t>Auf Tages- und Wochenebene ist der gleichzeitige Zusammenhang gesichert. Auf Monatsebene liegen nur 51 Monate vor, und bei so wenigen Beobachtungen gilt ein Wert erst ab etwa plus minus 0.27 als gesichert. Die Monatswerte von 0.09 und 0.27 erreichen diese Schwelle nicht oder nur knapp und sind deshalb nur als Tendenz zu lesen. Ein Vorlauf zeigt sich auch hier nicht: Das Sentiment eines Monats hängt mit der Kursbewegung des Folgemonats bei beiden Wechselkursen leicht negativ zusammen (minus 0.09 und minus 0.20), was ebenfalls nicht gesichert ist. Quartale haben mit 17 Beobachtungen zu wenige Datenpunkte für eine Aussage.</w:t>
      </w:r>
    </w:p>
    <w:p>
      <w:pPr>
        <w:pStyle w:val="Heading2"/>
      </w:pPr>
      <w:r>
        <w:t>9.4 Formaler Vorhersagetest (Granger-Test)</w:t>
      </w:r>
    </w:p>
    <w:p>
      <w:pPr>
        <w:jc w:val="both"/>
      </w:pPr>
      <w:r>
        <w:t>Die Korrelation misst den Zusammenhang je Verschiebung einzeln. Ein strengerer, formaler Test ist der Granger-Test. Er prüft, ob die Vergangenheit des Sentiments die Vorhersage der Kursveränderung verbessert, über das hinaus, was die eigene Vergangenheit der Kursveränderung bereits leistet. Ein kleiner Wert (unter 0.05) in der folgenden Tabelle bedeutet, dass das Sentiment einen eigenen Vorhersagebeitrag liefert.</w:t>
      </w:r>
    </w:p>
    <w:p>
      <w:pPr>
        <w:jc w:val="both"/>
      </w:pPr>
      <w:r>
        <w:t>Der Test setzt stationäre Reihen voraus, also Reihen ohne langfristigen Trend (Anhang B). Ein Augmented-Dickey-Fuller-Test bestätigt das für die verwendeten Eingangsreihen: Tagesveränderung und Tages-Sentiment sind bei beiden Wechselkursen klar stationär (p unter 0.001), während das Kursniveau erwartungsgemäss nicht stationär ist und deshalb nicht in den Test eingeht. Geprüft werden Verzögerungen von einem bis fünf Tagen, also bis zu einer Handelswoche; das deckt den Bereich ab, in dem die Korrelationskurve in Abbildung 5 überhaupt noch von null verschieden ist.</w:t>
      </w:r>
    </w:p>
    <w:p>
      <w:pPr>
        <w:jc w:val="center"/>
      </w:pPr>
      <w:r>
        <w:rPr>
          <w:i/>
          <w:sz w:val="18"/>
        </w:rPr>
        <w:t>Tabelle 9: Granger-Test, p-Werte für den Vorhersagebeitrag des Sentiments</w:t>
      </w:r>
    </w:p>
    <w:tbl>
      <w:tblPr>
        <w:tblStyle w:val="TableGrid"/>
        <w:tblW w:type="auto" w:w="0"/>
        <w:jc w:val="center"/>
        <w:tblLook w:firstColumn="1" w:firstRow="1" w:lastColumn="0" w:lastRow="0" w:noHBand="0" w:noVBand="1" w:val="04A0"/>
      </w:tblPr>
      <w:tblGrid>
        <w:gridCol w:w="3324"/>
        <w:gridCol w:w="3324"/>
        <w:gridCol w:w="3324"/>
      </w:tblGrid>
      <w:tr>
        <w:tc>
          <w:tcPr>
            <w:tcW w:type="dxa" w:w="1984"/>
            <w:shd w:val="clear" w:color="auto" w:fill="404040"/>
          </w:tcPr>
          <w:p>
            <w:r/>
            <w:r>
              <w:rPr>
                <w:b/>
                <w:color w:val="FFFFFF"/>
                <w:sz w:val="18"/>
              </w:rPr>
              <w:t>Verzögerung</w:t>
            </w:r>
          </w:p>
        </w:tc>
        <w:tc>
          <w:tcPr>
            <w:tcW w:type="dxa" w:w="3118"/>
            <w:shd w:val="clear" w:color="auto" w:fill="404040"/>
          </w:tcPr>
          <w:p>
            <w:r/>
            <w:r>
              <w:rPr>
                <w:b/>
                <w:color w:val="FFFFFF"/>
                <w:sz w:val="18"/>
              </w:rPr>
              <w:t>EUR/USD: Sentiment sagt Kurs voraus</w:t>
            </w:r>
          </w:p>
        </w:tc>
        <w:tc>
          <w:tcPr>
            <w:tcW w:type="dxa" w:w="3118"/>
            <w:shd w:val="clear" w:color="auto" w:fill="404040"/>
          </w:tcPr>
          <w:p>
            <w:r/>
            <w:r>
              <w:rPr>
                <w:b/>
                <w:color w:val="FFFFFF"/>
                <w:sz w:val="18"/>
              </w:rPr>
              <w:t>GBP/USD: Sentiment sagt Kurs voraus</w:t>
            </w:r>
          </w:p>
        </w:tc>
      </w:tr>
      <w:tr>
        <w:tc>
          <w:tcPr>
            <w:tcW w:type="dxa" w:w="1984"/>
          </w:tcPr>
          <w:p>
            <w:r/>
            <w:r>
              <w:rPr>
                <w:b w:val="0"/>
                <w:sz w:val="18"/>
              </w:rPr>
              <w:t>1 Tag</w:t>
            </w:r>
          </w:p>
        </w:tc>
        <w:tc>
          <w:tcPr>
            <w:tcW w:type="dxa" w:w="3118"/>
          </w:tcPr>
          <w:p>
            <w:r/>
            <w:r>
              <w:rPr>
                <w:b w:val="0"/>
                <w:sz w:val="18"/>
              </w:rPr>
              <w:t>0.001</w:t>
            </w:r>
          </w:p>
        </w:tc>
        <w:tc>
          <w:tcPr>
            <w:tcW w:type="dxa" w:w="3118"/>
          </w:tcPr>
          <w:p>
            <w:r/>
            <w:r>
              <w:rPr>
                <w:b w:val="0"/>
                <w:sz w:val="18"/>
              </w:rPr>
              <w:t>kleiner 0.001</w:t>
            </w:r>
          </w:p>
        </w:tc>
      </w:tr>
      <w:tr>
        <w:tc>
          <w:tcPr>
            <w:tcW w:type="dxa" w:w="1984"/>
          </w:tcPr>
          <w:p>
            <w:r/>
            <w:r>
              <w:rPr>
                <w:b w:val="0"/>
                <w:sz w:val="18"/>
              </w:rPr>
              <w:t>2 Tage</w:t>
            </w:r>
          </w:p>
        </w:tc>
        <w:tc>
          <w:tcPr>
            <w:tcW w:type="dxa" w:w="3118"/>
          </w:tcPr>
          <w:p>
            <w:r/>
            <w:r>
              <w:rPr>
                <w:b w:val="0"/>
                <w:sz w:val="18"/>
              </w:rPr>
              <w:t>kleiner 0.001</w:t>
            </w:r>
          </w:p>
        </w:tc>
        <w:tc>
          <w:tcPr>
            <w:tcW w:type="dxa" w:w="3118"/>
          </w:tcPr>
          <w:p>
            <w:r/>
            <w:r>
              <w:rPr>
                <w:b w:val="0"/>
                <w:sz w:val="18"/>
              </w:rPr>
              <w:t>kleiner 0.001</w:t>
            </w:r>
          </w:p>
        </w:tc>
      </w:tr>
      <w:tr>
        <w:tc>
          <w:tcPr>
            <w:tcW w:type="dxa" w:w="1984"/>
          </w:tcPr>
          <w:p>
            <w:r/>
            <w:r>
              <w:rPr>
                <w:b w:val="0"/>
                <w:sz w:val="18"/>
              </w:rPr>
              <w:t>3 Tage</w:t>
            </w:r>
          </w:p>
        </w:tc>
        <w:tc>
          <w:tcPr>
            <w:tcW w:type="dxa" w:w="3118"/>
          </w:tcPr>
          <w:p>
            <w:r/>
            <w:r>
              <w:rPr>
                <w:b w:val="0"/>
                <w:sz w:val="18"/>
              </w:rPr>
              <w:t>0.001</w:t>
            </w:r>
          </w:p>
        </w:tc>
        <w:tc>
          <w:tcPr>
            <w:tcW w:type="dxa" w:w="3118"/>
          </w:tcPr>
          <w:p>
            <w:r/>
            <w:r>
              <w:rPr>
                <w:b w:val="0"/>
                <w:sz w:val="18"/>
              </w:rPr>
              <w:t>kleiner 0.001</w:t>
            </w:r>
          </w:p>
        </w:tc>
      </w:tr>
      <w:tr>
        <w:tc>
          <w:tcPr>
            <w:tcW w:type="dxa" w:w="1984"/>
          </w:tcPr>
          <w:p>
            <w:r/>
            <w:r>
              <w:rPr>
                <w:b w:val="0"/>
                <w:sz w:val="18"/>
              </w:rPr>
              <w:t>4 Tage</w:t>
            </w:r>
          </w:p>
        </w:tc>
        <w:tc>
          <w:tcPr>
            <w:tcW w:type="dxa" w:w="3118"/>
          </w:tcPr>
          <w:p>
            <w:r/>
            <w:r>
              <w:rPr>
                <w:b w:val="0"/>
                <w:sz w:val="18"/>
              </w:rPr>
              <w:t>0.001</w:t>
            </w:r>
          </w:p>
        </w:tc>
        <w:tc>
          <w:tcPr>
            <w:tcW w:type="dxa" w:w="3118"/>
          </w:tcPr>
          <w:p>
            <w:r/>
            <w:r>
              <w:rPr>
                <w:b w:val="0"/>
                <w:sz w:val="18"/>
              </w:rPr>
              <w:t>kleiner 0.001</w:t>
            </w:r>
          </w:p>
        </w:tc>
      </w:tr>
      <w:tr>
        <w:tc>
          <w:tcPr>
            <w:tcW w:type="dxa" w:w="1984"/>
          </w:tcPr>
          <w:p>
            <w:r/>
            <w:r>
              <w:rPr>
                <w:b w:val="0"/>
                <w:sz w:val="18"/>
              </w:rPr>
              <w:t>5 Tage</w:t>
            </w:r>
          </w:p>
        </w:tc>
        <w:tc>
          <w:tcPr>
            <w:tcW w:type="dxa" w:w="3118"/>
          </w:tcPr>
          <w:p>
            <w:r/>
            <w:r>
              <w:rPr>
                <w:b w:val="0"/>
                <w:sz w:val="18"/>
              </w:rPr>
              <w:t>0.002</w:t>
            </w:r>
          </w:p>
        </w:tc>
        <w:tc>
          <w:tcPr>
            <w:tcW w:type="dxa" w:w="3118"/>
          </w:tcPr>
          <w:p>
            <w:r/>
            <w:r>
              <w:rPr>
                <w:b w:val="0"/>
                <w:sz w:val="18"/>
              </w:rPr>
              <w:t>kleiner 0.001</w:t>
            </w:r>
          </w:p>
        </w:tc>
      </w:tr>
    </w:tbl>
    <w:p/>
    <w:p>
      <w:pPr>
        <w:jc w:val="both"/>
      </w:pPr>
      <w:r>
        <w:t>Für beide Wechselkurse ist der Vorhersagebeitrag des Sentiments bei allen getesteten Verzögerungen statistisch signifikant. Bei rund 1100 Beobachtungen werden allerdings schon sehr kleine Effekte signifikant. Die Stärke dieses Beitrags ist gering, passend zu den schwachen Korrelationen bei Verschiebungen grösser null. Das Sentiment trägt also ein schwaches, aber messbares Vorhersagesignal, ist für sich genommen jedoch kein praktisch brauchbarer Frühindikator.</w:t>
      </w:r>
    </w:p>
    <w:p>
      <w:pPr>
        <w:jc w:val="both"/>
      </w:pPr>
      <w:r>
        <w:t>Aufschlussreich ist die Gegenrichtung. Bei GBP/USD verbessert die Vergangenheit des Kurses die Vorhersage des Sentiments nicht (alle Werte über 0.29); der Zusammenhang läuft dort also einseitig vom Sentiment zum Kurs. Bei EUR/USD ist der Effekt in der Gegenrichtung nur bei kurzen Verzögerungen schwach signifikant (0.004, 0.026 und 0.039 bei einem bis drei Tagen, 0.052 und 0.097 bei vier und fünf Tagen). Das widerspricht der Korrelation bei der Verschiebung von minus einem Tag aus Kapitel 9.2 nicht: Die Korrelation misst den rohen Zusammenhang zwischen Kursbewegung und späterem Sentiment, der Granger-Test dagegen nur den Beitrag, der über die eigene Vergangenheit des Sentiments hinausgeht. Da Sentiment und Kurs zudem stark gleichzeitig zusammenhängen, kann ein Teil dieses Vorhersagebeitrags indirekt aus dem gleichzeitigen Zusammenhang stammen.</w:t>
      </w:r>
    </w:p>
    <w:p>
      <w:pPr>
        <w:jc w:val="both"/>
      </w:pPr>
      <w:r>
        <w:t>Drei Einschränkungen gehören zur ehrlichen Einordnung. Erstens zählen unsere Verzögerungen Kalendertage. Wegen der Wochenenden steckt in der Verzögerung von einem Tag manchmal auch ein Abstand von drei Tagen, etwa von Freitag zu Montag. Zweitens nimmt der verwendete Test an, dass die Kurse über die ganze Zeit gleich stark schwanken. Tatsächlich wechseln Finanzmärkte zwischen ruhigen und unruhigen Phasen, wodurch die p-Werte etwas zu klein ausfallen können. Drittens ordnen wir jeden Artikel dem Kalendertag seiner Veröffentlichung zu, ohne die Uhrzeit zu berücksichtigen: Auf einen Artikel vom späten Abend kann der Kurs erst am Folgetag reagieren, sodass ein Teil des kleinen Vorhersagebeitrags allein aus dieser Tageszuordnung stammen kann. Alles drei ändert das Gesamtbild nicht, mahnt aber, die sehr kleinen Werte nicht überzubewerten.</w:t>
      </w:r>
    </w:p>
    <w:p>
      <w:pPr>
        <w:jc w:val="both"/>
      </w:pPr>
      <w:r>
        <w:t>Alle p-Werte beider Richtungen sowie die Stationaritätstests erzeugt das Skript regenerate_lead_lag_results.py reproduzierbar und legt sie in den Dateien granger_results.csv und stationarity_results.csv ab; die Tabelle oben zitiert daraus die Richtung vom Sentiment zur Kursveränderung.</w:t>
      </w:r>
    </w:p>
    <w:p>
      <w:pPr>
        <w:pStyle w:val="Heading2"/>
      </w:pPr>
      <w:r>
        <w:t>9.5 Warum eine reine Kursgrafik einen Vorlauf vermuten lässt</w:t>
      </w:r>
    </w:p>
    <w:p>
      <w:pPr>
        <w:jc w:val="both"/>
      </w:pPr>
      <w:r>
        <w:t>Wenn man Kursniveau und Sentiment beide als Verlauf über die Zeit zeichnet, kann der Eindruck entstehen, das Sentiment laufe dem Kurs voraus. Dieser Eindruck entsteht, weil beide Reihen über den langen Zeitraum demselben übergeordneten Trend folgen und sich deshalb gemeinsam bewegen. Ein echter Vorlauf würde sich als deutlicher Ausschlag bei einer ganz bestimmten Verschiebung zeigen, nicht als gleichmässiges Mitlaufen. Genau deshalb betrachten wir zusätzlich die Veränderungen und die kumulative Bewegung in den Folgewochen (Kapitel 9.3), die den scheinbaren Vorlauf nicht bestätigen.</w:t>
      </w:r>
    </w:p>
    <w:p>
      <w:pPr>
        <w:pStyle w:val="Heading2"/>
      </w:pPr>
      <w:r>
        <w:t>9.6 Ergebnis der eigenen Datenbeschaffung</w:t>
      </w:r>
    </w:p>
    <w:p>
      <w:pPr>
        <w:jc w:val="both"/>
      </w:pPr>
      <w:r>
        <w:t>Anders als die EODHD-Nachrichten lassen sich die gescrapten Artikel keinem einzelnen Währungspaar zuordnen, denn die Feeds und Foren berichten allgemein über den Devisenmarkt. Wir bilden deshalb eine einzige Sentiment-Tagesreihe über alle gesammelten Artikel und vergleichen diese eine Reihe mit jedem der drei Wechselkurse einzeln.</w:t>
      </w:r>
    </w:p>
    <w:p>
      <w:pPr>
        <w:jc w:val="both"/>
      </w:pPr>
      <w:r>
        <w:t>Auf den selbst über Webscraping gesammelten Nachrichten zeigt sich kein belastbarer Zusammenhang. Die stärksten Werte erreichen zwar 0.29 und liegen damit über dem bei nur 85 gemeinsamen Tagen sehr breiten Konfidenzband von rund plus minus 0.21. Sie treten aber bei wechselnden Verschiebungen ohne erkennbares Muster auf, etwa plus neun Tage bei EUR/USD und plus fünf Tage bei EUR/CHF, und die gleichzeitige Korrelation liegt nahe null. Hinzu kommt ein Auswahleffekt: Wer den stärksten Wert aus 21 geprüften Verschiebungen herausgreift, findet bei so wenigen Beobachtungen fast immer einen Wert nahe der Schwelle, auch wenn in Wahrheit kein Zusammenhang besteht. Das ist angesichts der dünnen Abdeckung (Kapitel 8.4) zu erwarten. Die eigene Datenbeschaffung lässt sich also vollständig umsetzen, liefert aufgrund der Datenmenge aber keine belastbare Aussage.</w:t>
      </w:r>
    </w:p>
    <w:p>
      <w:pPr>
        <w:pStyle w:val="Heading2"/>
      </w:pPr>
      <w:r>
        <w:t>9.7 Öl als möglicher Einflussfaktor</w:t>
      </w:r>
    </w:p>
    <w:p>
      <w:pPr>
        <w:jc w:val="both"/>
      </w:pPr>
      <w:r>
        <w:t>Wir haben zusätzlich die Ölpreise WTI und Brent erhoben, weil der Ölpreis häufig als Einflussfaktor auf Währungen genannt wird. Abbildung 9 im Anhang E zeigt ihren Verlauf. Um zu prüfen, ob ein Bezug zu den untersuchten Wechselkursen besteht, haben wir die Tagesveränderungen von Öl mit denen der Wechselkurse verglichen. Der Zusammenhang ist mit Werten zwischen minus 0.09 und 0.00 praktisch null. Für EUR/USD und GBP/USD lässt sich also kein messbarer Einfluss des Ölpreises feststellen. Auch zwischen dem Nachrichten-Sentiment und dem Ölpreis besteht praktisch kein Zusammenhang (Korrelation rund minus 0.04 bis minus 0.07). Das ist nachvollziehbar, da sich die von uns geladenen Nachrichten auf die Währungspaare und nicht auf den Ölmarkt beziehen. Wir behalten Öl deshalb als allgemeinen Kontext und als zuschaltbare Vergleichsreihe, beziehen es aber nicht in die Beantwortung der Forschungsfrage ein.</w:t>
      </w:r>
    </w:p>
    <w:p>
      <w:r>
        <w:br w:type="page"/>
      </w:r>
    </w:p>
    <w:p>
      <w:pPr>
        <w:pStyle w:val="Heading1"/>
      </w:pPr>
      <w:r>
        <w:t>10. Diskussion und Beantwortung der Frage</w:t>
      </w:r>
    </w:p>
    <w:p>
      <w:pPr>
        <w:jc w:val="both"/>
      </w:pPr>
      <w:r>
        <w:t>Die Forschungsfrage war, ob die Stimmung von Finanznachrichten einen Einfluss auf Wechselkurse hat und mit welcher zeitlichen Verzögerung.</w:t>
      </w:r>
    </w:p>
    <w:p>
      <w:pPr>
        <w:jc w:val="both"/>
      </w:pPr>
      <w:r>
        <w:t>Unsere Antwort: Der Zusammenhang ist überwiegend gleichzeitig. Bei EUR/USD und GBP/USD bewegen sich Sentiment und Kurs in derselben Periode gemeinsam, mit einem Zusammenhang von 0.18 beziehungsweise 0.21. Das Bild ist damit klar von der Alternative A1 geprägt, der gleichzeitigen Bewegung. Einen praktisch nutzbaren Vorlauf konnten wir nicht feststellen, weder in der einfachen Korrelation noch über das Kursniveau in den Folgewochen.</w:t>
      </w:r>
    </w:p>
    <w:p>
      <w:pPr>
        <w:jc w:val="both"/>
      </w:pPr>
      <w:r>
        <w:t>Der formale Granger-Test zeigt allerdings eine Feinheit. Die Vergangenheit des Sentiments liefert einen statistisch signifikanten, wenn auch sehr kleinen Beitrag zur Vorhersage der Kursveränderung, bei GBP/USD sogar einseitig vom Sentiment zum Kurs. Die Hypothese H1 ist damit höchstens in einer sehr schwachen Form gestützt: Es gibt ein messbares Vorlaufsignal, das aber zu klein ist, um als Frühindikator zu dienen. In der Praxis bleibt das Sentiment eine Begleitinformation.</w:t>
      </w:r>
    </w:p>
    <w:p>
      <w:pPr>
        <w:jc w:val="both"/>
      </w:pPr>
      <w:r>
        <w:t>Bei dieser Deutung ist wichtig, dass ein Zusammenhang keine Ursache beweist. Selbst der klare gleichzeitige Zusammenhang zeigt nur, dass Markt und Nachrichten gemeinsam reagieren, nicht warum. Ein gemeinsamer dritter Faktor, etwa eine Entscheidung einer Notenbank, kann beide zugleich bewegen.</w:t>
      </w:r>
    </w:p>
    <w:p>
      <w:pPr>
        <w:jc w:val="both"/>
      </w:pPr>
      <w:r>
        <w:t>Die Grenzen der Auswertung gehören zur Antwort. Für EUR/CHF reichten die Nachrichten von EODHD nicht aus. Die selbst gesammelten Nachrichten waren zu dünn für eine belastbare Aussage. TextBlob ist für Finanztexte nur eingeschränkt geeignet.</w:t>
      </w:r>
    </w:p>
    <w:p>
      <w:pPr>
        <w:jc w:val="both"/>
      </w:pPr>
      <w:r>
        <w:t>Bei einem weiteren Versuch würden wir vier Dinge anpassen. Erstens ein auf Finanztexte spezialisiertes Verfahren zur Sentiment-Messung einsetzen, etwa FinBERT oder VADER, um die vielen neutralen Werte von TextBlob zu verringern. Zweitens die eigene Datenbeschaffung über einen längeren Zeitraum laufen lassen, damit auch der selbst erstellte Nachrichtenstrom eine belastbare Auswertung erlaubt. Drittens die in Kapitel 5.5 beschriebene Restdifferenz von rund 12 Pips zwischen Yahoo und EODHD bei EUR/USD anhand von Intraday-Daten weiter eingrenzen, um die Tagesfenster der Anbieter exakt zu verstehen. Viertens den manuellen MetaTrader-Export durch einen automatischen Abruf ersetzen, damit die Pipeline durchgehend ohne Handarbeit läuft.</w:t>
      </w:r>
    </w:p>
    <w:p>
      <w:r>
        <w:br w:type="page"/>
      </w:r>
    </w:p>
    <w:p>
      <w:pPr>
        <w:pStyle w:val="Heading1"/>
      </w:pPr>
      <w:r>
        <w:t>Anhang A: Glossar</w:t>
      </w:r>
    </w:p>
    <w:p>
      <w:pPr>
        <w:jc w:val="center"/>
      </w:pPr>
      <w:r>
        <w:rPr>
          <w:i/>
          <w:sz w:val="18"/>
        </w:rPr>
        <w:t>Tabelle 10: Glossar der wichtigsten Begriffe</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404040"/>
          </w:tcPr>
          <w:p>
            <w:r/>
            <w:r>
              <w:rPr>
                <w:b/>
                <w:color w:val="FFFFFF"/>
                <w:sz w:val="18"/>
              </w:rPr>
              <w:t>Begriff</w:t>
            </w:r>
          </w:p>
        </w:tc>
        <w:tc>
          <w:tcPr>
            <w:tcW w:type="dxa" w:w="6236"/>
            <w:shd w:val="clear" w:color="auto" w:fill="404040"/>
          </w:tcPr>
          <w:p>
            <w:r/>
            <w:r>
              <w:rPr>
                <w:b/>
                <w:color w:val="FFFFFF"/>
                <w:sz w:val="18"/>
              </w:rPr>
              <w:t>Bedeutung</w:t>
            </w:r>
          </w:p>
        </w:tc>
      </w:tr>
      <w:tr>
        <w:tc>
          <w:tcPr>
            <w:tcW w:type="dxa" w:w="2835"/>
          </w:tcPr>
          <w:p>
            <w:r/>
            <w:r>
              <w:rPr>
                <w:b w:val="0"/>
                <w:sz w:val="18"/>
              </w:rPr>
              <w:t>Wechselkurs (Forex)</w:t>
            </w:r>
          </w:p>
        </w:tc>
        <w:tc>
          <w:tcPr>
            <w:tcW w:type="dxa" w:w="6236"/>
          </w:tcPr>
          <w:p>
            <w:r/>
            <w:r>
              <w:rPr>
                <w:b w:val="0"/>
                <w:sz w:val="18"/>
              </w:rPr>
              <w:t>Preis einer Währung ausgedrückt in einer anderen, gehandelt am weltweiten Devisenmarkt.</w:t>
            </w:r>
          </w:p>
        </w:tc>
      </w:tr>
      <w:tr>
        <w:tc>
          <w:tcPr>
            <w:tcW w:type="dxa" w:w="2835"/>
          </w:tcPr>
          <w:p>
            <w:r/>
            <w:r>
              <w:rPr>
                <w:b w:val="0"/>
                <w:sz w:val="18"/>
              </w:rPr>
              <w:t>Sentiment</w:t>
            </w:r>
          </w:p>
        </w:tc>
        <w:tc>
          <w:tcPr>
            <w:tcW w:type="dxa" w:w="6236"/>
          </w:tcPr>
          <w:p>
            <w:r/>
            <w:r>
              <w:rPr>
                <w:b w:val="0"/>
                <w:sz w:val="18"/>
              </w:rPr>
              <w:t>Zahl zwischen minus eins und plus eins, die ausdrückt, wie negativ oder positiv ein Text formuliert ist.</w:t>
            </w:r>
          </w:p>
        </w:tc>
      </w:tr>
      <w:tr>
        <w:tc>
          <w:tcPr>
            <w:tcW w:type="dxa" w:w="2835"/>
          </w:tcPr>
          <w:p>
            <w:r/>
            <w:r>
              <w:rPr>
                <w:b w:val="0"/>
                <w:sz w:val="18"/>
              </w:rPr>
              <w:t>Polarity</w:t>
            </w:r>
          </w:p>
        </w:tc>
        <w:tc>
          <w:tcPr>
            <w:tcW w:type="dxa" w:w="6236"/>
          </w:tcPr>
          <w:p>
            <w:r/>
            <w:r>
              <w:rPr>
                <w:b w:val="0"/>
                <w:sz w:val="18"/>
              </w:rPr>
              <w:t>Bezeichnung von EODHD und TextBlob für den Stimmungswert.</w:t>
            </w:r>
          </w:p>
        </w:tc>
      </w:tr>
      <w:tr>
        <w:tc>
          <w:tcPr>
            <w:tcW w:type="dxa" w:w="2835"/>
          </w:tcPr>
          <w:p>
            <w:r/>
            <w:r>
              <w:rPr>
                <w:b w:val="0"/>
                <w:sz w:val="18"/>
              </w:rPr>
              <w:t>Kursveränderung (Rendite)</w:t>
            </w:r>
          </w:p>
        </w:tc>
        <w:tc>
          <w:tcPr>
            <w:tcW w:type="dxa" w:w="6236"/>
          </w:tcPr>
          <w:p>
            <w:r/>
            <w:r>
              <w:rPr>
                <w:b w:val="0"/>
                <w:sz w:val="18"/>
              </w:rPr>
              <w:t>Veränderung des Kurses von einem Zeitpunkt zum nächsten.</w:t>
            </w:r>
          </w:p>
        </w:tc>
      </w:tr>
      <w:tr>
        <w:tc>
          <w:tcPr>
            <w:tcW w:type="dxa" w:w="2835"/>
          </w:tcPr>
          <w:p>
            <w:r/>
            <w:r>
              <w:rPr>
                <w:b w:val="0"/>
                <w:sz w:val="18"/>
              </w:rPr>
              <w:t>Median</w:t>
            </w:r>
          </w:p>
        </w:tc>
        <w:tc>
          <w:tcPr>
            <w:tcW w:type="dxa" w:w="6236"/>
          </w:tcPr>
          <w:p>
            <w:r/>
            <w:r>
              <w:rPr>
                <w:b w:val="0"/>
                <w:sz w:val="18"/>
              </w:rPr>
              <w:t>Der mittlere Wert einer Reihe, unempfindlich gegenüber einzelnen Ausreissern.</w:t>
            </w:r>
          </w:p>
        </w:tc>
      </w:tr>
      <w:tr>
        <w:tc>
          <w:tcPr>
            <w:tcW w:type="dxa" w:w="2835"/>
          </w:tcPr>
          <w:p>
            <w:r/>
            <w:r>
              <w:rPr>
                <w:b w:val="0"/>
                <w:sz w:val="18"/>
              </w:rPr>
              <w:t>Korrelation</w:t>
            </w:r>
          </w:p>
        </w:tc>
        <w:tc>
          <w:tcPr>
            <w:tcW w:type="dxa" w:w="6236"/>
          </w:tcPr>
          <w:p>
            <w:r/>
            <w:r>
              <w:rPr>
                <w:b w:val="0"/>
                <w:sz w:val="18"/>
              </w:rPr>
              <w:t>Mass für den Zusammenhang zweier Grössen, von minus eins bis plus eins.</w:t>
            </w:r>
          </w:p>
        </w:tc>
      </w:tr>
      <w:tr>
        <w:tc>
          <w:tcPr>
            <w:tcW w:type="dxa" w:w="2835"/>
          </w:tcPr>
          <w:p>
            <w:r/>
            <w:r>
              <w:rPr>
                <w:b w:val="0"/>
                <w:sz w:val="18"/>
              </w:rPr>
              <w:t>Konfidenzband</w:t>
            </w:r>
          </w:p>
        </w:tc>
        <w:tc>
          <w:tcPr>
            <w:tcW w:type="dxa" w:w="6236"/>
          </w:tcPr>
          <w:p>
            <w:r/>
            <w:r>
              <w:rPr>
                <w:b w:val="0"/>
                <w:sz w:val="18"/>
              </w:rPr>
              <w:t>Schwelle, ab der ein gemessener Zusammenhang als statistisch gesichert und nicht als Zufall gilt; berechnet als rund 2 geteilt durch die Wurzel der Beobachtungszahl.</w:t>
            </w:r>
          </w:p>
        </w:tc>
      </w:tr>
      <w:tr>
        <w:tc>
          <w:tcPr>
            <w:tcW w:type="dxa" w:w="2835"/>
          </w:tcPr>
          <w:p>
            <w:r/>
            <w:r>
              <w:rPr>
                <w:b w:val="0"/>
                <w:sz w:val="18"/>
              </w:rPr>
              <w:t>Interpolation</w:t>
            </w:r>
          </w:p>
        </w:tc>
        <w:tc>
          <w:tcPr>
            <w:tcW w:type="dxa" w:w="6236"/>
          </w:tcPr>
          <w:p>
            <w:r/>
            <w:r>
              <w:rPr>
                <w:b w:val="0"/>
                <w:sz w:val="18"/>
              </w:rPr>
              <w:t>Rechnerisches Auffüllen fehlender Werte aus den Nachbarwerten.</w:t>
            </w:r>
          </w:p>
        </w:tc>
      </w:tr>
      <w:tr>
        <w:tc>
          <w:tcPr>
            <w:tcW w:type="dxa" w:w="2835"/>
          </w:tcPr>
          <w:p>
            <w:r/>
            <w:r>
              <w:rPr>
                <w:b w:val="0"/>
                <w:sz w:val="18"/>
              </w:rPr>
              <w:t>Pip</w:t>
            </w:r>
          </w:p>
        </w:tc>
        <w:tc>
          <w:tcPr>
            <w:tcW w:type="dxa" w:w="6236"/>
          </w:tcPr>
          <w:p>
            <w:r/>
            <w:r>
              <w:rPr>
                <w:b w:val="0"/>
                <w:sz w:val="18"/>
              </w:rPr>
              <w:t>Kleinste übliche Kursbewegung, die vierte Nachkommastelle eines Wechselkurses.</w:t>
            </w:r>
          </w:p>
        </w:tc>
      </w:tr>
      <w:tr>
        <w:tc>
          <w:tcPr>
            <w:tcW w:type="dxa" w:w="2835"/>
          </w:tcPr>
          <w:p>
            <w:r/>
            <w:r>
              <w:rPr>
                <w:b w:val="0"/>
                <w:sz w:val="18"/>
              </w:rPr>
              <w:t>REST-Schnittstelle (API)</w:t>
            </w:r>
          </w:p>
        </w:tc>
        <w:tc>
          <w:tcPr>
            <w:tcW w:type="dxa" w:w="6236"/>
          </w:tcPr>
          <w:p>
            <w:r/>
            <w:r>
              <w:rPr>
                <w:b w:val="0"/>
                <w:sz w:val="18"/>
              </w:rPr>
              <w:t>Programmierschnittstelle, die Daten über Web-Adressen ausliefert.</w:t>
            </w:r>
          </w:p>
        </w:tc>
      </w:tr>
      <w:tr>
        <w:tc>
          <w:tcPr>
            <w:tcW w:type="dxa" w:w="2835"/>
          </w:tcPr>
          <w:p>
            <w:r/>
            <w:r>
              <w:rPr>
                <w:b w:val="0"/>
                <w:sz w:val="18"/>
              </w:rPr>
              <w:t>RSS</w:t>
            </w:r>
          </w:p>
        </w:tc>
        <w:tc>
          <w:tcPr>
            <w:tcW w:type="dxa" w:w="6236"/>
          </w:tcPr>
          <w:p>
            <w:r/>
            <w:r>
              <w:rPr>
                <w:b w:val="0"/>
                <w:sz w:val="18"/>
              </w:rPr>
              <w:t>Standardformat, über das Webseiten ihre neuesten Artikel bereitstellen.</w:t>
            </w:r>
          </w:p>
        </w:tc>
      </w:tr>
      <w:tr>
        <w:tc>
          <w:tcPr>
            <w:tcW w:type="dxa" w:w="2835"/>
          </w:tcPr>
          <w:p>
            <w:r/>
            <w:r>
              <w:rPr>
                <w:b w:val="0"/>
                <w:sz w:val="18"/>
              </w:rPr>
              <w:t>Webscraping</w:t>
            </w:r>
          </w:p>
        </w:tc>
        <w:tc>
          <w:tcPr>
            <w:tcW w:type="dxa" w:w="6236"/>
          </w:tcPr>
          <w:p>
            <w:r/>
            <w:r>
              <w:rPr>
                <w:b w:val="0"/>
                <w:sz w:val="18"/>
              </w:rPr>
              <w:t>Automatisiertes Sammeln von Inhalten aus dem Internet.</w:t>
            </w:r>
          </w:p>
        </w:tc>
      </w:tr>
      <w:tr>
        <w:tc>
          <w:tcPr>
            <w:tcW w:type="dxa" w:w="2835"/>
          </w:tcPr>
          <w:p>
            <w:r/>
            <w:r>
              <w:rPr>
                <w:b w:val="0"/>
                <w:sz w:val="18"/>
              </w:rPr>
              <w:t>TextBlob</w:t>
            </w:r>
          </w:p>
        </w:tc>
        <w:tc>
          <w:tcPr>
            <w:tcW w:type="dxa" w:w="6236"/>
          </w:tcPr>
          <w:p>
            <w:r/>
            <w:r>
              <w:rPr>
                <w:b w:val="0"/>
                <w:sz w:val="18"/>
              </w:rPr>
              <w:t>Programmbibliothek, die aus Text einen Stimmungswert berechnet.</w:t>
            </w:r>
          </w:p>
        </w:tc>
      </w:tr>
      <w:tr>
        <w:tc>
          <w:tcPr>
            <w:tcW w:type="dxa" w:w="2835"/>
          </w:tcPr>
          <w:p>
            <w:r/>
            <w:r>
              <w:rPr>
                <w:b w:val="0"/>
                <w:sz w:val="18"/>
              </w:rPr>
              <w:t>EODHD</w:t>
            </w:r>
          </w:p>
        </w:tc>
        <w:tc>
          <w:tcPr>
            <w:tcW w:type="dxa" w:w="6236"/>
          </w:tcPr>
          <w:p>
            <w:r/>
            <w:r>
              <w:rPr>
                <w:b w:val="0"/>
                <w:sz w:val="18"/>
              </w:rPr>
              <w:t>Finanzdaten-Anbieter, liefert Kurse und Nachrichten.</w:t>
            </w:r>
          </w:p>
        </w:tc>
      </w:tr>
      <w:tr>
        <w:tc>
          <w:tcPr>
            <w:tcW w:type="dxa" w:w="2835"/>
          </w:tcPr>
          <w:p>
            <w:r/>
            <w:r>
              <w:rPr>
                <w:b w:val="0"/>
                <w:sz w:val="18"/>
              </w:rPr>
              <w:t>MetaTrader 5</w:t>
            </w:r>
          </w:p>
        </w:tc>
        <w:tc>
          <w:tcPr>
            <w:tcW w:type="dxa" w:w="6236"/>
          </w:tcPr>
          <w:p>
            <w:r/>
            <w:r>
              <w:rPr>
                <w:b w:val="0"/>
                <w:sz w:val="18"/>
              </w:rPr>
              <w:t>Handelsplattform eines Brokers, hier als brokernahe Datenquelle genutzt.</w:t>
            </w:r>
          </w:p>
        </w:tc>
      </w:tr>
    </w:tbl>
    <w:p/>
    <w:p>
      <w:r>
        <w:br w:type="page"/>
      </w:r>
    </w:p>
    <w:p>
      <w:pPr>
        <w:pStyle w:val="Heading1"/>
      </w:pPr>
      <w:r>
        <w:t>Anhang B: Theoretischer Hintergrund mit Quellen</w:t>
      </w:r>
    </w:p>
    <w:p>
      <w:pPr>
        <w:jc w:val="both"/>
      </w:pPr>
      <w:r>
        <w:t>Die folgenden Begriffe aus den Modulunterlagen sind für die getroffenen Entscheidungen relevant. Sie sind hier gebündelt, damit der Hauptteil ohne Theorie auskommt.</w:t>
      </w:r>
    </w:p>
    <w:p>
      <w:pPr>
        <w:pStyle w:val="Heading3"/>
      </w:pPr>
      <w:r>
        <w:t>Arten fehlender Werte</w:t>
      </w:r>
    </w:p>
    <w:p>
      <w:pPr>
        <w:jc w:val="both"/>
      </w:pPr>
      <w:r>
        <w:t>Man unterscheidet drei Arten fehlender Werte: vollständig zufällig fehlend (MCAR), wenn das Fehlen mit nichts zusammenhängt; zufällig fehlend in Abhängigkeit anderer beobachteter Werte (MAR); und nicht zufällig fehlend (MNAR), wenn das Fehlen vom fehlenden Wert selbst abhängt. Die fehlenden Sentiment-Tage in Kapitel 5.2 sind nicht zufällig fehlend, weil das Vorhandensein eines Artikels direkt davon abhängt, ob etwas passiert ist. Quelle: Vorlesungsunterlagen zur Imputation (Woche 2).</w:t>
      </w:r>
    </w:p>
    <w:p>
      <w:pPr>
        <w:pStyle w:val="Heading3"/>
      </w:pPr>
      <w:r>
        <w:t>Ausreisser-Erkennung und Umgang</w:t>
      </w:r>
    </w:p>
    <w:p>
      <w:pPr>
        <w:jc w:val="both"/>
      </w:pPr>
      <w:r>
        <w:t>Zwei gängige Verfahren zur Erkennung: Die z-Wert-Regel markiert Werte, die mehr als drei Standardabweichungen vom Mittelwert entfernt liegen; sie setzt eine annähernde Normalverteilung voraus. Die Interquartilsabstand-Regel markiert Werte, die mehr als das Anderthalbfache des Interquartilsabstands unter dem ersten oder über dem dritten Quartil liegen; sie kommt ohne Verteilungsannahme aus. Für den Umgang stehen Entfernen, Kappen, Winsorisieren, Transformieren oder Markieren zur Wahl. Bei Zeitreihen gilt die besondere Regel, dass extreme Ereignisse oft die wichtigste Information tragen und deshalb gesondert behandelt statt entfernt werden sollten. Quelle: Vorlesungsunterlagen zur Datenbereinigung (Woche 2). Die beiden in Kapitel 5.4 als Ursachen genannten Marktereignisse sind belegt durch die geldpolitische Lagebeurteilung der Schweizerischen Nationalbank vom 16. Juni 2022 (Erhöhung des Leitzinses um 0.5 Prozentpunkte) und den von der britischen Regierung am 23. September 2022 vorgestellten Growth Plan mit schuldenfinanzierten Steuersenkungen.</w:t>
      </w:r>
    </w:p>
    <w:p>
      <w:pPr>
        <w:pStyle w:val="Heading3"/>
      </w:pPr>
      <w:r>
        <w:t>Median und robuste Masse</w:t>
      </w:r>
    </w:p>
    <w:p>
      <w:pPr>
        <w:jc w:val="both"/>
      </w:pPr>
      <w:r>
        <w:t>Robuste Masse wie Median und Interquartilsabstand werden gegenüber Durchschnitt und Standardabweichung bevorzugt, wenn Ausreisser vorliegen, weil sie von einzelnen Extremwerten kaum beeinflusst werden. Quelle: Vorlesungsunterlagen zur Skalierung (Woche 3).</w:t>
      </w:r>
    </w:p>
    <w:p>
      <w:pPr>
        <w:pStyle w:val="Heading3"/>
      </w:pPr>
      <w:r>
        <w:t>Stationarität</w:t>
      </w:r>
    </w:p>
    <w:p>
      <w:pPr>
        <w:jc w:val="both"/>
      </w:pPr>
      <w:r>
        <w:t>Zeitreihen mit langfristigem Trend gelten als nicht stationär. Korrelationen auf solchen Niveaus messen vor allem die Trendübereinstimmung. Die Betrachtung von Veränderungen statt Niveaus (Kapitel 7.2) macht die Reihen annähernd stationär.</w:t>
      </w:r>
    </w:p>
    <w:p>
      <w:pPr>
        <w:pStyle w:val="Heading3"/>
      </w:pPr>
      <w:r>
        <w:t>Harmonisierung</w:t>
      </w:r>
    </w:p>
    <w:p>
      <w:pPr>
        <w:jc w:val="both"/>
      </w:pPr>
      <w:r>
        <w:t>Heterogenität zwischen Datenquellen tritt auf drei Ebenen auf: in der Syntax (dem Dateiformat), in der Struktur (dem Aufbau der Tabellen und Spalten) und in der Semantik (der Bedeutung der Begriffe und Werte). Unser Projekt betraf alle drei Ebenen: verschiedene Formate (Kapitel 4), verschiedene Spaltennamen und Symbolschreibweisen (Kapitel 6.1) und verschiedene Datierungskonventionen desselben Handelstags (Kapitel 6.2). Das nachträgliche Angleichen bereits erhobener Daten heisst retrospektive Harmonisierung, ist die in der Praxis häufigste Form und begrenzt zugleich die erreichbare Datenqualität. Der empfohlene Prozess endet mit einem eigenen Validierungsschritt, in unserem Fall der Prüfung der Übereinstimmung nach der Ausrichtung (Abbildung 3). Quelle: Cheng et al. (2024), A General Primer for Data Harmonization, Scientific Data 11, Artikel 152, sowie Vorlesungsunterlagen zur Datenharmonisierung (Woche 4).</w:t>
      </w:r>
    </w:p>
    <w:p>
      <w:pPr>
        <w:pStyle w:val="Heading3"/>
      </w:pPr>
      <w:r>
        <w:t>Gestaltung der Abbildungen</w:t>
      </w:r>
    </w:p>
    <w:p>
      <w:pPr>
        <w:jc w:val="both"/>
      </w:pPr>
      <w:r>
        <w:t>Die Wahl der Diagrammformen folgt der Regel, dass Menschen Positionen und Längen am genauesten vergleichen können, Flächen und Farbtöne dagegen deutlich schlechter. Deshalb verwenden wir Liniendiagramme für Verläufe über die Zeit, Balkendiagramme für den Vergleich einzelner Werte und Punktwolken für den Vergleich zweier Messverfahren, und verzichten auf Kreisdiagramme und 3D-Darstellungen. Alle Balkendiagramme beginnen bei null, damit Längenverhältnisse nicht verzerrt werden. Liniendiagramme von Kursverläufen nutzen dagegen einen an die Daten angepassten Achsenausschnitt, weil sonst die Bewegungen, um die es gerade geht, nicht mehr erkennbar wären; die Achsen sind dafür stets beschriftet. Wo zwei Grössen mit unterschiedlichen Einheiten im selben Bild stehen (Kursniveau und Sentiment in den Abbildungen 6 und 7), verwenden wir eine zweite Wertachse. Damit das nicht in die Irre führt, trennen wir die beiden Grössen durch die Darstellungsform (Linie gegen Balken), beschriften beide Achsen und halten die Sentiment-Achse in beiden Teilbildern identisch skaliert. Alle Abbildungen verwenden die farbenblind-sichere Okabe-Ito-Palette (Blau, Orange, Vermillion) und verzichten bewusst auf die Unterscheidung Rot gegen Grün, die für rund acht Prozent der Männer schwer lesbar ist. Quelle: Vorlesungsunterlagen zur Datenvisualisierung (Woche 8).</w:t>
      </w:r>
    </w:p>
    <w:p>
      <w:r>
        <w:br w:type="page"/>
      </w:r>
    </w:p>
    <w:p>
      <w:pPr>
        <w:pStyle w:val="Heading1"/>
      </w:pPr>
      <w:r>
        <w:t>Anhang C: Reproduzierbarkeit</w:t>
      </w:r>
    </w:p>
    <w:p>
      <w:pPr>
        <w:jc w:val="both"/>
      </w:pPr>
      <w:r>
        <w:t>Alle Schritte lassen sich der Reihe nach mit einzelnen Befehlen neu ausführen. Beim Laden der EODHD-Daten ist das Tageslimit des kostenlosen Tarifs zu beachten.</w:t>
      </w:r>
    </w:p>
    <w:p>
      <w:pPr>
        <w:ind w:left="283"/>
      </w:pPr>
      <w:r>
        <w:rPr>
          <w:rFonts w:ascii="Consolas" w:hAnsi="Consolas"/>
          <w:sz w:val="18"/>
        </w:rPr>
        <w:t>source .venv/bin/activate</w:t>
        <w:br/>
        <w:br/>
        <w:t># 1. Rohdaten laden</w:t>
        <w:br/>
        <w:t>python src/data_loading/yahoo_loader.py</w:t>
        <w:br/>
        <w:t>python src/data_loading/eodhd_loader.py</w:t>
        <w:br/>
        <w:t>python src/data_loading/eodhd_news_loader.py</w:t>
        <w:br/>
        <w:t>python src/data_loading/webscraping_loader.py</w:t>
        <w:br/>
        <w:t>python src/data_loading/oil_loader.py</w:t>
        <w:br/>
        <w:br/>
        <w:t># 2. Bereinigen, ausrichten, zusammenführen</w:t>
        <w:br/>
        <w:t>python scripts/regenerate_forex_combined.py</w:t>
        <w:br/>
        <w:t>python scripts/regenerate_webscraping_sentiment.py</w:t>
        <w:br/>
        <w:br/>
        <w:t># 3. Analyse-Ergebnisse und Abbildungen erzeugen</w:t>
        <w:br/>
        <w:t>python scripts/regenerate_lead_lag_results.py</w:t>
        <w:br/>
        <w:t>python scripts/build_report_figures.py</w:t>
        <w:br/>
        <w:br/>
        <w:t># 4. Bericht bauen</w:t>
        <w:br/>
        <w:t>python scripts/build_report_docx.py</w:t>
      </w:r>
    </w:p>
    <w:p>
      <w:r>
        <w:br w:type="page"/>
      </w:r>
    </w:p>
    <w:p>
      <w:pPr>
        <w:pStyle w:val="Heading1"/>
      </w:pPr>
      <w:r>
        <w:t>Anhang D: Interaktives Dashboard</w:t>
      </w:r>
    </w:p>
    <w:p>
      <w:pPr>
        <w:jc w:val="both"/>
      </w:pPr>
      <w:r>
        <w:t>Begleitend haben wir eine interaktive Anwendung erstellt (Datei dashboard.py, umgesetzt mit streamlit). Sie diente vor allem dazu, verschiedene Einstellungen auszuprobieren, ohne jedes Mal den Code anzupassen oder ein Notebook neu auszuführen. Die für den Bericht relevanten Auswertungen entstehen in den Notebooks und sind als Abbildungen in den Hauptteil eingebettet. Das Dashboard erlaubt unter anderem den direkten Vergleich der Quellen, die Anzeige der fehlenden Tage, die Gegenüberstellung der Preisabweichungen, den Vergleich des eigenen Sentiments mit dem von EODHD, die interaktive Lead/Lag-Auswertung samt Granger-Ergebnissen sowie die frei kombinierbare Darstellung von Kurs, Öl und Sentiment.</w:t>
      </w:r>
    </w:p>
    <w:p>
      <w:r>
        <w:br w:type="page"/>
      </w:r>
    </w:p>
    <w:p>
      <w:pPr>
        <w:pStyle w:val="Heading1"/>
      </w:pPr>
      <w:r>
        <w:t>Anhang E: Ergänzende Abbildungen und Tabellen</w:t>
      </w:r>
    </w:p>
    <w:p>
      <w:pPr>
        <w:jc w:val="both"/>
      </w:pPr>
      <w:r>
        <w:t>Verlauf der in Kapitel 9.7 als möglicher Einflussfaktor geprüften Ölpreise. Da sich kein messbarer Zusammenhang mit den untersuchten Wechselkursen zeigte, steht die Abbildung im Anhang.</w:t>
      </w:r>
    </w:p>
    <w:p>
      <w:pPr>
        <w:jc w:val="center"/>
      </w:pPr>
      <w:r>
        <w:drawing>
          <wp:inline xmlns:a="http://schemas.openxmlformats.org/drawingml/2006/main" xmlns:pic="http://schemas.openxmlformats.org/drawingml/2006/picture">
            <wp:extent cx="5400000" cy="2520000"/>
            <wp:docPr id="9" name="Picture 9"/>
            <wp:cNvGraphicFramePr>
              <a:graphicFrameLocks noChangeAspect="1"/>
            </wp:cNvGraphicFramePr>
            <a:graphic>
              <a:graphicData uri="http://schemas.openxmlformats.org/drawingml/2006/picture">
                <pic:pic>
                  <pic:nvPicPr>
                    <pic:cNvPr id="0" name="fig_oil.png"/>
                    <pic:cNvPicPr/>
                  </pic:nvPicPr>
                  <pic:blipFill>
                    <a:blip r:embed="rId17"/>
                    <a:stretch>
                      <a:fillRect/>
                    </a:stretch>
                  </pic:blipFill>
                  <pic:spPr>
                    <a:xfrm>
                      <a:off x="0" y="0"/>
                      <a:ext cx="5400000" cy="2520000"/>
                    </a:xfrm>
                    <a:prstGeom prst="rect"/>
                  </pic:spPr>
                </pic:pic>
              </a:graphicData>
            </a:graphic>
          </wp:inline>
        </w:drawing>
      </w:r>
    </w:p>
    <w:p>
      <w:pPr>
        <w:jc w:val="center"/>
      </w:pPr>
      <w:r>
        <w:rPr>
          <w:i/>
          <w:sz w:val="18"/>
        </w:rPr>
        <w:t>Abbildung 9: Ölpreise WTI und Brent im Zeitverlauf (Tagesschlusskurse; bei rund 1100 Handelstagen wird auf einzelne Punktmarkierungen verzichtet).</w:t>
      </w:r>
    </w:p>
    <w:p/>
    <w:p>
      <w:pPr>
        <w:jc w:val="both"/>
      </w:pPr>
      <w:r>
        <w:t>Abbildung 10 zeigt die monatliche Datenabdeckung aller Kursquellen als Übersicht: Yahoo und EODHD decken den gesamten Zeitraum durchgehend ab, wobei EODHD durch die Sonntagswerte sichtbar mehr Tage je Monat liefert. MetaTrader endet mit dem Export im Dezember 2025.</w:t>
      </w:r>
    </w:p>
    <w:p>
      <w:pPr>
        <w:jc w:val="center"/>
      </w:pPr>
      <w:r>
        <w:drawing>
          <wp:inline xmlns:a="http://schemas.openxmlformats.org/drawingml/2006/main" xmlns:pic="http://schemas.openxmlformats.org/drawingml/2006/picture">
            <wp:extent cx="5940000" cy="1881000"/>
            <wp:docPr id="10" name="Picture 10"/>
            <wp:cNvGraphicFramePr>
              <a:graphicFrameLocks noChangeAspect="1"/>
            </wp:cNvGraphicFramePr>
            <a:graphic>
              <a:graphicData uri="http://schemas.openxmlformats.org/drawingml/2006/picture">
                <pic:pic>
                  <pic:nvPicPr>
                    <pic:cNvPr id="0" name="fig_coverage.png"/>
                    <pic:cNvPicPr/>
                  </pic:nvPicPr>
                  <pic:blipFill>
                    <a:blip r:embed="rId18"/>
                    <a:stretch>
                      <a:fillRect/>
                    </a:stretch>
                  </pic:blipFill>
                  <pic:spPr>
                    <a:xfrm>
                      <a:off x="0" y="0"/>
                      <a:ext cx="5940000" cy="1881000"/>
                    </a:xfrm>
                    <a:prstGeom prst="rect"/>
                  </pic:spPr>
                </pic:pic>
              </a:graphicData>
            </a:graphic>
          </wp:inline>
        </w:drawing>
      </w:r>
    </w:p>
    <w:p>
      <w:pPr>
        <w:jc w:val="center"/>
      </w:pPr>
      <w:r>
        <w:rPr>
          <w:i/>
          <w:sz w:val="18"/>
        </w:rPr>
        <w:t>Abbildung 10: Monatliche Datenabdeckung je Quelle und Währungspaar (Anzahl Tage mit Daten je Monat).</w:t>
      </w:r>
    </w:p>
    <w:p/>
    <w:p>
      <w:pPr>
        <w:jc w:val="both"/>
      </w:pPr>
      <w:r>
        <w:t>Tabelle 11 zeigt, wie dicht die Nachrichtenlage je Währungspaar ist. Sie macht die in Kapitel 5.2 beschriebene Schwäche von EUR/CHF greifbar: Während EUR/USD im Mittel rund 19 Artikel pro Tag erhält, sind es bei EUR/CHF insgesamt 12 Artikel mit Stimmungswert im ganzen Zeitraum.</w:t>
      </w:r>
    </w:p>
    <w:p>
      <w:pPr>
        <w:jc w:val="center"/>
      </w:pPr>
      <w:r>
        <w:rPr>
          <w:i/>
          <w:sz w:val="18"/>
        </w:rPr>
        <w:t>Tabelle 11: Artikel pro Tag und Währungspaar bei EODHD (nur Artikel mit Stimmungswert)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701"/>
            <w:shd w:val="clear" w:color="auto" w:fill="404040"/>
          </w:tcPr>
          <w:p>
            <w:r/>
            <w:r>
              <w:rPr>
                <w:b/>
                <w:color w:val="FFFFFF"/>
                <w:sz w:val="18"/>
              </w:rPr>
              <w:t>Währungspaar</w:t>
            </w:r>
          </w:p>
        </w:tc>
        <w:tc>
          <w:tcPr>
            <w:tcW w:type="dxa" w:w="1361"/>
            <w:shd w:val="clear" w:color="auto" w:fill="404040"/>
          </w:tcPr>
          <w:p>
            <w:r/>
            <w:r>
              <w:rPr>
                <w:b/>
                <w:color w:val="FFFFFF"/>
                <w:sz w:val="18"/>
              </w:rPr>
              <w:t>Artikel</w:t>
            </w:r>
          </w:p>
        </w:tc>
        <w:tc>
          <w:tcPr>
            <w:tcW w:type="dxa" w:w="1814"/>
            <w:shd w:val="clear" w:color="auto" w:fill="404040"/>
          </w:tcPr>
          <w:p>
            <w:r/>
            <w:r>
              <w:rPr>
                <w:b/>
                <w:color w:val="FFFFFF"/>
                <w:sz w:val="18"/>
              </w:rPr>
              <w:t>Tage mit Artikeln</w:t>
            </w:r>
          </w:p>
        </w:tc>
        <w:tc>
          <w:tcPr>
            <w:tcW w:type="dxa" w:w="1587"/>
            <w:shd w:val="clear" w:color="auto" w:fill="404040"/>
          </w:tcPr>
          <w:p>
            <w:r/>
            <w:r>
              <w:rPr>
                <w:b/>
                <w:color w:val="FFFFFF"/>
                <w:sz w:val="18"/>
              </w:rPr>
              <w:t>Mittel pro Tag</w:t>
            </w:r>
          </w:p>
        </w:tc>
        <w:tc>
          <w:tcPr>
            <w:tcW w:type="dxa" w:w="1587"/>
            <w:shd w:val="clear" w:color="auto" w:fill="404040"/>
          </w:tcPr>
          <w:p>
            <w:r/>
            <w:r>
              <w:rPr>
                <w:b/>
                <w:color w:val="FFFFFF"/>
                <w:sz w:val="18"/>
              </w:rPr>
              <w:t>Median pro Tag</w:t>
            </w:r>
          </w:p>
        </w:tc>
        <w:tc>
          <w:tcPr>
            <w:tcW w:type="dxa" w:w="1928"/>
            <w:shd w:val="clear" w:color="auto" w:fill="404040"/>
          </w:tcPr>
          <w:p>
            <w:r/>
            <w:r>
              <w:rPr>
                <w:b/>
                <w:color w:val="FFFFFF"/>
                <w:sz w:val="18"/>
              </w:rPr>
              <w:t>Maximum an einem Tag</w:t>
            </w:r>
          </w:p>
        </w:tc>
      </w:tr>
      <w:tr>
        <w:tc>
          <w:tcPr>
            <w:tcW w:type="dxa" w:w="1701"/>
            <w:shd w:val="clear" w:color="auto" w:fill="DCE6F1"/>
          </w:tcPr>
          <w:p>
            <w:r/>
            <w:r>
              <w:rPr>
                <w:b w:val="0"/>
                <w:sz w:val="18"/>
              </w:rPr>
              <w:t>EUR/USD</w:t>
            </w:r>
          </w:p>
        </w:tc>
        <w:tc>
          <w:tcPr>
            <w:tcW w:type="dxa" w:w="1361"/>
            <w:shd w:val="clear" w:color="auto" w:fill="DCE6F1"/>
          </w:tcPr>
          <w:p>
            <w:r/>
            <w:r>
              <w:rPr>
                <w:b w:val="0"/>
                <w:sz w:val="18"/>
              </w:rPr>
              <w:t>27937</w:t>
            </w:r>
          </w:p>
        </w:tc>
        <w:tc>
          <w:tcPr>
            <w:tcW w:type="dxa" w:w="1814"/>
            <w:shd w:val="clear" w:color="auto" w:fill="DCE6F1"/>
          </w:tcPr>
          <w:p>
            <w:r/>
            <w:r>
              <w:rPr>
                <w:b w:val="0"/>
                <w:sz w:val="18"/>
              </w:rPr>
              <w:t>1440</w:t>
            </w:r>
          </w:p>
        </w:tc>
        <w:tc>
          <w:tcPr>
            <w:tcW w:type="dxa" w:w="1587"/>
            <w:shd w:val="clear" w:color="auto" w:fill="DCE6F1"/>
          </w:tcPr>
          <w:p>
            <w:r/>
            <w:r>
              <w:rPr>
                <w:b w:val="0"/>
                <w:sz w:val="18"/>
              </w:rPr>
              <w:t>19.4</w:t>
            </w:r>
          </w:p>
        </w:tc>
        <w:tc>
          <w:tcPr>
            <w:tcW w:type="dxa" w:w="1587"/>
            <w:shd w:val="clear" w:color="auto" w:fill="DCE6F1"/>
          </w:tcPr>
          <w:p>
            <w:r/>
            <w:r>
              <w:rPr>
                <w:b w:val="0"/>
                <w:sz w:val="18"/>
              </w:rPr>
              <w:t>21</w:t>
            </w:r>
          </w:p>
        </w:tc>
        <w:tc>
          <w:tcPr>
            <w:tcW w:type="dxa" w:w="1928"/>
            <w:shd w:val="clear" w:color="auto" w:fill="DCE6F1"/>
          </w:tcPr>
          <w:p>
            <w:r/>
            <w:r>
              <w:rPr>
                <w:b w:val="0"/>
                <w:sz w:val="18"/>
              </w:rPr>
              <w:t>61</w:t>
            </w:r>
          </w:p>
        </w:tc>
      </w:tr>
      <w:tr>
        <w:tc>
          <w:tcPr>
            <w:tcW w:type="dxa" w:w="1701"/>
            <w:shd w:val="clear" w:color="auto" w:fill="DCE6F1"/>
          </w:tcPr>
          <w:p>
            <w:r/>
            <w:r>
              <w:rPr>
                <w:b w:val="0"/>
                <w:sz w:val="18"/>
              </w:rPr>
              <w:t>GBP/USD</w:t>
            </w:r>
          </w:p>
        </w:tc>
        <w:tc>
          <w:tcPr>
            <w:tcW w:type="dxa" w:w="1361"/>
            <w:shd w:val="clear" w:color="auto" w:fill="DCE6F1"/>
          </w:tcPr>
          <w:p>
            <w:r/>
            <w:r>
              <w:rPr>
                <w:b w:val="0"/>
                <w:sz w:val="18"/>
              </w:rPr>
              <w:t>18044</w:t>
            </w:r>
          </w:p>
        </w:tc>
        <w:tc>
          <w:tcPr>
            <w:tcW w:type="dxa" w:w="1814"/>
            <w:shd w:val="clear" w:color="auto" w:fill="DCE6F1"/>
          </w:tcPr>
          <w:p>
            <w:r/>
            <w:r>
              <w:rPr>
                <w:b w:val="0"/>
                <w:sz w:val="18"/>
              </w:rPr>
              <w:t>1409</w:t>
            </w:r>
          </w:p>
        </w:tc>
        <w:tc>
          <w:tcPr>
            <w:tcW w:type="dxa" w:w="1587"/>
            <w:shd w:val="clear" w:color="auto" w:fill="DCE6F1"/>
          </w:tcPr>
          <w:p>
            <w:r/>
            <w:r>
              <w:rPr>
                <w:b w:val="0"/>
                <w:sz w:val="18"/>
              </w:rPr>
              <w:t>12.8</w:t>
            </w:r>
          </w:p>
        </w:tc>
        <w:tc>
          <w:tcPr>
            <w:tcW w:type="dxa" w:w="1587"/>
            <w:shd w:val="clear" w:color="auto" w:fill="DCE6F1"/>
          </w:tcPr>
          <w:p>
            <w:r/>
            <w:r>
              <w:rPr>
                <w:b w:val="0"/>
                <w:sz w:val="18"/>
              </w:rPr>
              <w:t>14</w:t>
            </w:r>
          </w:p>
        </w:tc>
        <w:tc>
          <w:tcPr>
            <w:tcW w:type="dxa" w:w="1928"/>
            <w:shd w:val="clear" w:color="auto" w:fill="DCE6F1"/>
          </w:tcPr>
          <w:p>
            <w:r/>
            <w:r>
              <w:rPr>
                <w:b w:val="0"/>
                <w:sz w:val="18"/>
              </w:rPr>
              <w:t>37</w:t>
            </w:r>
          </w:p>
        </w:tc>
      </w:tr>
      <w:tr>
        <w:tc>
          <w:tcPr>
            <w:tcW w:type="dxa" w:w="1701"/>
            <w:shd w:val="clear" w:color="auto" w:fill="DCE6F1"/>
          </w:tcPr>
          <w:p>
            <w:r/>
            <w:r>
              <w:rPr>
                <w:b w:val="0"/>
                <w:sz w:val="18"/>
              </w:rPr>
              <w:t>EUR/CHF</w:t>
            </w:r>
          </w:p>
        </w:tc>
        <w:tc>
          <w:tcPr>
            <w:tcW w:type="dxa" w:w="1361"/>
            <w:shd w:val="clear" w:color="auto" w:fill="DCE6F1"/>
          </w:tcPr>
          <w:p>
            <w:r/>
            <w:r>
              <w:rPr>
                <w:b w:val="0"/>
                <w:sz w:val="18"/>
              </w:rPr>
              <w:t>12</w:t>
            </w:r>
          </w:p>
        </w:tc>
        <w:tc>
          <w:tcPr>
            <w:tcW w:type="dxa" w:w="1814"/>
            <w:shd w:val="clear" w:color="auto" w:fill="DCE6F1"/>
          </w:tcPr>
          <w:p>
            <w:r/>
            <w:r>
              <w:rPr>
                <w:b w:val="0"/>
                <w:sz w:val="18"/>
              </w:rPr>
              <w:t>10</w:t>
            </w:r>
          </w:p>
        </w:tc>
        <w:tc>
          <w:tcPr>
            <w:tcW w:type="dxa" w:w="1587"/>
            <w:shd w:val="clear" w:color="auto" w:fill="DCE6F1"/>
          </w:tcPr>
          <w:p>
            <w:r/>
            <w:r>
              <w:rPr>
                <w:b w:val="0"/>
                <w:sz w:val="18"/>
              </w:rPr>
              <w:t>1.2</w:t>
            </w:r>
          </w:p>
        </w:tc>
        <w:tc>
          <w:tcPr>
            <w:tcW w:type="dxa" w:w="1587"/>
            <w:shd w:val="clear" w:color="auto" w:fill="DCE6F1"/>
          </w:tcPr>
          <w:p>
            <w:r/>
            <w:r>
              <w:rPr>
                <w:b w:val="0"/>
                <w:sz w:val="18"/>
              </w:rPr>
              <w:t>1</w:t>
            </w:r>
          </w:p>
        </w:tc>
        <w:tc>
          <w:tcPr>
            <w:tcW w:type="dxa" w:w="1928"/>
            <w:shd w:val="clear" w:color="auto" w:fill="DCE6F1"/>
          </w:tcPr>
          <w:p>
            <w:r/>
            <w:r>
              <w:rPr>
                <w:b w:val="0"/>
                <w:sz w:val="18"/>
              </w:rPr>
              <w:t>3</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