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Projektdokumentation: Wechselkurse, Nachrichten-Sentiment und Ölpreise</w:t>
      </w:r>
    </w:p>
    <w:p>
      <w:r>
        <w:rPr>
          <w:b/>
        </w:rPr>
        <w:t>Modul:</w:t>
      </w:r>
      <w:r>
        <w:t xml:space="preserve"> Data Engineering &amp; Wrangling, Studiengang Business Artificial Intelligence (BAI), Fachhochschule Nordwestschweiz (FHNW), Frühjahrssemester 2026</w:t>
      </w:r>
    </w:p>
    <w:p>
      <w:r>
        <w:rPr>
          <w:b/>
        </w:rPr>
        <w:t>Datenzeitraum im Projekt:</w:t>
      </w:r>
      <w:r>
        <w:t xml:space="preserve"> 2022-01-01 bis 2026-04-22</w:t>
      </w:r>
    </w:p>
    <w:p>
      <w:r>
        <w:rPr>
          <w:b/>
        </w:rPr>
        <w:t>Untersuchungsfokus:</w:t>
      </w:r>
      <w:r>
        <w:t xml:space="preserve"> EUR/USD, EUR/CHF, GBP/USD</w:t>
      </w:r>
    </w:p>
    <w:p>
      <w:r>
        <w:rPr>
          <w:b/>
        </w:rPr>
        <w:t>Stand des Dokuments:</w:t>
      </w:r>
      <w:r>
        <w:t xml:space="preserve"> 2026-06-08</w:t>
      </w:r>
    </w:p>
    <w:p>
      <w:pPr>
        <w:ind w:left="283"/>
      </w:pPr>
      <w:r>
        <w:rPr>
          <w:i/>
        </w:rPr>
        <w:t>**Hinweis zum Lesen:** Dieses Dokument ist als **Protokoll** geschrieben. Es folgt der Reihe nach dem Weg der Daten — von der Quelle bis zur Antwort auf unsere Forschungsfrage — und begründet bei jedem Schritt, **warum** wir ihn so gemacht haben. Fachbegriffe und Abkürzungen werden beim ersten Auftreten ausgeschrieben.</w:t>
      </w:r>
    </w:p>
    <w:p>
      <w:pPr>
        <w:pStyle w:val="Heading2"/>
        <w:jc w:val="left"/>
      </w:pPr>
      <w:r>
        <w:t>Inhaltlicher roter Faden</w:t>
      </w:r>
    </w:p>
    <w:p>
      <w:r>
        <w:t>Die Verarbeitung folgt sechs Pflichtschritten des Moduls. Jeder Schritt hat ein eigenes Kapitel:</w:t>
      </w:r>
    </w:p>
    <w:p>
      <w:pPr>
        <w:pStyle w:val="ListNumber"/>
      </w:pPr>
      <w:r>
        <w:rPr>
          <w:b/>
        </w:rPr>
        <w:t>Daten laden</w:t>
      </w:r>
      <w:r>
        <w:t xml:space="preserve"> (Kapitel 4) — Rohdaten aus den Quellen holen und unverändert ablegen.</w:t>
      </w:r>
    </w:p>
    <w:p>
      <w:pPr>
        <w:pStyle w:val="ListNumber"/>
      </w:pPr>
      <w:r>
        <w:rPr>
          <w:b/>
        </w:rPr>
        <w:t>Datenbereinigung &amp; Qualitätsprüfung</w:t>
      </w:r>
      <w:r>
        <w:t xml:space="preserve"> (Kapitel 5) — fehlende Werte, Duplikate, und ein Qualitätscheck, der einen echten Datierungsfehler aufdeckt.</w:t>
      </w:r>
    </w:p>
    <w:p>
      <w:pPr>
        <w:pStyle w:val="ListNumber"/>
      </w:pPr>
      <w:r>
        <w:rPr>
          <w:b/>
        </w:rPr>
        <w:t>Harmonisierung</w:t>
      </w:r>
      <w:r>
        <w:t xml:space="preserve"> (Kapitel 6) — die Quellen auf ein gemeinsames Format und denselben Markttag bringen.</w:t>
      </w:r>
    </w:p>
    <w:p>
      <w:pPr>
        <w:pStyle w:val="ListNumber"/>
      </w:pPr>
      <w:r>
        <w:rPr>
          <w:b/>
        </w:rPr>
        <w:t>Transformation &amp; Feature Engineering</w:t>
      </w:r>
      <w:r>
        <w:t xml:space="preserve"> (Kapitel 7) — aus Rohdaten analysefähige Grössen bauen (Renditen, Tages-Sentiment, Aggregate).</w:t>
      </w:r>
    </w:p>
    <w:p>
      <w:pPr>
        <w:pStyle w:val="ListNumber"/>
      </w:pPr>
      <w:r>
        <w:rPr>
          <w:b/>
        </w:rPr>
        <w:t>Sentiment-Analyse</w:t>
      </w:r>
      <w:r>
        <w:t xml:space="preserve"> (Kapitel 8) — Stimmung aus Nachrichtentexten messen, auf drei Wegen zur Absicherung.</w:t>
      </w:r>
    </w:p>
    <w:p>
      <w:pPr>
        <w:pStyle w:val="ListNumber"/>
      </w:pPr>
      <w:r>
        <w:rPr>
          <w:b/>
        </w:rPr>
        <w:t>Analyse &amp; Antwort</w:t>
      </w:r>
      <w:r>
        <w:t xml:space="preserve"> (Kapitel 9) — die Forschungsfrage mit einer Lead/Lag-Analyse beantworten.</w:t>
      </w:r>
    </w:p>
    <w:p>
      <w:r>
        <w:t>Kapitel 1–3 erklären Ziel, Quellen und Pipeline; Kapitel 10–15 behandeln Dashboard, Reproduzierbarkeit, Grenzen, Struktur und Entscheidungs-Chronologie.</w:t>
      </w:r>
    </w:p>
    <w:p>
      <w:pPr>
        <w:pStyle w:val="Heading2"/>
        <w:jc w:val="left"/>
      </w:pPr>
      <w:r>
        <w:t>1. Worum geht es? Ziel und Forschungsfrage</w:t>
      </w:r>
    </w:p>
    <w:p>
      <w:pPr>
        <w:pStyle w:val="Heading3"/>
        <w:jc w:val="left"/>
      </w:pPr>
      <w:r>
        <w:t>1.1 Die Frage</w:t>
      </w:r>
    </w:p>
    <w:p>
      <w:r>
        <w:t xml:space="preserve">Das Projekt untersucht, ob die </w:t>
      </w:r>
      <w:r>
        <w:rPr>
          <w:b/>
        </w:rPr>
        <w:t>Stimmung in Finanznachrichten</w:t>
      </w:r>
      <w:r>
        <w:t xml:space="preserve"> (das sogenannte *Sentiment*) einen erkennbaren Zusammenhang mit </w:t>
      </w:r>
      <w:r>
        <w:rPr>
          <w:b/>
        </w:rPr>
        <w:t>Wechselkursen</w:t>
      </w:r>
      <w:r>
        <w:t xml:space="preserve"> hat — und falls ja, ob die Stimmung der Kursbewegung </w:t>
      </w:r>
      <w:r>
        <w:rPr>
          <w:b/>
        </w:rPr>
        <w:t>vorausläuft</w:t>
      </w:r>
      <w:r>
        <w:t>.</w:t>
      </w:r>
    </w:p>
    <w:p>
      <w:pPr>
        <w:ind w:left="283"/>
      </w:pPr>
      <w:r>
        <w:rPr>
          <w:i/>
        </w:rPr>
        <w:t>**Forschungsfrage:** *Hat das Sentiment von Finanznachrichten einen Einfluss auf Währungskurse — und wenn ja, mit welcher zeitlichen Verzögerung?*</w:t>
      </w:r>
    </w:p>
    <w:p>
      <w:r>
        <w:t xml:space="preserve">Wir konkretisieren die Frage in eine </w:t>
      </w:r>
      <w:r>
        <w:rPr>
          <w:b/>
        </w:rPr>
        <w:t>Lead/Lag-Frage</w:t>
      </w:r>
      <w:r>
        <w:t xml:space="preserve"> (englisch *lead* = Vorlauf, *lag* = Nachlauf). Dazu vergleichen wir das Sentiment an einem Tag mit der Kursveränderung *k* Tage später:</w:t>
      </w:r>
    </w:p>
    <w:p>
      <w:pPr>
        <w:pStyle w:val="ListBullet"/>
      </w:pPr>
      <w:r>
        <w:rPr>
          <w:b/>
        </w:rPr>
        <w:t>Hypothese H1 — Sentiment führt:</w:t>
      </w:r>
      <w:r>
        <w:t xml:space="preserve"> Das Sentiment am Tag *t* sagt die Kursveränderung am Tag *t + k* für ein *k &gt; 0* vorher. Negative Nachrichten heute → fallender Kurs in den Folgetagen. (Das ist die Hypothese, die wir gerne bestätigt sähen.)</w:t>
      </w:r>
    </w:p>
    <w:p>
      <w:pPr>
        <w:pStyle w:val="ListBullet"/>
      </w:pPr>
      <w:r>
        <w:rPr>
          <w:b/>
        </w:rPr>
        <w:t>Alternative A1 — gleichzeitig:</w:t>
      </w:r>
      <w:r>
        <w:t xml:space="preserve"> Sentiment und Kurs bewegen sich </w:t>
      </w:r>
      <w:r>
        <w:rPr>
          <w:b/>
        </w:rPr>
        <w:t>am selben Tag</w:t>
      </w:r>
      <w:r>
        <w:t xml:space="preserve"> (*k = 0*). Das Sentiment ist dann eine Begleitinformation, kein Vorlauf.</w:t>
      </w:r>
    </w:p>
    <w:p>
      <w:pPr>
        <w:pStyle w:val="ListBullet"/>
      </w:pPr>
      <w:r>
        <w:rPr>
          <w:b/>
        </w:rPr>
        <w:t>Alternative A2 — Markt führt:</w:t>
      </w:r>
      <w:r>
        <w:t xml:space="preserve"> Der Kurs bewegt sich zuerst, die Nachrichten reagieren nach (*k &lt; 0*).</w:t>
      </w:r>
    </w:p>
    <w:p>
      <w:r>
        <w:t>Die Antwort steht in Kapitel 9.</w:t>
      </w:r>
    </w:p>
    <w:p>
      <w:pPr>
        <w:pStyle w:val="Heading3"/>
        <w:jc w:val="left"/>
      </w:pPr>
      <w:r>
        <w:t>1.2 Wie der Dozent das Projekt rahmt</w:t>
      </w:r>
    </w:p>
    <w:p>
      <w:r>
        <w:t xml:space="preserve">Bewertet wird </w:t>
      </w:r>
      <w:r>
        <w:rPr>
          <w:b/>
        </w:rPr>
        <w:t>nicht</w:t>
      </w:r>
      <w:r>
        <w:t xml:space="preserve"> ein Prognosemodell, sondern der </w:t>
      </w:r>
      <w:r>
        <w:rPr>
          <w:b/>
        </w:rPr>
        <w:t>Umgang mit unsauberen Daten</w:t>
      </w:r>
      <w:r>
        <w:t xml:space="preserve">: aus heterogenen Quellen vergleichbare Reihen bauen, Qualitätsprobleme erkennen und dokumentieren, und Methodenentscheidungen begründen. Die Antwort auf die Forschungsfrage ist ein Anwendungsbeispiel — das eigentliche Produkt ist die </w:t>
      </w:r>
      <w:r>
        <w:rPr>
          <w:b/>
        </w:rPr>
        <w:t>Datenaufbereitung</w:t>
      </w:r>
      <w:r>
        <w:t>.</w:t>
      </w:r>
    </w:p>
    <w:p>
      <w:pPr>
        <w:pStyle w:val="Heading3"/>
        <w:jc w:val="left"/>
      </w:pPr>
      <w:r>
        <w:t>1.3 Was das Projekt *nicht* ist</w:t>
      </w:r>
    </w:p>
    <w:p>
      <w:pPr>
        <w:pStyle w:val="ListBullet"/>
      </w:pPr>
      <w:r>
        <w:t>Kein Handelssystem und kein Backtesting (rückwirkendes Durchtesten einer Handelsstrategie).</w:t>
      </w:r>
    </w:p>
    <w:p>
      <w:pPr>
        <w:pStyle w:val="ListBullet"/>
      </w:pPr>
      <w:r>
        <w:t>Kein Modell des maschinellen Lernens.</w:t>
      </w:r>
    </w:p>
    <w:p>
      <w:pPr>
        <w:pStyle w:val="ListBullet"/>
      </w:pPr>
      <w:r>
        <w:rPr>
          <w:b/>
        </w:rPr>
        <w:t>Keine Kausalaussage.</w:t>
      </w:r>
      <w:r>
        <w:t xml:space="preserve"> Wir messen einen statistischen Zusammenhang über die Zeit, nicht „Sentiment *verursacht* Kursbewegung". Ein formaler Kausalitätstest (Granger-Test) ist als Erweiterung vermerkt, aber bewusst nicht Teil der Kernaussage (siehe Kapitel 9.6).</w:t>
      </w:r>
    </w:p>
    <w:p>
      <w:pPr>
        <w:pStyle w:val="Heading2"/>
        <w:jc w:val="left"/>
      </w:pPr>
      <w:r>
        <w:t>2. Die Datenquellen — woher kommen die Daten?</w:t>
      </w:r>
    </w:p>
    <w:p>
      <w:r>
        <w:t xml:space="preserve">Wir integrieren </w:t>
      </w:r>
      <w:r>
        <w:rPr>
          <w:b/>
        </w:rPr>
        <w:t>bewusst mehrere Quellen pro Datentyp</w:t>
      </w:r>
      <w:r>
        <w:t>. Grund: Nur mit mehreren Quellen lassen sich Unstimmigkeiten überhaupt aufdecken (eine einzelne Quelle kann man nicht gegenprüfen), und man wird nicht von einem Anbieter abhängig. Genau dieser Cross-Check hat in diesem Projekt einen echten Datenfehler sichtbar gemacht (Kapitel 5.3).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Datentyp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Zugang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Historie im Projekt</w:t>
            </w:r>
          </w:p>
        </w:tc>
      </w:tr>
      <w:tr>
        <w:tc>
          <w:tcPr>
            <w:tcW w:type="dxa" w:w="2160"/>
          </w:tcPr>
          <w:p>
            <w:r/>
            <w:r>
              <w:t>Wechselkurs</w:t>
            </w:r>
          </w:p>
        </w:tc>
        <w:tc>
          <w:tcPr>
            <w:tcW w:type="dxa" w:w="2160"/>
          </w:tcPr>
          <w:p>
            <w:r/>
            <w:r>
              <w:t>Yahoo Finance</w:t>
            </w:r>
          </w:p>
        </w:tc>
        <w:tc>
          <w:tcPr>
            <w:tcW w:type="dxa" w:w="2160"/>
          </w:tcPr>
          <w:p>
            <w:r/>
            <w:r>
              <w:t xml:space="preserve">Python-Bibliothek </w:t>
            </w:r>
            <w:r>
              <w:rPr>
                <w:rFonts w:ascii="Consolas" w:hAnsi="Consolas"/>
                <w:sz w:val="20"/>
              </w:rPr>
              <w:t>yfinance</w:t>
            </w:r>
            <w:r>
              <w:t xml:space="preserve"> (kein Login nötig)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  <w:tr>
        <w:tc>
          <w:tcPr>
            <w:tcW w:type="dxa" w:w="2160"/>
          </w:tcPr>
          <w:p>
            <w:r/>
            <w:r>
              <w:t>Wechselkurs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REST-Programmierschnittstelle (API) mit Schlüssel</w:t>
            </w:r>
          </w:p>
        </w:tc>
        <w:tc>
          <w:tcPr>
            <w:tcW w:type="dxa" w:w="2160"/>
          </w:tcPr>
          <w:p>
            <w:r/>
            <w:r>
              <w:t>2022-01-02 – 2026-04-22</w:t>
            </w:r>
          </w:p>
        </w:tc>
      </w:tr>
      <w:tr>
        <w:tc>
          <w:tcPr>
            <w:tcW w:type="dxa" w:w="2160"/>
          </w:tcPr>
          <w:p>
            <w:r/>
            <w:r>
              <w:t>Wechselkurs</w:t>
            </w:r>
          </w:p>
        </w:tc>
        <w:tc>
          <w:tcPr>
            <w:tcW w:type="dxa" w:w="2160"/>
          </w:tcPr>
          <w:p>
            <w:r/>
            <w:r>
              <w:t>MetaTrader 5</w:t>
            </w:r>
          </w:p>
        </w:tc>
        <w:tc>
          <w:tcPr>
            <w:tcW w:type="dxa" w:w="2160"/>
          </w:tcPr>
          <w:p>
            <w:r/>
            <w:r>
              <w:t>Manuelle CSV-Exporte (Tages- und 15-Minuten-Daten)</w:t>
            </w:r>
          </w:p>
        </w:tc>
        <w:tc>
          <w:tcPr>
            <w:tcW w:type="dxa" w:w="2160"/>
          </w:tcPr>
          <w:p>
            <w:r/>
            <w:r>
              <w:t>2022-01-03 – 2025-12-26</w:t>
            </w:r>
          </w:p>
        </w:tc>
      </w:tr>
      <w:tr>
        <w:tc>
          <w:tcPr>
            <w:tcW w:type="dxa" w:w="2160"/>
          </w:tcPr>
          <w:p>
            <w:r/>
            <w:r>
              <w:t>Nachrichten</w:t>
            </w:r>
          </w:p>
        </w:tc>
        <w:tc>
          <w:tcPr>
            <w:tcW w:type="dxa" w:w="2160"/>
          </w:tcPr>
          <w:p>
            <w:r/>
            <w:r>
              <w:t>EODHD</w:t>
            </w:r>
          </w:p>
        </w:tc>
        <w:tc>
          <w:tcPr>
            <w:tcW w:type="dxa" w:w="2160"/>
          </w:tcPr>
          <w:p>
            <w:r/>
            <w:r>
              <w:t>REST-API, mit bereits berechnetem Sentiment-Wert</w:t>
            </w:r>
          </w:p>
        </w:tc>
        <w:tc>
          <w:tcPr>
            <w:tcW w:type="dxa" w:w="2160"/>
          </w:tcPr>
          <w:p>
            <w:r/>
            <w:r>
              <w:t>2022-01 – 2026-04</w:t>
            </w:r>
          </w:p>
        </w:tc>
      </w:tr>
      <w:tr>
        <w:tc>
          <w:tcPr>
            <w:tcW w:type="dxa" w:w="2160"/>
          </w:tcPr>
          <w:p>
            <w:r/>
            <w:r>
              <w:t>Nachrichten</w:t>
            </w:r>
          </w:p>
        </w:tc>
        <w:tc>
          <w:tcPr>
            <w:tcW w:type="dxa" w:w="2160"/>
          </w:tcPr>
          <w:p>
            <w:r/>
            <w:r>
              <w:t>RSS-Feeds (ForexLive, FXStreet, Yahoo Finance, Google News, DailyFX)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requests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feedparser</w:t>
            </w:r>
          </w:p>
        </w:tc>
        <w:tc>
          <w:tcPr>
            <w:tcW w:type="dxa" w:w="2160"/>
          </w:tcPr>
          <w:p>
            <w:r/>
            <w:r>
              <w:t>Scrape-Momentaufnahmen 2024-09 / ab 2025-09</w:t>
            </w:r>
          </w:p>
        </w:tc>
      </w:tr>
      <w:tr>
        <w:tc>
          <w:tcPr>
            <w:tcW w:type="dxa" w:w="2160"/>
          </w:tcPr>
          <w:p>
            <w:r/>
            <w:r>
              <w:t>Nachrichten</w:t>
            </w:r>
          </w:p>
        </w:tc>
        <w:tc>
          <w:tcPr>
            <w:tcW w:type="dxa" w:w="2160"/>
          </w:tcPr>
          <w:p>
            <w:r/>
            <w:r>
              <w:t>Reddit (r/Forex, r/investing, r/economics)</w:t>
            </w:r>
          </w:p>
        </w:tc>
        <w:tc>
          <w:tcPr>
            <w:tcW w:type="dxa" w:w="2160"/>
          </w:tcPr>
          <w:p>
            <w:r/>
            <w:r>
              <w:t>öffentlicher JSON-Endpunkt</w:t>
            </w:r>
          </w:p>
        </w:tc>
        <w:tc>
          <w:tcPr>
            <w:tcW w:type="dxa" w:w="2160"/>
          </w:tcPr>
          <w:p>
            <w:r/>
            <w:r>
              <w:t>gleiches Fenster wie RSS</w:t>
            </w:r>
          </w:p>
        </w:tc>
      </w:tr>
      <w:tr>
        <w:tc>
          <w:tcPr>
            <w:tcW w:type="dxa" w:w="2160"/>
          </w:tcPr>
          <w:p>
            <w:r/>
            <w:r>
              <w:t>Ölpreis</w:t>
            </w:r>
          </w:p>
        </w:tc>
        <w:tc>
          <w:tcPr>
            <w:tcW w:type="dxa" w:w="2160"/>
          </w:tcPr>
          <w:p>
            <w:r/>
            <w:r>
              <w:t xml:space="preserve">Yahoo Finance (WTI </w:t>
            </w:r>
            <w:r>
              <w:rPr>
                <w:rFonts w:ascii="Consolas" w:hAnsi="Consolas"/>
                <w:sz w:val="20"/>
              </w:rPr>
              <w:t>CL=F</w:t>
            </w:r>
            <w:r>
              <w:t xml:space="preserve">, Brent </w:t>
            </w:r>
            <w:r>
              <w:rPr>
                <w:rFonts w:ascii="Consolas" w:hAnsi="Consolas"/>
                <w:sz w:val="20"/>
              </w:rPr>
              <w:t>BZ=F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</w:p>
        </w:tc>
        <w:tc>
          <w:tcPr>
            <w:tcW w:type="dxa" w:w="2160"/>
          </w:tcPr>
          <w:p>
            <w:r/>
            <w:r>
              <w:t>2022-01-03 – 2026-04-21</w:t>
            </w:r>
          </w:p>
        </w:tc>
      </w:tr>
    </w:tbl>
    <w:p/>
    <w:p>
      <w:r>
        <w:rPr>
          <w:b/>
        </w:rPr>
        <w:t>Begriffe:</w:t>
      </w:r>
    </w:p>
    <w:p>
      <w:pPr>
        <w:pStyle w:val="ListBullet"/>
      </w:pPr>
      <w:r>
        <w:rPr>
          <w:b/>
        </w:rPr>
        <w:t>Forex</w:t>
      </w:r>
      <w:r>
        <w:t xml:space="preserve"> = *Foreign Exchange*, der Devisenmarkt (Handel mit Währungen).</w:t>
      </w:r>
    </w:p>
    <w:p>
      <w:pPr>
        <w:pStyle w:val="ListBullet"/>
      </w:pPr>
      <w:r>
        <w:rPr>
          <w:b/>
        </w:rPr>
        <w:t>EODHD</w:t>
      </w:r>
      <w:r>
        <w:t xml:space="preserve"> = *End-of-Day Historical Data*, ein kommerzieller Finanzdaten-Anbieter.</w:t>
      </w:r>
    </w:p>
    <w:p>
      <w:pPr>
        <w:pStyle w:val="ListBullet"/>
      </w:pPr>
      <w:r>
        <w:rPr>
          <w:b/>
        </w:rPr>
        <w:t>REST-API</w:t>
      </w:r>
      <w:r>
        <w:t xml:space="preserve"> = *Representational State Transfer – Application Programming Interface*, eine Programmierschnittstelle, die Daten über Web-Adressen (URLs) ausliefert.</w:t>
      </w:r>
    </w:p>
    <w:p>
      <w:pPr>
        <w:pStyle w:val="ListBullet"/>
      </w:pPr>
      <w:r>
        <w:rPr>
          <w:b/>
        </w:rPr>
        <w:t>RSS</w:t>
      </w:r>
      <w:r>
        <w:t xml:space="preserve"> = *Really Simple Syndication*, ein standardisiertes Nachrichten-Feed-Format.</w:t>
      </w:r>
    </w:p>
    <w:p>
      <w:pPr>
        <w:pStyle w:val="ListBullet"/>
      </w:pPr>
      <w:r>
        <w:rPr>
          <w:b/>
        </w:rPr>
        <w:t>WTI / Brent</w:t>
      </w:r>
      <w:r>
        <w:t xml:space="preserve"> = zwei weltweite Referenz-Rohölsorten (West Texas Intermediate bzw. Brent).</w:t>
      </w:r>
    </w:p>
    <w:p>
      <w:pPr>
        <w:pStyle w:val="Heading3"/>
        <w:jc w:val="left"/>
      </w:pPr>
      <w:r>
        <w:t>2.1 Warum diese Kombination?</w:t>
      </w:r>
    </w:p>
    <w:p>
      <w:pPr>
        <w:pStyle w:val="ListBullet"/>
      </w:pPr>
      <w:r>
        <w:rPr>
          <w:b/>
        </w:rPr>
        <w:t>Yahoo Finance + EODHD</w:t>
      </w:r>
      <w:r>
        <w:t xml:space="preserve"> — zwei unabhängige, öffentlich zugängliche Wechselkurs-Anbieter. Yahoo ist kostenlos; EODHD liefert zusätzlich Sonntagsdaten (der globale Devisenmarkt öffnet Sonntagabend in Asien) und bringt das Nachrichten-Feed inklusive vorberechneter Sentiment-Werte mit. So sind Datenvergleich und Cross-Check möglich.</w:t>
      </w:r>
    </w:p>
    <w:p>
      <w:pPr>
        <w:pStyle w:val="ListBullet"/>
      </w:pPr>
      <w:r>
        <w:rPr>
          <w:b/>
        </w:rPr>
        <w:t>MetaTrader 5</w:t>
      </w:r>
      <w:r>
        <w:t xml:space="preserve"> — Daten aus einer brokernahen Handelsplattform, die als technische Referenz dienen. Werden hier nur für den </w:t>
      </w:r>
      <w:r>
        <w:rPr>
          <w:b/>
        </w:rPr>
        <w:t>Quellenvergleich</w:t>
      </w:r>
      <w:r>
        <w:t xml:space="preserve"> (Kapitel 5.3) genutzt, weil sie nur lokal exportierbar sind und der Export bis 2025-12-26 reicht.</w:t>
      </w:r>
    </w:p>
    <w:p>
      <w:pPr>
        <w:pStyle w:val="ListBullet"/>
      </w:pPr>
      <w:r>
        <w:rPr>
          <w:b/>
        </w:rPr>
        <w:t>EODHD-Nachrichten</w:t>
      </w:r>
      <w:r>
        <w:t xml:space="preserve"> — bereits mit einem Sentiment-Wert pro Artikel versehen → schneller Einstieg und eine Referenz für unsere eigene Sentiment-Berechnung.</w:t>
      </w:r>
    </w:p>
    <w:p>
      <w:pPr>
        <w:pStyle w:val="ListBullet"/>
      </w:pPr>
      <w:r>
        <w:rPr>
          <w:b/>
        </w:rPr>
        <w:t>RSS + Reddit</w:t>
      </w:r>
      <w:r>
        <w:t xml:space="preserve"> — eine zweite, unabhängige Nachrichtenquelle als Machbarkeitsnachweis (englisch *Proof of Concept*, Kapitel 8.3). Rohe Texte ohne vorberechnete Werte.</w:t>
      </w:r>
    </w:p>
    <w:p>
      <w:pPr>
        <w:pStyle w:val="ListBullet"/>
      </w:pPr>
      <w:r>
        <w:rPr>
          <w:b/>
        </w:rPr>
        <w:t>Öl (WTI + Brent)</w:t>
      </w:r>
      <w:r>
        <w:t xml:space="preserve"> — ein häufig genannter makroökonomischer Einflussfaktor auf Rohstoff- und Petrowährungen. Dient im Dashboard als zuschaltbare Vergleichsreihe.</w:t>
      </w:r>
    </w:p>
    <w:p>
      <w:pPr>
        <w:pStyle w:val="Heading2"/>
        <w:jc w:val="left"/>
      </w:pPr>
      <w:r>
        <w:t>3. Die Pipeline im Überblick</w:t>
      </w:r>
    </w:p>
    <w:p>
      <w:r>
        <w:t>Die Daten durchlaufen drei klar getrennte Schichten. Diese Trennung ist das Rückgrat der Reproduzierbarkeit: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73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7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Pipeline-Diagramm</w:t>
      </w:r>
    </w:p>
    <w:p>
      <w:pPr>
        <w:pStyle w:val="ListNumber"/>
      </w:pPr>
      <w:r>
        <w:rPr>
          <w:b/>
        </w:rPr>
        <w:t>`data/raw/`</w:t>
      </w:r>
      <w:r>
        <w:t xml:space="preserve"> — die </w:t>
      </w:r>
      <w:r>
        <w:rPr>
          <w:b/>
        </w:rPr>
        <w:t>unveränderten Rohdaten</w:t>
      </w:r>
      <w:r>
        <w:t>, genau so, wie sie aus den Quellen kommen. Jede Datei trägt Quelle und Datum im Dateinamen. Nach dem Laden wird hier nichts mehr verändert. Diese Schicht ist unsere „Ground Truth": Wenn ein späterer Schritt fragwürdig ist, können wir immer auf das Original zurück.</w:t>
      </w:r>
    </w:p>
    <w:p>
      <w:pPr>
        <w:pStyle w:val="ListNumber"/>
      </w:pPr>
      <w:r>
        <w:rPr>
          <w:b/>
        </w:rPr>
        <w:t>`data/processed/`</w:t>
      </w:r>
      <w:r>
        <w:t xml:space="preserve"> — die </w:t>
      </w:r>
      <w:r>
        <w:rPr>
          <w:b/>
        </w:rPr>
        <w:t>bereinigten, harmonisierten und zusammengeführten</w:t>
      </w:r>
      <w:r>
        <w:t xml:space="preserve"> Zwischenergebnisse. Erzeugt durch die Skripte in </w:t>
      </w:r>
      <w:r>
        <w:rPr>
          <w:rFonts w:ascii="Consolas" w:hAnsi="Consolas"/>
          <w:sz w:val="20"/>
        </w:rPr>
        <w:t>scripts/</w:t>
      </w:r>
      <w:r>
        <w:t xml:space="preserve"> (oder die zugehörigen Notebooks).</w:t>
      </w:r>
    </w:p>
    <w:p>
      <w:pPr>
        <w:pStyle w:val="ListNumber"/>
      </w:pPr>
      <w:r>
        <w:rPr>
          <w:b/>
        </w:rPr>
        <w:t>`data/final/`</w:t>
      </w:r>
      <w:r>
        <w:t xml:space="preserve"> — fertige Datensätze, die direkt in Bericht oder Dashboard einfliessen.</w:t>
      </w:r>
    </w:p>
    <w:p>
      <w:r>
        <w:rPr>
          <w:b/>
        </w:rPr>
        <w:t>Reproduzierbarkeit:</w:t>
      </w:r>
      <w:r>
        <w:t xml:space="preserve"> Jeder Schritt lässt sich mit einem einzigen Befehl neu ausführen (Kapitel 11). Die Skripte sind *idempotent* — mehrfaches Ausführen führt zum selben Ergebnis.</w:t>
      </w:r>
    </w:p>
    <w:p>
      <w:r>
        <w:t>Das Pipeline-Diagramm liegt als Graphviz-Quelle (</w:t>
      </w:r>
      <w:r>
        <w:rPr>
          <w:rFonts w:ascii="Consolas" w:hAnsi="Consolas"/>
          <w:sz w:val="20"/>
        </w:rPr>
        <w:t>docs/architektur/pipeline.gv</w:t>
      </w:r>
      <w:r>
        <w:t>) sowie als PNG und SVG vor und ist im Dashboard unter der Seite „Workflow" interaktiv erreichbar.</w:t>
      </w:r>
    </w:p>
    <w:p>
      <w:pPr>
        <w:pStyle w:val="Heading2"/>
        <w:jc w:val="left"/>
      </w:pPr>
      <w:r>
        <w:t>4. Schritt 1 — Laden der Rohdaten</w:t>
      </w:r>
    </w:p>
    <w:p>
      <w:r>
        <w:t>Jede Quelle hat ein eigenes Lade-Skript (</w:t>
      </w:r>
      <w:r>
        <w:rPr>
          <w:rFonts w:ascii="Consolas" w:hAnsi="Consolas"/>
          <w:sz w:val="20"/>
        </w:rPr>
        <w:t>src/data_loading/</w:t>
      </w:r>
      <w:r>
        <w:t xml:space="preserve">). Alle folgen demselben Muster: Daten holen → unverändert nach </w:t>
      </w:r>
      <w:r>
        <w:rPr>
          <w:rFonts w:ascii="Consolas" w:hAnsi="Consolas"/>
          <w:sz w:val="20"/>
        </w:rPr>
        <w:t>data/raw/</w:t>
      </w:r>
      <w:r>
        <w:t xml:space="preserve"> schreiben. Bewusst findet hier </w:t>
      </w:r>
      <w:r>
        <w:rPr>
          <w:b/>
        </w:rPr>
        <w:t>keine</w:t>
      </w:r>
      <w:r>
        <w:t xml:space="preserve"> Bereinigung statt — das gehört in den nächsten Schritt, damit das Rohmaterial erhalten bleibt.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Quelle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Skript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Wie genau geladen wird</w:t>
            </w:r>
          </w:p>
        </w:tc>
      </w:tr>
      <w:tr>
        <w:tc>
          <w:tcPr>
            <w:tcW w:type="dxa" w:w="2880"/>
          </w:tcPr>
          <w:p>
            <w:r/>
            <w:r>
              <w:t>Yahoo-Wechselkurse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yahoo_loader.py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  <w:r>
              <w:t xml:space="preserve"> lädt die Symbole </w:t>
            </w:r>
            <w:r>
              <w:rPr>
                <w:rFonts w:ascii="Consolas" w:hAnsi="Consolas"/>
                <w:sz w:val="20"/>
              </w:rPr>
              <w:t>EURUSD=X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EURCHF=X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GBPUSD=X</w:t>
            </w:r>
            <w:r>
              <w:t xml:space="preserve"> als Tages-Kerzen. Kein Login.</w:t>
            </w:r>
          </w:p>
        </w:tc>
      </w:tr>
      <w:tr>
        <w:tc>
          <w:tcPr>
            <w:tcW w:type="dxa" w:w="2880"/>
          </w:tcPr>
          <w:p>
            <w:r/>
            <w:r>
              <w:t>EODHD-Wechselkurse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eodhd_loader.py</w:t>
            </w:r>
          </w:p>
        </w:tc>
        <w:tc>
          <w:tcPr>
            <w:tcW w:type="dxa" w:w="2880"/>
          </w:tcPr>
          <w:p>
            <w:r/>
            <w:r>
              <w:t xml:space="preserve">REST-Aufruf </w:t>
            </w:r>
            <w:r>
              <w:rPr>
                <w:rFonts w:ascii="Consolas" w:hAnsi="Consolas"/>
                <w:sz w:val="20"/>
              </w:rPr>
              <w:t>https://eodhd.com/api/eod/{Symbol}</w:t>
            </w:r>
            <w:r>
              <w:t xml:space="preserve"> mit </w:t>
            </w:r>
            <w:r>
              <w:rPr>
                <w:rFonts w:ascii="Consolas" w:hAnsi="Consolas"/>
                <w:sz w:val="20"/>
              </w:rPr>
              <w:t>period=d</w:t>
            </w:r>
            <w:r>
              <w:t xml:space="preserve"> (täglich); Symbole </w:t>
            </w:r>
            <w:r>
              <w:rPr>
                <w:rFonts w:ascii="Consolas" w:hAnsi="Consolas"/>
                <w:sz w:val="20"/>
              </w:rPr>
              <w:t>EURUSD.FOREX</w:t>
            </w:r>
            <w:r>
              <w:t xml:space="preserve"> usw. API-Schlüssel aus </w:t>
            </w:r>
            <w:r>
              <w:rPr>
                <w:rFonts w:ascii="Consolas" w:hAnsi="Consolas"/>
                <w:sz w:val="20"/>
              </w:rPr>
              <w:t>.env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EODHD-Nachrichten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eodhd_news_loader.py</w:t>
            </w:r>
          </w:p>
        </w:tc>
        <w:tc>
          <w:tcPr>
            <w:tcW w:type="dxa" w:w="2880"/>
          </w:tcPr>
          <w:p>
            <w:r/>
            <w:r>
              <w:t xml:space="preserve">REST-Aufruf </w:t>
            </w:r>
            <w:r>
              <w:rPr>
                <w:rFonts w:ascii="Consolas" w:hAnsi="Consolas"/>
                <w:sz w:val="20"/>
              </w:rPr>
              <w:t>https://eodhd.com/api/news</w:t>
            </w:r>
            <w:r>
              <w:t xml:space="preserve">; Blätter-Logik (*Pagination*) mit </w:t>
            </w:r>
            <w:r>
              <w:rPr>
                <w:rFonts w:ascii="Consolas" w:hAnsi="Consolas"/>
                <w:sz w:val="20"/>
              </w:rPr>
              <w:t>limit=1000</w:t>
            </w:r>
            <w:r>
              <w:t xml:space="preserve">, um die Zahl der Aufrufe klein zu halten. Speichert Roh-JSON </w:t>
            </w:r>
            <w:r>
              <w:rPr>
                <w:b/>
              </w:rPr>
              <w:t>und</w:t>
            </w:r>
            <w:r>
              <w:t xml:space="preserve"> verarbeitetes CSV.</w:t>
            </w:r>
          </w:p>
        </w:tc>
      </w:tr>
      <w:tr>
        <w:tc>
          <w:tcPr>
            <w:tcW w:type="dxa" w:w="2880"/>
          </w:tcPr>
          <w:p>
            <w:r/>
            <w:r>
              <w:t>Webscraping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webscraping_loader.py</w:t>
            </w:r>
          </w:p>
        </w:tc>
        <w:tc>
          <w:tcPr>
            <w:tcW w:type="dxa" w:w="2880"/>
          </w:tcPr>
          <w:p>
            <w:r/>
            <w:r>
              <w:t xml:space="preserve">RSS-Feeds und Reddit-JSON. Holt den Inhalt zuerst mit </w:t>
            </w:r>
            <w:r>
              <w:rPr>
                <w:rFonts w:ascii="Consolas" w:hAnsi="Consolas"/>
                <w:sz w:val="20"/>
              </w:rPr>
              <w:t>requests</w:t>
            </w:r>
            <w:r>
              <w:t xml:space="preserve">, übergibt den Text dann an </w:t>
            </w:r>
            <w:r>
              <w:rPr>
                <w:rFonts w:ascii="Consolas" w:hAnsi="Consolas"/>
                <w:sz w:val="20"/>
              </w:rPr>
              <w:t>feedparser</w:t>
            </w:r>
            <w:r>
              <w:t xml:space="preserve"> (siehe SSL-Hinweis unten).</w:t>
            </w:r>
          </w:p>
        </w:tc>
      </w:tr>
      <w:tr>
        <w:tc>
          <w:tcPr>
            <w:tcW w:type="dxa" w:w="2880"/>
          </w:tcPr>
          <w:p>
            <w:r/>
            <w:r>
              <w:t>Ölpreise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oil_loader.py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yfinance</w:t>
            </w:r>
            <w:r>
              <w:t xml:space="preserve"> lädt </w:t>
            </w:r>
            <w:r>
              <w:rPr>
                <w:rFonts w:ascii="Consolas" w:hAnsi="Consolas"/>
                <w:sz w:val="20"/>
              </w:rPr>
              <w:t>CL=F</w:t>
            </w:r>
            <w:r>
              <w:t xml:space="preserve"> (WTI) und </w:t>
            </w:r>
            <w:r>
              <w:rPr>
                <w:rFonts w:ascii="Consolas" w:hAnsi="Consolas"/>
                <w:sz w:val="20"/>
              </w:rPr>
              <w:t>BZ=F</w:t>
            </w:r>
            <w:r>
              <w:t xml:space="preserve"> (Brent) als Tagesdaten.</w:t>
            </w:r>
          </w:p>
        </w:tc>
      </w:tr>
    </w:tbl>
    <w:p/>
    <w:p>
      <w:r>
        <w:rPr>
          <w:b/>
        </w:rPr>
        <w:t>Begriffe:</w:t>
      </w:r>
    </w:p>
    <w:p>
      <w:pPr>
        <w:pStyle w:val="ListBullet"/>
      </w:pPr>
      <w:r>
        <w:rPr>
          <w:b/>
        </w:rPr>
        <w:t>OHLC</w:t>
      </w:r>
      <w:r>
        <w:t xml:space="preserve"> = *Open, High, Low, Close* — Eröffnungs-, Höchst-, Tiefst- und Schlusskurs eines Tages (eine „Kerze").</w:t>
      </w:r>
    </w:p>
    <w:p>
      <w:pPr>
        <w:pStyle w:val="ListBullet"/>
      </w:pPr>
      <w:r>
        <w:rPr>
          <w:b/>
        </w:rPr>
        <w:t>JSON</w:t>
      </w:r>
      <w:r>
        <w:t xml:space="preserve"> = *JavaScript Object Notation*, ein verschachteltes Textformat; </w:t>
      </w:r>
      <w:r>
        <w:rPr>
          <w:b/>
        </w:rPr>
        <w:t>CSV</w:t>
      </w:r>
      <w:r>
        <w:t xml:space="preserve"> = *Comma-Separated Values*, eine flache Tabelle.</w:t>
      </w:r>
    </w:p>
    <w:p>
      <w:r>
        <w:rPr>
          <w:b/>
        </w:rPr>
        <w:t>Wichtige Lade-Details, die später relevant werden:</w:t>
      </w:r>
    </w:p>
    <w:p>
      <w:pPr>
        <w:pStyle w:val="ListBullet"/>
      </w:pPr>
      <w:r>
        <w:t xml:space="preserve">Die EODHD-Nachrichten kommen mit einem verschachtelten Sentiment-Objekt. Der Loader flacht es mit </w:t>
      </w:r>
      <w:r>
        <w:rPr>
          <w:rFonts w:ascii="Consolas" w:hAnsi="Consolas"/>
          <w:sz w:val="20"/>
        </w:rPr>
        <w:t>pandas.json_normalize()</w:t>
      </w:r>
      <w:r>
        <w:t xml:space="preserve"> in eigene Spalten auf (</w:t>
      </w:r>
      <w:r>
        <w:rPr>
          <w:rFonts w:ascii="Consolas" w:hAnsi="Consolas"/>
          <w:sz w:val="20"/>
        </w:rPr>
        <w:t>polarity</w:t>
      </w:r>
      <w:r>
        <w:t xml:space="preserve">, </w:t>
      </w:r>
      <w:r>
        <w:rPr>
          <w:rFonts w:ascii="Consolas" w:hAnsi="Consolas"/>
          <w:sz w:val="20"/>
        </w:rPr>
        <w:t>neg</w:t>
      </w:r>
      <w:r>
        <w:t xml:space="preserve">, </w:t>
      </w:r>
      <w:r>
        <w:rPr>
          <w:rFonts w:ascii="Consolas" w:hAnsi="Consolas"/>
          <w:sz w:val="20"/>
        </w:rPr>
        <w:t>neu</w:t>
      </w:r>
      <w:r>
        <w:t xml:space="preserve">, </w:t>
      </w:r>
      <w:r>
        <w:rPr>
          <w:rFonts w:ascii="Consolas" w:hAnsi="Consolas"/>
          <w:sz w:val="20"/>
        </w:rPr>
        <w:t>pos</w:t>
      </w:r>
      <w:r>
        <w:t>). Artikel ohne Sentiment behalten den fehlenden Wert (</w:t>
      </w:r>
      <w:r>
        <w:rPr>
          <w:rFonts w:ascii="Consolas" w:hAnsi="Consolas"/>
          <w:sz w:val="20"/>
        </w:rPr>
        <w:t>NaN</w:t>
      </w:r>
      <w:r>
        <w:t xml:space="preserve">, siehe Kapitel 5.1) — sie werden </w:t>
      </w:r>
      <w:r>
        <w:rPr>
          <w:b/>
        </w:rPr>
        <w:t>nicht</w:t>
      </w:r>
      <w:r>
        <w:t xml:space="preserve"> gelöscht.</w:t>
      </w:r>
    </w:p>
    <w:p>
      <w:pPr>
        <w:pStyle w:val="ListBullet"/>
      </w:pPr>
      <w:r>
        <w:t>Beim Webscraping trat auf macOS ein Zertifikatsfehler auf (</w:t>
      </w:r>
      <w:r>
        <w:rPr>
          <w:rFonts w:ascii="Consolas" w:hAnsi="Consolas"/>
          <w:sz w:val="20"/>
        </w:rPr>
        <w:t>feedparser.parse(url)</w:t>
      </w:r>
      <w:r>
        <w:t xml:space="preserve"> schlug mit SSL-Fehler fehl). Lösung: den Feed-Inhalt erst mit </w:t>
      </w:r>
      <w:r>
        <w:rPr>
          <w:rFonts w:ascii="Consolas" w:hAnsi="Consolas"/>
          <w:sz w:val="20"/>
        </w:rPr>
        <w:t>requests</w:t>
      </w:r>
      <w:r>
        <w:t xml:space="preserve"> (das die Zertifikate von </w:t>
      </w:r>
      <w:r>
        <w:rPr>
          <w:rFonts w:ascii="Consolas" w:hAnsi="Consolas"/>
          <w:sz w:val="20"/>
        </w:rPr>
        <w:t>certifi</w:t>
      </w:r>
      <w:r>
        <w:t xml:space="preserve"> nutzt) holen und den Text an </w:t>
      </w:r>
      <w:r>
        <w:rPr>
          <w:rFonts w:ascii="Consolas" w:hAnsi="Consolas"/>
          <w:sz w:val="20"/>
        </w:rPr>
        <w:t>feedparser.parse(text)</w:t>
      </w:r>
      <w:r>
        <w:t xml:space="preserve"> geben. Dieser Befund ist ein typisches Beispiel für den iterativen Umgang mit Datenquellen: </w:t>
      </w:r>
      <w:r>
        <w:rPr>
          <w:b/>
        </w:rPr>
        <w:t>erkannt → Ursache benannt → behoben → dokumentiert.</w:t>
      </w:r>
    </w:p>
    <w:p>
      <w:r>
        <w:t xml:space="preserve">Der Reihenfolge-Befehl zum Neuladen steht in Kapitel 11. </w:t>
      </w:r>
      <w:r>
        <w:rPr>
          <w:b/>
        </w:rPr>
        <w:t>Achtung:</w:t>
      </w:r>
      <w:r>
        <w:t xml:space="preserve"> EODHD hat im kostenlosen Tarif ein Tageslimit (20 Aufrufe pro Tag, Nachrichten zählen 5 pro Symbol). Lade-Skripte deshalb nur bewusst ausführen.</w:t>
      </w:r>
    </w:p>
    <w:p>
      <w:pPr>
        <w:pStyle w:val="Heading2"/>
        <w:jc w:val="left"/>
      </w:pPr>
      <w:r>
        <w:t>5. Schritt 2 — Datenbereinigung und Qualitätsprüfung</w:t>
      </w:r>
    </w:p>
    <w:p>
      <w:r>
        <w:t>Dieser Schritt entscheidet, welche Lücken wir füllen, welche wir bewusst offen lassen, welche Duplikate wir entfernen — und er enthält den wichtigsten Qualitätsbefund des Projekts (Kapitel 5.3).</w:t>
      </w:r>
    </w:p>
    <w:p>
      <w:pPr>
        <w:pStyle w:val="Heading3"/>
        <w:jc w:val="left"/>
      </w:pPr>
      <w:r>
        <w:t>5.1 Umgang mit fehlenden Werten</w:t>
      </w:r>
    </w:p>
    <w:p>
      <w:r>
        <w:t xml:space="preserve">Leitprinzip: </w:t>
      </w:r>
      <w:r>
        <w:rPr>
          <w:b/>
        </w:rPr>
        <w:t>Nur dort auffüllen, wo die Lücke rein technisch entsteht — nicht dort, wo das Fehlen selbst eine Information ist.</w:t>
      </w:r>
    </w:p>
    <w:p>
      <w:r>
        <w:t xml:space="preserve">Ein fehlender Wert heisst in der Tabellen-Bibliothek </w:t>
      </w:r>
      <w:r>
        <w:rPr>
          <w:rFonts w:ascii="Consolas" w:hAnsi="Consolas"/>
          <w:sz w:val="20"/>
        </w:rPr>
        <w:t>pandas</w:t>
      </w:r>
      <w:r>
        <w:t xml:space="preserve"> </w:t>
      </w:r>
      <w:r>
        <w:rPr>
          <w:b/>
        </w:rPr>
        <w:t>`NaN`</w:t>
      </w:r>
      <w:r>
        <w:t xml:space="preserve"> (*Not a Number*).</w:t>
      </w:r>
    </w:p>
    <w:p>
      <w:r>
        <w:rPr>
          <w:b/>
        </w:rPr>
        <w:t>Wechselkurse — Wochenenden und Feiertage:</w:t>
      </w:r>
    </w:p>
    <w:p>
      <w:pPr>
        <w:pStyle w:val="ListBullet"/>
      </w:pPr>
      <w:r>
        <w:rPr>
          <w:b/>
        </w:rPr>
        <w:t>Samstag:</w:t>
      </w:r>
      <w:r>
        <w:t xml:space="preserve"> fehlt bei allen Quellen, weil der Devisenmarkt weltweit geschlossen ist. → nicht auffüllen, das ist erwartet.</w:t>
      </w:r>
    </w:p>
    <w:p>
      <w:pPr>
        <w:pStyle w:val="ListBullet"/>
      </w:pPr>
      <w:r>
        <w:rPr>
          <w:b/>
        </w:rPr>
        <w:t>Sonntag:</w:t>
      </w:r>
      <w:r>
        <w:t xml:space="preserve"> EODHD liefert Werte (Marktöffnung in Asien ab Sonntagabend), Yahoo und MetaTrader nicht. → vorhandene Sonntagswerte </w:t>
      </w:r>
      <w:r>
        <w:rPr>
          <w:b/>
        </w:rPr>
        <w:t>behalten</w:t>
      </w:r>
      <w:r>
        <w:t>, weil sie reale Marktdaten sind.</w:t>
      </w:r>
    </w:p>
    <w:p>
      <w:pPr>
        <w:pStyle w:val="ListBullet"/>
      </w:pPr>
      <w:r>
        <w:rPr>
          <w:b/>
        </w:rPr>
        <w:t>Feiertage</w:t>
      </w:r>
      <w:r>
        <w:t xml:space="preserve"> (z. B. Neujahr, Karfreitag): teils fehlend. → </w:t>
      </w:r>
      <w:r>
        <w:rPr>
          <w:b/>
        </w:rPr>
        <w:t>nicht</w:t>
      </w:r>
      <w:r>
        <w:t xml:space="preserve"> interpoliert (rechnerisch aufgefüllt), weil der Markt an diesem Tag den Wert nicht hergegeben hat. In der kombinierten Tabelle markiert die Spalte </w:t>
      </w:r>
      <w:r>
        <w:rPr>
          <w:rFonts w:ascii="Consolas" w:hAnsi="Consolas"/>
          <w:sz w:val="20"/>
        </w:rPr>
        <w:t>has_gap</w:t>
      </w:r>
      <w:r>
        <w:t>, dass an einem Tag eine Quelle fehlt.</w:t>
      </w:r>
    </w:p>
    <w:p>
      <w:r>
        <w:rPr>
          <w:b/>
        </w:rPr>
        <w:t>Warum keine pauschale Interpolation der Kurse?</w:t>
      </w:r>
      <w:r>
        <w:t xml:space="preserve"> *Interpolation* heisst, fehlende Werte aus den Nachbarwerten zu schätzen (z. B. linear). Für Kurse wäre das ein erfundener Handelstag. Wir bieten Interpolation deshalb nur als </w:t>
      </w:r>
      <w:r>
        <w:rPr>
          <w:b/>
        </w:rPr>
        <w:t>Anzeige-Option im Dashboard</w:t>
      </w:r>
      <w:r>
        <w:t xml:space="preserve"> an (Kapitel 7.4), die nichts in die Rohdaten zurückschreibt.</w:t>
      </w:r>
    </w:p>
    <w:p>
      <w:r>
        <w:rPr>
          <w:b/>
        </w:rPr>
        <w:t>Nachrichten-Sentiment — Tage ohne Artikel:</w:t>
      </w:r>
    </w:p>
    <w:p>
      <w:pPr>
        <w:pStyle w:val="ListBullet"/>
      </w:pPr>
      <w:r>
        <w:t xml:space="preserve">Liegt an einem Tag </w:t>
      </w:r>
      <w:r>
        <w:rPr>
          <w:b/>
        </w:rPr>
        <w:t>kein Artikel</w:t>
      </w:r>
      <w:r>
        <w:t xml:space="preserve"> vor (typisch an Wochenenden, Feiertagen, nachrichtenarmen Tagen), bleibt das Sentiment </w:t>
      </w:r>
      <w:r>
        <w:rPr>
          <w:b/>
        </w:rPr>
        <w:t>`NaN`</w:t>
      </w:r>
      <w:r>
        <w:t xml:space="preserve"> — und wird </w:t>
      </w:r>
      <w:r>
        <w:rPr>
          <w:b/>
        </w:rPr>
        <w:t>nirgends</w:t>
      </w:r>
      <w:r>
        <w:t xml:space="preserve"> aufgefüllt.</w:t>
      </w:r>
    </w:p>
    <w:p>
      <w:pPr>
        <w:pStyle w:val="ListBullet"/>
      </w:pPr>
      <w:r>
        <w:rPr>
          <w:b/>
        </w:rPr>
        <w:t>Begründung (Theorie-Bezug):</w:t>
      </w:r>
      <w:r>
        <w:t xml:space="preserve"> Die Vorlesung Woche 2 unterscheidet drei Arten fehlender Werte:</w:t>
      </w:r>
    </w:p>
    <w:p>
      <w:pPr>
        <w:pStyle w:val="ListBullet"/>
      </w:pPr>
      <w:r>
        <w:rPr>
          <w:b/>
        </w:rPr>
        <w:t>MCAR</w:t>
      </w:r>
      <w:r>
        <w:t xml:space="preserve"> (*Missing Completely At Random*) — rein zufällig fehlend.</w:t>
      </w:r>
    </w:p>
    <w:p>
      <w:pPr>
        <w:pStyle w:val="ListBullet"/>
      </w:pPr>
      <w:r>
        <w:rPr>
          <w:b/>
        </w:rPr>
        <w:t>MAR</w:t>
      </w:r>
      <w:r>
        <w:t xml:space="preserve"> (*Missing At Random*) — fehlend abhängig von *anderen* beobachteten Werten.</w:t>
      </w:r>
    </w:p>
    <w:p>
      <w:pPr>
        <w:pStyle w:val="ListBullet"/>
      </w:pPr>
      <w:r>
        <w:rPr>
          <w:b/>
        </w:rPr>
        <w:t>MNAR</w:t>
      </w:r>
      <w:r>
        <w:t xml:space="preserve"> (*Missing Not At Random*) — fehlend abhängig vom *fehlenden Wert selbst*.</w:t>
      </w:r>
    </w:p>
    <w:p>
      <w:r>
        <w:t xml:space="preserve">  Tage ohne Artikel sind </w:t>
      </w:r>
      <w:r>
        <w:rPr>
          <w:b/>
        </w:rPr>
        <w:t>MNAR</w:t>
      </w:r>
      <w:r>
        <w:t xml:space="preserve">: Ob ein Artikel existiert, hängt direkt davon ab, ob etwas berichtenswert passiert ist. „Kein Artikel" bedeutet inhaltlich </w:t>
      </w:r>
      <w:r>
        <w:rPr>
          <w:b/>
        </w:rPr>
        <w:t>nicht</w:t>
      </w:r>
      <w:r>
        <w:t xml:space="preserve"> „neutraler Tag mit Sentiment 0". Würde man die Lücke mit 0 oder mit dem Nachbarwert füllen, täuschte man eine Nachrichtenlage vor, die es nicht gab — eine strukturelle Verzerrung. Deshalb: bewusst </w:t>
      </w:r>
      <w:r>
        <w:rPr>
          <w:rFonts w:ascii="Consolas" w:hAnsi="Consolas"/>
          <w:sz w:val="20"/>
        </w:rPr>
        <w:t>NaN</w:t>
      </w:r>
      <w:r>
        <w:t xml:space="preserve"> lassen.</w:t>
      </w:r>
    </w:p>
    <w:p>
      <w:pPr>
        <w:pStyle w:val="ListBullet"/>
      </w:pPr>
      <w:r>
        <w:t xml:space="preserve">Bei der Aggregation auf Wochen/Monate ignoriert </w:t>
      </w:r>
      <w:r>
        <w:rPr>
          <w:rFonts w:ascii="Consolas" w:hAnsi="Consolas"/>
          <w:sz w:val="20"/>
        </w:rPr>
        <w:t>pandas</w:t>
      </w:r>
      <w:r>
        <w:t xml:space="preserve"> </w:t>
      </w:r>
      <w:r>
        <w:rPr>
          <w:rFonts w:ascii="Consolas" w:hAnsi="Consolas"/>
          <w:sz w:val="20"/>
        </w:rPr>
        <w:t>NaN</w:t>
      </w:r>
      <w:r>
        <w:t xml:space="preserve"> automatisch, d. h. eine Woche mit nur 2 statt 5 Nachrichtentagen wird trotzdem aggregiert — eben auf Basis der vorhandenen Tage.</w:t>
      </w:r>
    </w:p>
    <w:p>
      <w:r>
        <w:rPr>
          <w:b/>
        </w:rPr>
        <w:t>Sonderfall EUR/CHF-Nachrichten:</w:t>
      </w:r>
      <w:r>
        <w:t xml:space="preserve"> Die EODHD-Nachrichten-Abdeckung für EUR/CHF ist </w:t>
      </w:r>
      <w:r>
        <w:rPr>
          <w:b/>
        </w:rPr>
        <w:t>extrem dünn</w:t>
      </w:r>
      <w:r>
        <w:t xml:space="preserve"> (rund 13 Artikel im gesamten Zeitraum), weil dieses Paar international wenig Medienaufmerksamkeit bekommt. Wir führen für EUR/CHF deshalb </w:t>
      </w:r>
      <w:r>
        <w:rPr>
          <w:b/>
        </w:rPr>
        <w:t>keine</w:t>
      </w:r>
      <w:r>
        <w:t xml:space="preserve"> belastbare Sentiment-Korrelation durch und sagen das im Bericht offen.</w:t>
      </w:r>
    </w:p>
    <w:p>
      <w:pPr>
        <w:pStyle w:val="Heading3"/>
        <w:jc w:val="left"/>
      </w:pPr>
      <w:r>
        <w:t>5.2 Umgang mit Duplikaten</w:t>
      </w:r>
    </w:p>
    <w:p>
      <w:r>
        <w:rPr>
          <w:b/>
        </w:rPr>
        <w:t>Wechselkurse:</w:t>
      </w:r>
      <w:r>
        <w:t xml:space="preserve"> Doppelte Datums-Einträge je Quelle entfernen wir mit „erstes behalten" (</w:t>
      </w:r>
      <w:r>
        <w:rPr>
          <w:rFonts w:ascii="Consolas" w:hAnsi="Consolas"/>
          <w:sz w:val="20"/>
        </w:rPr>
        <w:t>keep="first"</w:t>
      </w:r>
      <w:r>
        <w:t xml:space="preserve">). Ursache sind meist zeitzonenbedingte Mehrfacheinträge. </w:t>
      </w:r>
      <w:r>
        <w:rPr>
          <w:b/>
        </w:rPr>
        <w:t>Inhaltliche</w:t>
      </w:r>
      <w:r>
        <w:t xml:space="preserve"> Duplikate (zufällig gleiche OHLC-Werte an verschiedenen Tagen) entfernen wir </w:t>
      </w:r>
      <w:r>
        <w:rPr>
          <w:b/>
        </w:rPr>
        <w:t>nicht</w:t>
      </w:r>
      <w:r>
        <w:t xml:space="preserve"> — die können in ruhigen Marktphasen echt sein.</w:t>
      </w:r>
    </w:p>
    <w:p>
      <w:r>
        <w:rPr>
          <w:b/>
        </w:rPr>
        <w:t>Nachrichten (Webscraping):</w:t>
      </w:r>
      <w:r>
        <w:t xml:space="preserve"> Derselbe Artikel taucht in aufeinanderfolgenden Scrape-Momentaufnahmen mehrfach auf. Wir deduplizieren auf der eindeutigen Adresse (</w:t>
      </w:r>
      <w:r>
        <w:rPr>
          <w:rFonts w:ascii="Consolas" w:hAnsi="Consolas"/>
          <w:sz w:val="20"/>
        </w:rPr>
        <w:t>link</w:t>
      </w:r>
      <w:r>
        <w:t>), nicht auf dem Titel — denn RSS-Feeds liefern denselben Artikel manchmal mit leicht abweichendem Titel.</w:t>
      </w:r>
    </w:p>
    <w:p>
      <w:r>
        <w:rPr>
          <w:b/>
        </w:rPr>
        <w:t>Reddit:</w:t>
      </w:r>
      <w:r>
        <w:t xml:space="preserve"> Ein Beitrag kann gleichzeitig in „hot" und „new" stehen. Der Loader entfernt solche Doppel direkt nach dem Scrapen (über </w:t>
      </w:r>
      <w:r>
        <w:rPr>
          <w:rFonts w:ascii="Consolas" w:hAnsi="Consolas"/>
          <w:sz w:val="20"/>
        </w:rPr>
        <w:t>link</w:t>
      </w:r>
      <w:r>
        <w:t>).</w:t>
      </w:r>
    </w:p>
    <w:p>
      <w:pPr>
        <w:pStyle w:val="Heading3"/>
        <w:jc w:val="left"/>
      </w:pPr>
      <w:r>
        <w:t>5.3 Qualitätsprüfung über Quellen hinweg — der zentrale Befund</w:t>
      </w:r>
    </w:p>
    <w:p>
      <w:r>
        <w:t xml:space="preserve">Mehrere Quellen sind nur dann ein Gewinn, wenn man sie </w:t>
      </w:r>
      <w:r>
        <w:rPr>
          <w:b/>
        </w:rPr>
        <w:t>gegeneinander prüft</w:t>
      </w:r>
      <w:r>
        <w:t>. Wir haben einen einfachen, aber wirkungsvollen Test gemacht:</w:t>
      </w:r>
    </w:p>
    <w:p>
      <w:pPr>
        <w:ind w:left="283"/>
      </w:pPr>
      <w:r>
        <w:rPr>
          <w:i/>
        </w:rPr>
        <w:t>**Sanity-Check:** Zwei Anbieter desselben Wechselkurses müssen sich auf **Tagesrenditen** fast perfekt ähneln (Korrelation nahe 1.0). Tun sie das nicht, stimmt etwas mit der Ausrichtung oder den Werten nicht.</w:t>
      </w:r>
    </w:p>
    <w:p>
      <w:r>
        <w:t>Das Ergebnis war alarmierend: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Paar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Tagesrendite-Korrelation Yahoo ↔ EODHD (gleicher Tag)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mittlere Tagesdifferenz</w:t>
            </w:r>
          </w:p>
        </w:tc>
      </w:tr>
      <w:tr>
        <w:tc>
          <w:tcPr>
            <w:tcW w:type="dxa" w:w="2880"/>
          </w:tcPr>
          <w:p>
            <w:r/>
            <w:r>
              <w:t>EUR/CHF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0.92</w:t>
            </w:r>
            <w:r>
              <w:t xml:space="preserve"> (in Ordnung)</w:t>
            </w:r>
          </w:p>
        </w:tc>
        <w:tc>
          <w:tcPr>
            <w:tcW w:type="dxa" w:w="2880"/>
          </w:tcPr>
          <w:p>
            <w:r/>
            <w:r>
              <w:t>~2 Pips</w:t>
            </w:r>
          </w:p>
        </w:tc>
      </w:tr>
      <w:tr>
        <w:tc>
          <w:tcPr>
            <w:tcW w:type="dxa" w:w="2880"/>
          </w:tcPr>
          <w:p>
            <w:r/>
            <w:r>
              <w:t>EUR/USD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0.03</w:t>
            </w:r>
            <w:r>
              <w:t xml:space="preserve"> (kaputt)</w:t>
            </w:r>
          </w:p>
        </w:tc>
        <w:tc>
          <w:tcPr>
            <w:tcW w:type="dxa" w:w="2880"/>
          </w:tcPr>
          <w:p>
            <w:r/>
            <w:r>
              <w:t>~42 Pips</w:t>
            </w:r>
          </w:p>
        </w:tc>
      </w:tr>
      <w:tr>
        <w:tc>
          <w:tcPr>
            <w:tcW w:type="dxa" w:w="2880"/>
          </w:tcPr>
          <w:p>
            <w:r/>
            <w:r>
              <w:t>GBP/USD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0.03</w:t>
            </w:r>
            <w:r>
              <w:t xml:space="preserve"> (kaputt)</w:t>
            </w:r>
          </w:p>
        </w:tc>
        <w:tc>
          <w:tcPr>
            <w:tcW w:type="dxa" w:w="2880"/>
          </w:tcPr>
          <w:p>
            <w:r/>
            <w:r>
              <w:t>~50 Pips</w:t>
            </w:r>
          </w:p>
        </w:tc>
      </w:tr>
    </w:tbl>
    <w:p/>
    <w:p>
      <w:r>
        <w:t>Ein *Pip* ist die kleinste übliche Kursbewegung (vierte Nachkommastelle). Zwei echte EUR/USD-Feeds dürften sich am selben Tag niemals um 42 Pips unterscheiden und müssten auf Renditen ~0.99 korrelieren — nicht 0.03.</w:t>
      </w:r>
    </w:p>
    <w:p>
      <w:r>
        <w:rPr>
          <w:b/>
        </w:rPr>
        <w:t>Diagnose:</w:t>
      </w:r>
      <w:r>
        <w:t xml:space="preserve"> Verschiebt man die EODHD-Reihe um </w:t>
      </w:r>
      <w:r>
        <w:rPr>
          <w:b/>
        </w:rPr>
        <w:t>genau einen Kalendertag</w:t>
      </w:r>
      <w:r>
        <w:t xml:space="preserve">, springt die Korrelation auf 0.66–0.99. Das heisst: Die EODHD-Tagesreihen waren für EUR/USD und GBP/USD </w:t>
      </w:r>
      <w:r>
        <w:rPr>
          <w:b/>
        </w:rPr>
        <w:t>um einen Tag gegenüber Yahoo verschoben</w:t>
      </w:r>
      <w:r>
        <w:t xml:space="preserve"> (für EUR/CHF nicht).</w:t>
      </w:r>
    </w:p>
    <w:p>
      <w:r>
        <w:rPr>
          <w:b/>
        </w:rPr>
        <w:t>Ursache:</w:t>
      </w:r>
      <w:r>
        <w:t xml:space="preserve"> Zwei Konventionsunterschiede treffen zusammen:</w:t>
      </w:r>
    </w:p>
    <w:p>
      <w:pPr>
        <w:pStyle w:val="ListNumber"/>
      </w:pPr>
      <w:r>
        <w:rPr>
          <w:b/>
        </w:rPr>
        <w:t>Yahoo</w:t>
      </w:r>
      <w:r>
        <w:t xml:space="preserve"> stempelt seine Tagesbalken gemischt auf </w:t>
      </w:r>
      <w:r>
        <w:rPr>
          <w:rFonts w:ascii="Consolas" w:hAnsi="Consolas"/>
          <w:sz w:val="20"/>
        </w:rPr>
        <w:t>23:00</w:t>
      </w:r>
      <w:r>
        <w:t xml:space="preserve"> oder </w:t>
      </w:r>
      <w:r>
        <w:rPr>
          <w:rFonts w:ascii="Consolas" w:hAnsi="Consolas"/>
          <w:sz w:val="20"/>
        </w:rPr>
        <w:t>00:00</w:t>
      </w:r>
      <w:r>
        <w:t xml:space="preserve"> UTC (*Coordinated Universal Time*, die koordinierte Weltzeit). Das ist ein bekanntes Sommerzeit-Artefakt der </w:t>
      </w:r>
      <w:r>
        <w:rPr>
          <w:rFonts w:ascii="Consolas" w:hAnsi="Consolas"/>
          <w:sz w:val="20"/>
        </w:rPr>
        <w:t>yfinance</w:t>
      </w:r>
      <w:r>
        <w:t>-Bibliothek: derselbe Handelstag erscheint mal als „Sonntag 23:00", mal als „Montag 00:00".</w:t>
      </w:r>
    </w:p>
    <w:p>
      <w:pPr>
        <w:pStyle w:val="ListNumber"/>
      </w:pPr>
      <w:r>
        <w:rPr>
          <w:b/>
        </w:rPr>
        <w:t>EODHD</w:t>
      </w:r>
      <w:r>
        <w:t xml:space="preserve"> führt den Sonntags-Eröffnungsbalken und labelt ihn je nach Paar anders.</w:t>
      </w:r>
    </w:p>
    <w:p>
      <w:r>
        <w:t>In Summe ist die EODHD-Reihe bei zwei Paaren um einen Tag versetzt.</w:t>
      </w:r>
    </w:p>
    <w:p>
      <w:r>
        <w:rPr>
          <w:b/>
        </w:rPr>
        <w:t>Warum das gefährlich war:</w:t>
      </w:r>
      <w:r>
        <w:t xml:space="preserve"> Unsere Analyse mittelt die Quellen pro Tag (Kapitel 7.3). Mittelt man zwei um einen Tag versetzte Reihen, mischt man </w:t>
      </w:r>
      <w:r>
        <w:rPr>
          <w:b/>
        </w:rPr>
        <w:t>zwei verschiedene Markttage</w:t>
      </w:r>
      <w:r>
        <w:t xml:space="preserve"> zu einem Wert — die resultierenden Renditen sind teils Unsinn. Genau auf diesen Renditen beruht aber die Lead/Lag-Analyse.</w:t>
      </w:r>
    </w:p>
    <w:p>
      <w:r>
        <w:rPr>
          <w:b/>
        </w:rPr>
        <w:t>Wichtige Einordnung (Niveau der Differenz):</w:t>
      </w:r>
      <w:r>
        <w:t xml:space="preserve"> Dass sich Quellen *etwas* unterscheiden, ist bei Forex </w:t>
      </w:r>
      <w:r>
        <w:rPr>
          <w:b/>
        </w:rPr>
        <w:t>normal und erwartet</w:t>
      </w:r>
      <w:r>
        <w:t xml:space="preserve"> — der Devisenmarkt ist dezentral (*over-the-counter*), es gibt keinen einen „offiziellen" Kurs; jeder Handelsplatz quotiert minimal anders. Genau dafür ist ein </w:t>
      </w:r>
      <w:r>
        <w:rPr>
          <w:b/>
        </w:rPr>
        <w:t>Mittelwert</w:t>
      </w:r>
      <w:r>
        <w:t xml:space="preserve"> das richtige Werkzeug. Der Punkt ist die </w:t>
      </w:r>
      <w:r>
        <w:rPr>
          <w:b/>
        </w:rPr>
        <w:t>Grössenordnung</w:t>
      </w:r>
      <w:r>
        <w:t xml:space="preserve">: EUR/CHF unterscheidet sich um ~2 Pips (echte Anbieter-Streuung), EUR/USD aber um ~42 Pips — das </w:t>
      </w:r>
      <w:r>
        <w:rPr>
          <w:b/>
        </w:rPr>
        <w:t>20-Fache</w:t>
      </w:r>
      <w:r>
        <w:t xml:space="preserve">. So weit driften zwei echte Feeds nicht auseinander; das war ein </w:t>
      </w:r>
      <w:r>
        <w:rPr>
          <w:b/>
        </w:rPr>
        <w:t>Datierungsfehler</w:t>
      </w:r>
      <w:r>
        <w:t>, kein Anbieterrauschen. Nach Ausrichtung schrumpft die Differenz auf ~12 bzw. ~1 Pip — also auf dasselbe kleine Niveau wie EUR/CHF.</w:t>
      </w:r>
    </w:p>
    <w:p>
      <w:r>
        <w:rPr>
          <w:b/>
        </w:rPr>
        <w:t>Die Behebung (Kapitel 6.2):</w:t>
      </w:r>
      <w:r>
        <w:t xml:space="preserve"> Wir richten jede Nicht-Yahoo-Quelle </w:t>
      </w:r>
      <w:r>
        <w:rPr>
          <w:b/>
        </w:rPr>
        <w:t>datengetrieben</w:t>
      </w:r>
      <w:r>
        <w:t xml:space="preserve"> an Yahoo aus (wir wählen den Versatz, der die Rendite-Korrelation maximiert), </w:t>
      </w:r>
      <w:r>
        <w:rPr>
          <w:b/>
        </w:rPr>
        <w:t>bevor</w:t>
      </w:r>
      <w:r>
        <w:t xml:space="preserve"> wir mitteln. Der Mittelwert bleibt also unser Werkzeug — er wird nur auf korrekt ausgerichtete Reihen angewandt. Als Nebenbefund war auch MetaTrader bei EUR/USD um einen Tag versetzt; nach Ausrichtung korreliert es mit 0.98 zu Yahoo (starke gegenseitige Bestätigung).</w:t>
      </w:r>
    </w:p>
    <w:p>
      <w:pPr>
        <w:ind w:left="283"/>
      </w:pPr>
      <w:r>
        <w:rPr>
          <w:i/>
        </w:rPr>
        <w:t>**Lehrwert:** Dieser Befund ist das Herzstück unserer Qualitätsprüfung. Erst der Cross-Check zwischen Quellen hat einen Fehler sichtbar gemacht, den keine einzelne Quelle je gezeigt hätte. Genau dafür haben wir mehrere Quellen integriert.</w:t>
      </w:r>
    </w:p>
    <w:p>
      <w:pPr>
        <w:pStyle w:val="Heading2"/>
        <w:jc w:val="left"/>
      </w:pPr>
      <w:r>
        <w:t>6. Schritt 3 — Harmonisierung</w:t>
      </w:r>
    </w:p>
    <w:p>
      <w:r>
        <w:t xml:space="preserve">Ziel: Alle Quellen so aufbereiten, dass sie </w:t>
      </w:r>
      <w:r>
        <w:rPr>
          <w:b/>
        </w:rPr>
        <w:t>dasselbe Schema</w:t>
      </w:r>
      <w:r>
        <w:t xml:space="preserve"> und </w:t>
      </w:r>
      <w:r>
        <w:rPr>
          <w:b/>
        </w:rPr>
        <w:t>denselben Markttag</w:t>
      </w:r>
      <w:r>
        <w:t xml:space="preserve"> sprechen, damit ein Vergleich überhaupt möglich ist.</w:t>
      </w:r>
    </w:p>
    <w:p>
      <w:pPr>
        <w:pStyle w:val="Heading3"/>
        <w:jc w:val="left"/>
      </w:pPr>
      <w:r>
        <w:t>6.1 Die drei Dimensionen der Heterogenität</w:t>
      </w:r>
    </w:p>
    <w:p>
      <w:r>
        <w:t>Die Vorlesung Woche 4 unterscheidet drei Ebenen, an denen sich Quellen unterscheiden. Wir richten uns explizit daran aus: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Dimension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Ausgangslage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Unsere Harmonisierung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Syntax</w:t>
            </w:r>
            <w:r>
              <w:t xml:space="preserve"> (Format)</w:t>
            </w:r>
          </w:p>
        </w:tc>
        <w:tc>
          <w:tcPr>
            <w:tcW w:type="dxa" w:w="2880"/>
          </w:tcPr>
          <w:p>
            <w:r/>
            <w:r>
              <w:t>CSV, JSON, Tab-getrennt (MetaTrader)</w:t>
            </w:r>
          </w:p>
        </w:tc>
        <w:tc>
          <w:tcPr>
            <w:tcW w:type="dxa" w:w="2880"/>
          </w:tcPr>
          <w:p>
            <w:r/>
            <w:r>
              <w:t xml:space="preserve">alles über </w:t>
            </w:r>
            <w:r>
              <w:rPr>
                <w:rFonts w:ascii="Consolas" w:hAnsi="Consolas"/>
                <w:sz w:val="20"/>
              </w:rPr>
              <w:t>pandas</w:t>
            </w:r>
            <w:r>
              <w:t xml:space="preserve"> in einheitliche Tabellen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Syntax</w:t>
            </w:r>
            <w:r>
              <w:t xml:space="preserve"> (Zeitzone)</w:t>
            </w:r>
          </w:p>
        </w:tc>
        <w:tc>
          <w:tcPr>
            <w:tcW w:type="dxa" w:w="2880"/>
          </w:tcPr>
          <w:p>
            <w:r/>
            <w:r>
              <w:t>Yahoo gemischt UTC, EODHD ortsbezogen, MetaTrader Broker-Zeit</w:t>
            </w:r>
          </w:p>
        </w:tc>
        <w:tc>
          <w:tcPr>
            <w:tcW w:type="dxa" w:w="2880"/>
          </w:tcPr>
          <w:p>
            <w:r/>
            <w:r>
              <w:t>alles auf zeitzonenlose Tagesebene gebracht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Syntax</w:t>
            </w:r>
            <w:r>
              <w:t xml:space="preserve"> (Datumsformat)</w:t>
            </w:r>
          </w:p>
        </w:tc>
        <w:tc>
          <w:tcPr>
            <w:tcW w:type="dxa" w:w="2880"/>
          </w:tcPr>
          <w:p>
            <w:r/>
            <w:r>
              <w:t xml:space="preserve">ISO-Strings, </w:t>
            </w:r>
            <w:r>
              <w:rPr>
                <w:rFonts w:ascii="Consolas" w:hAnsi="Consolas"/>
                <w:sz w:val="20"/>
              </w:rPr>
              <w:t>YYYY.MM.DD</w:t>
            </w:r>
            <w:r>
              <w:t xml:space="preserve"> (MetaTrader), Epochensekunden (Reddit)</w:t>
            </w:r>
          </w:p>
        </w:tc>
        <w:tc>
          <w:tcPr>
            <w:tcW w:type="dxa" w:w="2880"/>
          </w:tcPr>
          <w:p>
            <w:r/>
            <w:r>
              <w:t xml:space="preserve">mit </w:t>
            </w:r>
            <w:r>
              <w:rPr>
                <w:rFonts w:ascii="Consolas" w:hAnsi="Consolas"/>
                <w:sz w:val="20"/>
              </w:rPr>
              <w:t>pandas.to_datetime(...)</w:t>
            </w:r>
            <w:r>
              <w:t xml:space="preserve"> in echte Zeitstempel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Struktur</w:t>
            </w:r>
            <w:r>
              <w:t xml:space="preserve"> (Spaltennamen)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Open/High/Low/Close</w:t>
            </w:r>
            <w:r>
              <w:t xml:space="preserve"> (Yahoo), </w:t>
            </w:r>
            <w:r>
              <w:rPr>
                <w:rFonts w:ascii="Consolas" w:hAnsi="Consolas"/>
                <w:sz w:val="20"/>
              </w:rPr>
              <w:t>open/...</w:t>
            </w:r>
            <w:r>
              <w:t xml:space="preserve"> (EODHD), </w:t>
            </w:r>
            <w:r>
              <w:rPr>
                <w:rFonts w:ascii="Consolas" w:hAnsi="Consolas"/>
                <w:sz w:val="20"/>
              </w:rPr>
              <w:t>&lt;OPEN&gt;/...</w:t>
            </w:r>
            <w:r>
              <w:t xml:space="preserve"> (MetaTrader)</w:t>
            </w:r>
          </w:p>
        </w:tc>
        <w:tc>
          <w:tcPr>
            <w:tcW w:type="dxa" w:w="2880"/>
          </w:tcPr>
          <w:p>
            <w:r/>
            <w:r>
              <w:t xml:space="preserve">alles auf kleingeschriebene </w:t>
            </w:r>
            <w:r>
              <w:rPr>
                <w:rFonts w:ascii="Consolas" w:hAnsi="Consolas"/>
                <w:sz w:val="20"/>
              </w:rPr>
              <w:t>open/high/low/close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Struktur</w:t>
            </w:r>
            <w:r>
              <w:t xml:space="preserve"> (Nachrichtenfelder)</w:t>
            </w:r>
          </w:p>
        </w:tc>
        <w:tc>
          <w:tcPr>
            <w:tcW w:type="dxa" w:w="2880"/>
          </w:tcPr>
          <w:p>
            <w:r/>
            <w:r>
              <w:t>Sentiment als verschachteltes Objekt (EODHD) vs. kein Sentiment (RSS)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json_normalize()</w:t>
            </w:r>
            <w:r>
              <w:t xml:space="preserve"> flacht das EODHD-Objekt in Spalten auf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Semantik</w:t>
            </w:r>
            <w:r>
              <w:t xml:space="preserve"> (Bedeutung)</w:t>
            </w:r>
          </w:p>
        </w:tc>
        <w:tc>
          <w:tcPr>
            <w:tcW w:type="dxa" w:w="2880"/>
          </w:tcPr>
          <w:p>
            <w:r/>
            <w:r>
              <w:t xml:space="preserve">Schreibweise der Paare: </w:t>
            </w:r>
            <w:r>
              <w:rPr>
                <w:rFonts w:ascii="Consolas" w:hAnsi="Consolas"/>
                <w:sz w:val="20"/>
              </w:rPr>
              <w:t>EURUSD=X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EURUSD.FOREX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EURUSD</w:t>
            </w:r>
          </w:p>
        </w:tc>
        <w:tc>
          <w:tcPr>
            <w:tcW w:type="dxa" w:w="2880"/>
          </w:tcPr>
          <w:p>
            <w:r/>
            <w:r>
              <w:t xml:space="preserve">intern einheitlich </w:t>
            </w:r>
            <w:r>
              <w:rPr>
                <w:rFonts w:ascii="Consolas" w:hAnsi="Consolas"/>
                <w:sz w:val="20"/>
              </w:rPr>
              <w:t>EUR_USD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EUR_CHF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GBP_USD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Semantik</w:t>
            </w:r>
            <w:r>
              <w:t xml:space="preserve"> (Markttag)</w:t>
            </w:r>
          </w:p>
        </w:tc>
        <w:tc>
          <w:tcPr>
            <w:tcW w:type="dxa" w:w="2880"/>
          </w:tcPr>
          <w:p>
            <w:r/>
            <w:r>
              <w:t>gleicher Kalendertag ≠ gleicher Markttag (Kapitel 5.3)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datengetriebene Datums-Ausrichtung</w:t>
            </w:r>
            <w:r>
              <w:t xml:space="preserve"> (siehe 6.2)</w:t>
            </w:r>
          </w:p>
        </w:tc>
      </w:tr>
    </w:tbl>
    <w:p/>
    <w:p>
      <w:r>
        <w:t xml:space="preserve">Diese Harmonisierung ist </w:t>
      </w:r>
      <w:r>
        <w:rPr>
          <w:b/>
        </w:rPr>
        <w:t>retrospektiv</w:t>
      </w:r>
      <w:r>
        <w:t xml:space="preserve"> (sie passiert *nach* der Erhebung, weil wir die Quellsysteme nicht kontrollieren) — laut Vorlesung die häufigste Form in der Praxis, die aber die erreichbare Datenqualität begrenzt.</w:t>
      </w:r>
    </w:p>
    <w:p>
      <w:pPr>
        <w:pStyle w:val="Heading3"/>
        <w:jc w:val="left"/>
      </w:pPr>
      <w:r>
        <w:t>6.2 Die Datums-Ausrichtung (Semantik des Markttags)</w:t>
      </w:r>
    </w:p>
    <w:p>
      <w:r>
        <w:t xml:space="preserve">Die letzte Zeile der Tabelle ist der entscheidende Schritt aus Kapitel 5.3. Das Skript </w:t>
      </w:r>
      <w:r>
        <w:rPr>
          <w:rFonts w:ascii="Consolas" w:hAnsi="Consolas"/>
          <w:sz w:val="20"/>
        </w:rPr>
        <w:t>scripts/regenerate_forex_combined.py</w:t>
      </w:r>
      <w:r>
        <w:t xml:space="preserve"> macht ihn so:</w:t>
      </w:r>
    </w:p>
    <w:p>
      <w:pPr>
        <w:pStyle w:val="ListNumber"/>
      </w:pPr>
      <w:r>
        <w:rPr>
          <w:b/>
        </w:rPr>
        <w:t>Referenz festlegen:</w:t>
      </w:r>
      <w:r>
        <w:t xml:space="preserve"> Yahoo dient als Zeit-Referenz (seine </w:t>
      </w:r>
      <w:r>
        <w:rPr>
          <w:rFonts w:ascii="Consolas" w:hAnsi="Consolas"/>
          <w:sz w:val="20"/>
        </w:rPr>
        <w:t>23:00/00:00</w:t>
      </w:r>
      <w:r>
        <w:t xml:space="preserve">-Stempel werden mit </w:t>
      </w:r>
      <w:r>
        <w:rPr>
          <w:rFonts w:ascii="Consolas" w:hAnsi="Consolas"/>
          <w:sz w:val="20"/>
        </w:rPr>
        <w:t>ceil("D")</w:t>
      </w:r>
      <w:r>
        <w:t xml:space="preserve"> sauber auf den nächsten Tag gerundet, was die Mischung korrekt auflöst).</w:t>
      </w:r>
    </w:p>
    <w:p>
      <w:pPr>
        <w:pStyle w:val="ListNumber"/>
      </w:pPr>
      <w:r>
        <w:rPr>
          <w:b/>
        </w:rPr>
        <w:t>Versatz messen:</w:t>
      </w:r>
      <w:r>
        <w:t xml:space="preserve"> Für jede andere Quelle (EODHD, MetaTrader) wird der Datums-Versatz von −2 bis +2 Tagen gesucht, der die </w:t>
      </w:r>
      <w:r>
        <w:rPr>
          <w:b/>
        </w:rPr>
        <w:t>Tagesrendite-Korrelation</w:t>
      </w:r>
      <w:r>
        <w:t xml:space="preserve"> mit Yahoo maximiert.</w:t>
      </w:r>
    </w:p>
    <w:p>
      <w:pPr>
        <w:pStyle w:val="ListNumber"/>
      </w:pPr>
      <w:r>
        <w:rPr>
          <w:b/>
        </w:rPr>
        <w:t>Schutz gegen Schein-Verschiebungen:</w:t>
      </w:r>
      <w:r>
        <w:t xml:space="preserve"> Ein Versatz wird nur angewandt, wenn er die Korrelation um mindestens 0.15 verbessert. So bleibt EUR/CHF (bereits ausgerichtet) unangetastet, während EUR/USD und GBP/USD um +1 Tag korrigiert werden.</w:t>
      </w:r>
    </w:p>
    <w:p>
      <w:pPr>
        <w:pStyle w:val="ListNumber"/>
      </w:pPr>
      <w:r>
        <w:rPr>
          <w:b/>
        </w:rPr>
        <w:t>Protokollierung:</w:t>
      </w:r>
      <w:r>
        <w:t xml:space="preserve"> Das Skript gibt den gewählten Versatz und die Korrelation davor/danach aus — die Entscheidung ist also nachvollziehbar.</w:t>
      </w:r>
    </w:p>
    <w:p>
      <w:r>
        <w:t xml:space="preserve">Erst </w:t>
      </w:r>
      <w:r>
        <w:rPr>
          <w:b/>
        </w:rPr>
        <w:t>nach</w:t>
      </w:r>
      <w:r>
        <w:t xml:space="preserve"> dieser Ausrichtung werden die Quellen kombiniert und gemittelt.</w:t>
      </w:r>
    </w:p>
    <w:p>
      <w:r>
        <w:t xml:space="preserve">Der harmonisierte Wechselkurs-Datensatz liegt in </w:t>
      </w:r>
      <w:r>
        <w:rPr>
          <w:rFonts w:ascii="Consolas" w:hAnsi="Consolas"/>
          <w:sz w:val="20"/>
        </w:rPr>
        <w:t>data/processed/forex/forex_alle_quellen_kombiniert.csv</w:t>
      </w:r>
      <w:r>
        <w:t xml:space="preserve"> im </w:t>
      </w:r>
      <w:r>
        <w:rPr>
          <w:b/>
        </w:rPr>
        <w:t>Langformat</w:t>
      </w:r>
      <w:r>
        <w:t xml:space="preserve">: eine Zeile pro Tag-und-Paar, mit Spalten </w:t>
      </w:r>
      <w:r>
        <w:rPr>
          <w:rFonts w:ascii="Consolas" w:hAnsi="Consolas"/>
          <w:sz w:val="20"/>
        </w:rPr>
        <w:t>yahoo_close</w:t>
      </w:r>
      <w:r>
        <w:t xml:space="preserve">, </w:t>
      </w:r>
      <w:r>
        <w:rPr>
          <w:rFonts w:ascii="Consolas" w:hAnsi="Consolas"/>
          <w:sz w:val="20"/>
        </w:rPr>
        <w:t>eodhd_close</w:t>
      </w:r>
      <w:r>
        <w:t xml:space="preserve">, </w:t>
      </w:r>
      <w:r>
        <w:rPr>
          <w:rFonts w:ascii="Consolas" w:hAnsi="Consolas"/>
          <w:sz w:val="20"/>
        </w:rPr>
        <w:t>metatrader_close</w:t>
      </w:r>
      <w:r>
        <w:t xml:space="preserve"> nebeneinander, plus </w:t>
      </w:r>
      <w:r>
        <w:rPr>
          <w:rFonts w:ascii="Consolas" w:hAnsi="Consolas"/>
          <w:sz w:val="20"/>
        </w:rPr>
        <w:t>weekday</w:t>
      </w:r>
      <w:r>
        <w:t xml:space="preserve">, </w:t>
      </w:r>
      <w:r>
        <w:rPr>
          <w:rFonts w:ascii="Consolas" w:hAnsi="Consolas"/>
          <w:sz w:val="20"/>
        </w:rPr>
        <w:t>is_weekend</w:t>
      </w:r>
      <w:r>
        <w:t xml:space="preserve">, </w:t>
      </w:r>
      <w:r>
        <w:rPr>
          <w:rFonts w:ascii="Consolas" w:hAnsi="Consolas"/>
          <w:sz w:val="20"/>
        </w:rPr>
        <w:t>n_sources</w:t>
      </w:r>
      <w:r>
        <w:t xml:space="preserve"> (wie viele Quellen an dem Tag einen Wert haben) und </w:t>
      </w:r>
      <w:r>
        <w:rPr>
          <w:rFonts w:ascii="Consolas" w:hAnsi="Consolas"/>
          <w:sz w:val="20"/>
        </w:rPr>
        <w:t>has_gap</w:t>
      </w:r>
      <w:r>
        <w:t>.</w:t>
      </w:r>
    </w:p>
    <w:p>
      <w:pPr>
        <w:pStyle w:val="Heading2"/>
        <w:jc w:val="left"/>
      </w:pPr>
      <w:r>
        <w:t>7. Schritt 4 — Transformation und Feature Engineering</w:t>
      </w:r>
    </w:p>
    <w:p>
      <w:r>
        <w:t>Hier bauen wir aus den bereinigten Rohdaten die Grössen, mit denen die Analyse rechnet.</w:t>
      </w:r>
    </w:p>
    <w:p>
      <w:pPr>
        <w:pStyle w:val="Heading3"/>
        <w:jc w:val="left"/>
      </w:pPr>
      <w:r>
        <w:t>7.1 Tages-Sentiment aus vielen Artikeln — warum Median statt Mittelwert</w:t>
      </w:r>
    </w:p>
    <w:p>
      <w:r>
        <w:t xml:space="preserve">An einem Tag gibt es oft mehrere Artikel mit je einem Sentiment-Wert. Wir fassen sie pro Tag zum </w:t>
      </w:r>
      <w:r>
        <w:rPr>
          <w:b/>
        </w:rPr>
        <w:t>Median</w:t>
      </w:r>
      <w:r>
        <w:t xml:space="preserve"> zusammen (der mittlere Wert), nicht zum arithmetischen Mittel.</w:t>
      </w:r>
    </w:p>
    <w:p>
      <w:r>
        <w:rPr>
          <w:b/>
        </w:rPr>
        <w:t>Begründung (Theorie-Bezug):</w:t>
      </w:r>
      <w:r>
        <w:t xml:space="preserve"> Die Vorlesung Woche 3 empfiehlt für ausreisseranfällige Daten den </w:t>
      </w:r>
      <w:r>
        <w:rPr>
          <w:rFonts w:ascii="Consolas" w:hAnsi="Consolas"/>
          <w:sz w:val="20"/>
        </w:rPr>
        <w:t>RobustScaler</w:t>
      </w:r>
      <w:r>
        <w:t xml:space="preserve">, der bewusst </w:t>
      </w:r>
      <w:r>
        <w:rPr>
          <w:b/>
        </w:rPr>
        <w:t>Median und Interquartilsabstand</w:t>
      </w:r>
      <w:r>
        <w:t xml:space="preserve"> (englisch *Interquartile Range*, IQR — der Abstand zwischen dem 25-%- und dem 75-%-Wert) nutzt, weil „Ausreisser Median und IQR kaum beeinflussen". Dieselbe Logik gilt hier: Ein einzelner extrem formulierter Artikel (Sentiment ±1.0) verzieht das </w:t>
      </w:r>
      <w:r>
        <w:rPr>
          <w:b/>
        </w:rPr>
        <w:t>Mittel</w:t>
      </w:r>
      <w:r>
        <w:t xml:space="preserve"> stark, den </w:t>
      </w:r>
      <w:r>
        <w:rPr>
          <w:b/>
        </w:rPr>
        <w:t>Median</w:t>
      </w:r>
      <w:r>
        <w:t xml:space="preserve"> kaum. Da die Sentiment-Werte stark bei 0 gehäuft sind und vereinzelt Extremwerte haben, ist der Median die robustere Wahl.</w:t>
      </w:r>
    </w:p>
    <w:p>
      <w:pPr>
        <w:pStyle w:val="Heading3"/>
        <w:jc w:val="left"/>
      </w:pPr>
      <w:r>
        <w:t>7.2 Renditen statt Kurs-Niveaus — warum</w:t>
      </w:r>
    </w:p>
    <w:p>
      <w:r>
        <w:t xml:space="preserve">Für die Analyse verwenden wir nicht den Kurs selbst, sondern seine </w:t>
      </w:r>
      <w:r>
        <w:rPr>
          <w:b/>
        </w:rPr>
        <w:t>Tagesrendite</w:t>
      </w:r>
      <w:r>
        <w:t xml:space="preserve"> als </w:t>
      </w:r>
      <w:r>
        <w:rPr>
          <w:b/>
        </w:rPr>
        <w:t>logarithmische Rendite</w:t>
      </w:r>
      <w:r>
        <w:t>: *r_t = ln(P_t) − ln(P_{t−1})*.</w:t>
      </w:r>
    </w:p>
    <w:p>
      <w:r>
        <w:rPr>
          <w:b/>
        </w:rPr>
        <w:t>Begründung:</w:t>
      </w:r>
    </w:p>
    <w:p>
      <w:pPr>
        <w:pStyle w:val="ListBullet"/>
      </w:pPr>
      <w:r>
        <w:rPr>
          <w:b/>
        </w:rPr>
        <w:t>Stationarität:</w:t>
      </w:r>
      <w:r>
        <w:t xml:space="preserve"> Kurs-Niveaus haben langfristige Trends (sie sind *nicht-stationär*). Eine Korrelation auf Niveaus misst vor allem Trend-Übereinstimmung, nicht die Reaktion auf Nachrichten. Renditen sind annähernd stationär.</w:t>
      </w:r>
    </w:p>
    <w:p>
      <w:pPr>
        <w:pStyle w:val="ListBullet"/>
      </w:pPr>
      <w:r>
        <w:rPr>
          <w:b/>
        </w:rPr>
        <w:t>Symmetrie:</w:t>
      </w:r>
      <w:r>
        <w:t xml:space="preserve"> Logarithmische Renditen behandeln Anstieg und Abfall symmetrisch.</w:t>
      </w:r>
    </w:p>
    <w:p>
      <w:pPr>
        <w:pStyle w:val="ListBullet"/>
      </w:pPr>
      <w:r>
        <w:t xml:space="preserve">Dieser Punkt ist zentral für die richtige Deutung der Dashboard-Grafiken (Kapitel 9.4): Auf </w:t>
      </w:r>
      <w:r>
        <w:rPr>
          <w:b/>
        </w:rPr>
        <w:t>Niveaus</w:t>
      </w:r>
      <w:r>
        <w:t xml:space="preserve"> sieht ein gemeinsamer Trend wie ein Vorlauf aus; erst auf </w:t>
      </w:r>
      <w:r>
        <w:rPr>
          <w:b/>
        </w:rPr>
        <w:t>Renditen</w:t>
      </w:r>
      <w:r>
        <w:t xml:space="preserve"> trennt sich „bewegt sich gemeinsam" von „sagt vorher".</w:t>
      </w:r>
    </w:p>
    <w:p>
      <w:pPr>
        <w:pStyle w:val="Heading3"/>
        <w:jc w:val="left"/>
      </w:pPr>
      <w:r>
        <w:t>7.3 Mittelwert über die Quellen — warum (und wann er gültig ist)</w:t>
      </w:r>
    </w:p>
    <w:p>
      <w:r>
        <w:t xml:space="preserve">Wo mehrere Quellen einen Kurs liefern, bilden wir den </w:t>
      </w:r>
      <w:r>
        <w:rPr>
          <w:b/>
        </w:rPr>
        <w:t>Mittelwert</w:t>
      </w:r>
      <w:r>
        <w:t xml:space="preserve"> (nur über die an dem Tag vorhandenen Quellen). Grund: Forex hat keinen einen „wahren" Kurs (Kapitel 5.3); der Mittelwert glättet die kleine, normale Anbieter-Streuung und ist robuster als eine willkürlich gewählte Einzelquelle.</w:t>
      </w:r>
    </w:p>
    <w:p>
      <w:r>
        <w:rPr>
          <w:b/>
        </w:rPr>
        <w:t>Wichtig:</w:t>
      </w:r>
      <w:r>
        <w:t xml:space="preserve"> Dieser Mittelwert ist nur sinnvoll, </w:t>
      </w:r>
      <w:r>
        <w:rPr>
          <w:b/>
        </w:rPr>
        <w:t>nachdem</w:t>
      </w:r>
      <w:r>
        <w:t xml:space="preserve"> die Quellen auf denselben Markttag ausgerichtet sind (Kapitel 6.2). Vorher hätte er zwei verschiedene Tage gemischt. Gegenprobe: Die Lead/Lag-Ergebnisse mit dem ausgerichteten Mittel (r ≈ 0.18 / 0.21) stimmen praktisch mit denen einer sauberen Einzelquelle (nur Yahoo: 0.20 / 0.21) überein — der Mittelwert ist nach der Ausrichtung also robust.</w:t>
      </w:r>
    </w:p>
    <w:p>
      <w:pPr>
        <w:pStyle w:val="Heading3"/>
        <w:jc w:val="left"/>
      </w:pPr>
      <w:r>
        <w:t>7.4 Aggregation, Interpolation und Normalisierung (Dashboard-Optionen)</w:t>
      </w:r>
    </w:p>
    <w:p>
      <w:pPr>
        <w:pStyle w:val="ListBullet"/>
      </w:pPr>
      <w:r>
        <w:rPr>
          <w:b/>
        </w:rPr>
        <w:t>Aggregation auf Woche/Monat/Quartal:</w:t>
      </w:r>
      <w:r>
        <w:t xml:space="preserve"> über </w:t>
      </w:r>
      <w:r>
        <w:rPr>
          <w:rFonts w:ascii="Consolas" w:hAnsi="Consolas"/>
          <w:sz w:val="20"/>
        </w:rPr>
        <w:t>pandas.resample</w:t>
      </w:r>
      <w:r>
        <w:t xml:space="preserve"> mit wählbarer Funktion. Fehlende Tage werden </w:t>
      </w:r>
      <w:r>
        <w:rPr>
          <w:b/>
        </w:rPr>
        <w:t>nicht</w:t>
      </w:r>
      <w:r>
        <w:t xml:space="preserve"> vorher gefüllt — </w:t>
      </w:r>
      <w:r>
        <w:rPr>
          <w:rFonts w:ascii="Consolas" w:hAnsi="Consolas"/>
          <w:sz w:val="20"/>
        </w:rPr>
        <w:t>resample</w:t>
      </w:r>
      <w:r>
        <w:t xml:space="preserve"> ignoriert </w:t>
      </w:r>
      <w:r>
        <w:rPr>
          <w:rFonts w:ascii="Consolas" w:hAnsi="Consolas"/>
          <w:sz w:val="20"/>
        </w:rPr>
        <w:t>NaN</w:t>
      </w:r>
      <w:r>
        <w:t>.</w:t>
      </w:r>
    </w:p>
    <w:p>
      <w:pPr>
        <w:pStyle w:val="ListBullet"/>
      </w:pPr>
      <w:r>
        <w:rPr>
          <w:b/>
        </w:rPr>
        <w:t>Interpolation (optional):</w:t>
      </w:r>
      <w:r>
        <w:t xml:space="preserve"> ein Dashboard-Schalter „Fehlende Tage interpolieren (linear)". Er wirkt </w:t>
      </w:r>
      <w:r>
        <w:rPr>
          <w:b/>
        </w:rPr>
        <w:t>nur</w:t>
      </w:r>
      <w:r>
        <w:t xml:space="preserve"> auf Kurs- und Ölreihen, </w:t>
      </w:r>
      <w:r>
        <w:rPr>
          <w:b/>
        </w:rPr>
        <w:t>nie</w:t>
      </w:r>
      <w:r>
        <w:t xml:space="preserve"> auf Sentiment (Begründung MNAR, Kapitel 5.1), und schreibt nichts in die Rohdaten zurück — er verändert nur die Anzeige. So bleibt die Rohdaten-Integrität gewahrt. In der Analyse dient die interpolierte Variante als </w:t>
      </w:r>
      <w:r>
        <w:rPr>
          <w:b/>
        </w:rPr>
        <w:t>Sensitivitätscheck</w:t>
      </w:r>
      <w:r>
        <w:t xml:space="preserve"> (Kapitel 9.5).</w:t>
      </w:r>
    </w:p>
    <w:p>
      <w:pPr>
        <w:pStyle w:val="ListBullet"/>
      </w:pPr>
      <w:r>
        <w:rPr>
          <w:b/>
        </w:rPr>
        <w:t>Normalisierung (Index = 100):</w:t>
      </w:r>
      <w:r>
        <w:t xml:space="preserve"> teilt jede Reihe durch ihren ersten gültigen Wert und mal 100. So werden Reihen mit sehr unterschiedlichen Skalen (Kurs ~1.1, Öl ~80, Sentiment ~0.1) optisch vergleichbar.</w:t>
      </w:r>
    </w:p>
    <w:p>
      <w:pPr>
        <w:pStyle w:val="Heading3"/>
        <w:jc w:val="left"/>
      </w:pPr>
      <w:r>
        <w:t>7.5 MetaTrader 15-Minuten → Tagesdaten (eine Validierung)</w:t>
      </w:r>
    </w:p>
    <w:p>
      <w:r>
        <w:t xml:space="preserve">Die 15-Minuten-Daten von MetaTrader werden auf Tagesbasis verdichtet (Eröffnung = erster Wert, Hoch = Maximum, Tief = Minimum, Schluss = letzter Wert). </w:t>
      </w:r>
      <w:r>
        <w:rPr>
          <w:b/>
        </w:rPr>
        <w:t>Kontrolle:</w:t>
      </w:r>
      <w:r>
        <w:t xml:space="preserve"> Die so aggregierten Tageswerte stimmen exakt (100 %) mit dem separat gelieferten MetaTrader-Tagesexport überein — ein Beleg, dass unsere Aggregationslogik korrekt ist.</w:t>
      </w:r>
    </w:p>
    <w:p>
      <w:pPr>
        <w:pStyle w:val="Heading2"/>
        <w:jc w:val="left"/>
      </w:pPr>
      <w:r>
        <w:t>8. Schritt 5 — Sentiment-Analyse auf drei Wegen</w:t>
      </w:r>
    </w:p>
    <w:p>
      <w:r>
        <w:t xml:space="preserve">Wir berechnen die Stimmung auf </w:t>
      </w:r>
      <w:r>
        <w:rPr>
          <w:b/>
        </w:rPr>
        <w:t>drei unterschiedliche Arten</w:t>
      </w:r>
      <w:r>
        <w:t>, damit sichtbar wird, wie stark das Ergebnis von der Methode abhängt.</w:t>
      </w:r>
    </w:p>
    <w:p>
      <w:pPr>
        <w:pStyle w:val="Heading3"/>
        <w:jc w:val="left"/>
      </w:pPr>
      <w:r>
        <w:t>8.1 Weg 1 — EODHD-Sentiment (vorberechnet)</w:t>
      </w:r>
    </w:p>
    <w:p>
      <w:r>
        <w:t>EODHD liefert pro Artikel bereits einen *Polarity*-Wert (Stimmungswert) zwischen −1 (negativ) und +1 (positiv). Die Methode ist nicht öffentlich dokumentiert, wir behandeln sie als „Black Box" (undurchsichtiges Verfahren). Einsatz: die saubere Methodik-Referenz im Dashboard (Seite „Master Grafik").</w:t>
      </w:r>
    </w:p>
    <w:p>
      <w:pPr>
        <w:pStyle w:val="Heading3"/>
        <w:jc w:val="left"/>
      </w:pPr>
      <w:r>
        <w:t>8.2 Weg 2 — Eigene TextBlob-Analyse auf demselben EODHD-Text</w:t>
      </w:r>
    </w:p>
    <w:p>
      <w:r>
        <w:t xml:space="preserve">Wir nehmen </w:t>
      </w:r>
      <w:r>
        <w:rPr>
          <w:b/>
        </w:rPr>
        <w:t>denselben</w:t>
      </w:r>
      <w:r>
        <w:t xml:space="preserve"> Artikeltext (Titel + Inhalt) und lassen die Python-Bibliothek </w:t>
      </w:r>
      <w:r>
        <w:rPr>
          <w:b/>
        </w:rPr>
        <w:t>TextBlob</w:t>
      </w:r>
      <w:r>
        <w:t xml:space="preserve"> den Stimmungswert berechnen. Den Vergleich (eigene Berechnung vs. EODHD-Wert) zeigt das Dashboard auf der Seite „Sentiment-Vergleich". Zweck: einschätzen, wie nah ein einfaches, transparentes Verfahren an den undurchsichtigen EODHD-Wert herankommt.</w:t>
      </w:r>
    </w:p>
    <w:p>
      <w:pPr>
        <w:pStyle w:val="Heading3"/>
        <w:jc w:val="left"/>
      </w:pPr>
      <w:r>
        <w:t>8.3 Weg 3 — TextBlob auf den Webscraping-Texten (Machbarkeitsnachweis)</w:t>
      </w:r>
    </w:p>
    <w:p>
      <w:r>
        <w:t xml:space="preserve">Titel und Zusammenfassung der gescrapten RSS-/Reddit-Artikel gehen in TextBlob; pro Tag bilden wir wieder den Median. Einsatz: der „Proof of Concept" (Kapitel 10). Idee: Wenn ein Zusammenhang </w:t>
      </w:r>
      <w:r>
        <w:rPr>
          <w:b/>
        </w:rPr>
        <w:t>auch</w:t>
      </w:r>
      <w:r>
        <w:t xml:space="preserve"> mit einer ganz anderen Nachrichtenquelle und Methode auftaucht, ist er robuster.</w:t>
      </w:r>
    </w:p>
    <w:p>
      <w:pPr>
        <w:pStyle w:val="Heading3"/>
        <w:jc w:val="left"/>
      </w:pPr>
      <w:r>
        <w:t>8.4 Was man über TextBlob wissen muss</w:t>
      </w:r>
    </w:p>
    <w:p>
      <w:pPr>
        <w:pStyle w:val="ListBullet"/>
      </w:pPr>
      <w:r>
        <w:t xml:space="preserve">TextBlob ist </w:t>
      </w:r>
      <w:r>
        <w:rPr>
          <w:b/>
        </w:rPr>
        <w:t>lexikonbasiert</w:t>
      </w:r>
      <w:r>
        <w:t xml:space="preserve"> (es schlägt Wörter in einem Wörterbuch nach) und auf Allgemeinsprache trainiert. Für </w:t>
      </w:r>
      <w:r>
        <w:rPr>
          <w:b/>
        </w:rPr>
        <w:t>finanzspezifische</w:t>
      </w:r>
      <w:r>
        <w:t xml:space="preserve"> Texte liefert es regelmässig den Wert 0 („neutral", weil das Fachvokabular im Lexikon schwach vertreten ist) — in unseren Daten bei rund einem Drittel der Artikel.</w:t>
      </w:r>
    </w:p>
    <w:p>
      <w:pPr>
        <w:pStyle w:val="ListBullet"/>
      </w:pPr>
      <w:r>
        <w:rPr>
          <w:b/>
        </w:rPr>
        <w:t>Warum trotzdem TextBlob?</w:t>
      </w:r>
      <w:r>
        <w:t xml:space="preserve"> Es ist transparent, nachvollziehbar und reproduzierbar — im Bildungskontext wichtiger als ein leistungsstärkeres, aber undurchsichtiges Modell. Eine sinnvolle Erweiterung wären finanzspezifische Verfahren (FinBERT oder VADER mit dem Loughran-McDonald-Finanzlexikon); siehe Kapitel 12.</w:t>
      </w:r>
    </w:p>
    <w:p>
      <w:r>
        <w:rPr>
          <w:b/>
        </w:rPr>
        <w:t>Abdeckung der Webscraping-Daten — ehrlich beziffert:</w:t>
      </w:r>
      <w:r>
        <w:t xml:space="preserve"> Die gescrapten Nachrichten umfassen </w:t>
      </w:r>
      <w:r>
        <w:rPr>
          <w:b/>
        </w:rPr>
        <w:t>127 Tage</w:t>
      </w:r>
      <w:r>
        <w:t xml:space="preserve">. Davon stammt </w:t>
      </w:r>
      <w:r>
        <w:rPr>
          <w:b/>
        </w:rPr>
        <w:t>ein einziger</w:t>
      </w:r>
      <w:r>
        <w:t xml:space="preserve"> Tag aus dem September 2024; die eigentliche Abdeckung beginnt erst im </w:t>
      </w:r>
      <w:r>
        <w:rPr>
          <w:b/>
        </w:rPr>
        <w:t>September 2025</w:t>
      </w:r>
      <w:r>
        <w:t xml:space="preserve"> und reicht bis April 2026. An </w:t>
      </w:r>
      <w:r>
        <w:rPr>
          <w:b/>
        </w:rPr>
        <w:t>60 von 127 Tagen</w:t>
      </w:r>
      <w:r>
        <w:t xml:space="preserve"> liegt nur ein einziger Artikel vor (Median: 2 Artikel/Tag). Diese dünne und zeitlich konzentrierte Abdeckung ist der Grund, warum der Webscraping-Weg nur als Machbarkeitsnachweis dient, nicht als belastbarer Beleg.</w:t>
      </w:r>
    </w:p>
    <w:p>
      <w:pPr>
        <w:pStyle w:val="Heading2"/>
        <w:jc w:val="left"/>
      </w:pPr>
      <w:r>
        <w:t>9. Schritt 6 — Analyse und Antwort auf die Forschungsfrage</w:t>
      </w:r>
    </w:p>
    <w:p>
      <w:pPr>
        <w:pStyle w:val="Heading3"/>
        <w:jc w:val="left"/>
      </w:pPr>
      <w:r>
        <w:t>9.1 Methode</w:t>
      </w:r>
    </w:p>
    <w:p>
      <w:r>
        <w:t xml:space="preserve">Wir messen die </w:t>
      </w:r>
      <w:r>
        <w:rPr>
          <w:b/>
        </w:rPr>
        <w:t>Kreuzkorrelation</w:t>
      </w:r>
      <w:r>
        <w:t xml:space="preserve"> zwischen dem Sentiment am Tag *t* und der Kursrendite am Tag *t + k*, für *k* von −10 bis +10:</w:t>
      </w:r>
    </w:p>
    <w:p>
      <w:pPr>
        <w:ind w:left="283"/>
      </w:pPr>
      <w:r>
        <w:rPr>
          <w:i/>
        </w:rPr>
        <w:t>*ρ_k = Korrelation( Sentiment_t , Rendite_{t+k} )*</w:t>
      </w:r>
    </w:p>
    <w:p>
      <w:pPr>
        <w:pStyle w:val="ListBullet"/>
      </w:pPr>
      <w:r>
        <w:t>*k &gt; 0*: Sentiment führt die Kursrendite (= unsere Hypothese H1).</w:t>
      </w:r>
    </w:p>
    <w:p>
      <w:pPr>
        <w:pStyle w:val="ListBullet"/>
      </w:pPr>
      <w:r>
        <w:t>*k = 0*: gleichzeitige Bewegung.</w:t>
      </w:r>
    </w:p>
    <w:p>
      <w:pPr>
        <w:pStyle w:val="ListBullet"/>
      </w:pPr>
      <w:r>
        <w:t>*k &lt; 0*: der Kurs führt das Sentiment.</w:t>
      </w:r>
    </w:p>
    <w:p>
      <w:r>
        <w:rPr>
          <w:b/>
        </w:rPr>
        <w:t>Einheit der Verzögerung — Kalendertage:</w:t>
      </w:r>
      <w:r>
        <w:t xml:space="preserve"> Die Reihen werden auf tägliche </w:t>
      </w:r>
      <w:r>
        <w:rPr>
          <w:b/>
        </w:rPr>
        <w:t>Kalenderfrequenz</w:t>
      </w:r>
      <w:r>
        <w:t xml:space="preserve"> gebracht; der Lag *k* zählt also </w:t>
      </w:r>
      <w:r>
        <w:rPr>
          <w:b/>
        </w:rPr>
        <w:t>Kalendertage</w:t>
      </w:r>
      <w:r>
        <w:t xml:space="preserve">, nicht Handelstage. An Wochenenden ohne Kurs entstehen </w:t>
      </w:r>
      <w:r>
        <w:rPr>
          <w:rFonts w:ascii="Consolas" w:hAnsi="Consolas"/>
          <w:sz w:val="20"/>
        </w:rPr>
        <w:t>NaN</w:t>
      </w:r>
      <w:r>
        <w:t>-Renditen, die bei der Korrelation paarweise entfallen.</w:t>
      </w:r>
    </w:p>
    <w:p>
      <w:r>
        <w:rPr>
          <w:b/>
        </w:rPr>
        <w:t>Signifikanz:</w:t>
      </w:r>
      <w:r>
        <w:t xml:space="preserve"> Unter der Annahme „kein Zusammenhang" (ρ = 0) liegt das 95-%-Konfidenzband bei etwa ±1.96/√n (n = Anzahl gemeinsamer Tage). Werte </w:t>
      </w:r>
      <w:r>
        <w:rPr>
          <w:b/>
        </w:rPr>
        <w:t>innerhalb</w:t>
      </w:r>
      <w:r>
        <w:t xml:space="preserve"> des Bandes sind statistisch nicht von Null zu unterscheiden.</w:t>
      </w:r>
    </w:p>
    <w:p>
      <w:r>
        <w:rPr>
          <w:b/>
        </w:rPr>
        <w:t>Mehrfachtests:</w:t>
      </w:r>
      <w:r>
        <w:t xml:space="preserve"> Wir prüfen 21 Verzögerungen gleichzeitig. Bei so vielen Tests findet man leicht zufällig einen „Treffer". Eine strenge Korrektur (Bonferroni) weitet das Band für 21 zweiseitige Tests auf etwa ±3.0/√n. Da benachbarte Verzögerungen aber stark zusammenhängen (autokorreliert sind), ist die effektive Zahl unabhängiger Tests kleiner — die Wahrheit liegt zwischen ±1.96 und ±3.0/√n. Wir nennen beide Grenzen, wo es darauf ankommt.</w:t>
      </w:r>
    </w:p>
    <w:p>
      <w:r>
        <w:t xml:space="preserve">Wir rechnen die Analyse </w:t>
      </w:r>
      <w:r>
        <w:rPr>
          <w:b/>
        </w:rPr>
        <w:t>parallel</w:t>
      </w:r>
      <w:r>
        <w:t xml:space="preserve"> auf zwei Wegen (sauber = EODHD; dirty = Webscraping) und jeweils mit/ohne Kurs-Interpolation als Sensitivitätscheck.</w:t>
      </w:r>
    </w:p>
    <w:p>
      <w:pPr>
        <w:pStyle w:val="Heading3"/>
        <w:jc w:val="left"/>
      </w:pPr>
      <w:r>
        <w:t>9.2 Ergebnis-Tabelle</w:t>
      </w:r>
    </w:p>
    <w:p>
      <w:r>
        <w:t xml:space="preserve">Reproduzierbar in </w:t>
      </w:r>
      <w:r>
        <w:rPr>
          <w:rFonts w:ascii="Consolas" w:hAnsi="Consolas"/>
          <w:sz w:val="20"/>
        </w:rPr>
        <w:t>data/processed/news/lead_lag_results.csv</w:t>
      </w:r>
      <w:r>
        <w:t>. „r am Maximum" ist die stärkste Korrelation über alle Verzögerungen (mit Vorzeichen), „r bei k=0" die gleichzeitige Korrelation.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Paar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Weg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Interp.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bestes k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r am Maximum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r bei k=0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±Band 95 %</w:t>
            </w:r>
          </w:p>
        </w:tc>
      </w:tr>
      <w:tr>
        <w:tc>
          <w:tcPr>
            <w:tcW w:type="dxa" w:w="1080"/>
          </w:tcPr>
          <w:p>
            <w:r/>
            <w:r>
              <w:t>EUR/USD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+0.18</w:t>
            </w:r>
          </w:p>
        </w:tc>
        <w:tc>
          <w:tcPr>
            <w:tcW w:type="dxa" w:w="1080"/>
          </w:tcPr>
          <w:p>
            <w:r/>
            <w:r>
              <w:t>+0.18</w:t>
            </w:r>
          </w:p>
        </w:tc>
        <w:tc>
          <w:tcPr>
            <w:tcW w:type="dxa" w:w="1080"/>
          </w:tcPr>
          <w:p>
            <w:r/>
            <w:r>
              <w:t>988</w:t>
            </w:r>
          </w:p>
        </w:tc>
        <w:tc>
          <w:tcPr>
            <w:tcW w:type="dxa" w:w="1080"/>
          </w:tcPr>
          <w:p>
            <w:r/>
            <w:r>
              <w:t>±0.06</w:t>
            </w:r>
          </w:p>
        </w:tc>
      </w:tr>
      <w:tr>
        <w:tc>
          <w:tcPr>
            <w:tcW w:type="dxa" w:w="1080"/>
          </w:tcPr>
          <w:p>
            <w:r/>
            <w:r>
              <w:t>EUR/USD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ja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+0.11</w:t>
            </w:r>
          </w:p>
        </w:tc>
        <w:tc>
          <w:tcPr>
            <w:tcW w:type="dxa" w:w="1080"/>
          </w:tcPr>
          <w:p>
            <w:r/>
            <w:r>
              <w:t>+0.11</w:t>
            </w:r>
          </w:p>
        </w:tc>
        <w:tc>
          <w:tcPr>
            <w:tcW w:type="dxa" w:w="1080"/>
          </w:tcPr>
          <w:p>
            <w:r/>
            <w:r>
              <w:t>1432</w:t>
            </w:r>
          </w:p>
        </w:tc>
        <w:tc>
          <w:tcPr>
            <w:tcW w:type="dxa" w:w="1080"/>
          </w:tcPr>
          <w:p>
            <w:r/>
            <w:r>
              <w:t>±0.05</w:t>
            </w:r>
          </w:p>
        </w:tc>
      </w:tr>
      <w:tr>
        <w:tc>
          <w:tcPr>
            <w:tcW w:type="dxa" w:w="1080"/>
          </w:tcPr>
          <w:p>
            <w:r/>
            <w:r>
              <w:t>GBP/USD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+0.21</w:t>
            </w:r>
          </w:p>
        </w:tc>
        <w:tc>
          <w:tcPr>
            <w:tcW w:type="dxa" w:w="1080"/>
          </w:tcPr>
          <w:p>
            <w:r/>
            <w:r>
              <w:t>+0.21</w:t>
            </w:r>
          </w:p>
        </w:tc>
        <w:tc>
          <w:tcPr>
            <w:tcW w:type="dxa" w:w="1080"/>
          </w:tcPr>
          <w:p>
            <w:r/>
            <w:r>
              <w:t>959</w:t>
            </w:r>
          </w:p>
        </w:tc>
        <w:tc>
          <w:tcPr>
            <w:tcW w:type="dxa" w:w="1080"/>
          </w:tcPr>
          <w:p>
            <w:r/>
            <w:r>
              <w:t>±0.06</w:t>
            </w:r>
          </w:p>
        </w:tc>
      </w:tr>
      <w:tr>
        <w:tc>
          <w:tcPr>
            <w:tcW w:type="dxa" w:w="1080"/>
          </w:tcPr>
          <w:p>
            <w:r/>
            <w:r>
              <w:t>GBP/USD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ja</w:t>
            </w:r>
          </w:p>
        </w:tc>
        <w:tc>
          <w:tcPr>
            <w:tcW w:type="dxa" w:w="1080"/>
          </w:tcPr>
          <w:p>
            <w:r/>
            <w:r>
              <w:t>0</w:t>
            </w:r>
          </w:p>
        </w:tc>
        <w:tc>
          <w:tcPr>
            <w:tcW w:type="dxa" w:w="1080"/>
          </w:tcPr>
          <w:p>
            <w:r/>
            <w:r>
              <w:t>+0.16</w:t>
            </w:r>
          </w:p>
        </w:tc>
        <w:tc>
          <w:tcPr>
            <w:tcW w:type="dxa" w:w="1080"/>
          </w:tcPr>
          <w:p>
            <w:r/>
            <w:r>
              <w:t>+0.16</w:t>
            </w:r>
          </w:p>
        </w:tc>
        <w:tc>
          <w:tcPr>
            <w:tcW w:type="dxa" w:w="1080"/>
          </w:tcPr>
          <w:p>
            <w:r/>
            <w:r>
              <w:t>1401</w:t>
            </w:r>
          </w:p>
        </w:tc>
        <w:tc>
          <w:tcPr>
            <w:tcW w:type="dxa" w:w="1080"/>
          </w:tcPr>
          <w:p>
            <w:r/>
            <w:r>
              <w:t>±0.05</w:t>
            </w:r>
          </w:p>
        </w:tc>
      </w:tr>
      <w:tr>
        <w:tc>
          <w:tcPr>
            <w:tcW w:type="dxa" w:w="1080"/>
          </w:tcPr>
          <w:p>
            <w:r/>
            <w:r>
              <w:t>EUR/CHF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t>2</w:t>
            </w:r>
          </w:p>
        </w:tc>
        <w:tc>
          <w:tcPr>
            <w:tcW w:type="dxa" w:w="1080"/>
          </w:tcPr>
          <w:p>
            <w:r/>
            <w:r>
              <w:t>−0.76</w:t>
            </w:r>
          </w:p>
        </w:tc>
        <w:tc>
          <w:tcPr>
            <w:tcW w:type="dxa" w:w="1080"/>
          </w:tcPr>
          <w:p>
            <w:r/>
            <w:r>
              <w:t>+0.04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080"/>
          </w:tcPr>
          <w:p>
            <w:r/>
            <w:r>
              <w:t>±0.74</w:t>
            </w:r>
          </w:p>
        </w:tc>
      </w:tr>
      <w:tr>
        <w:tc>
          <w:tcPr>
            <w:tcW w:type="dxa" w:w="1080"/>
          </w:tcPr>
          <w:p>
            <w:r/>
            <w:r>
              <w:t>EUR/CHF</w:t>
            </w:r>
          </w:p>
        </w:tc>
        <w:tc>
          <w:tcPr>
            <w:tcW w:type="dxa" w:w="1080"/>
          </w:tcPr>
          <w:p>
            <w:r/>
            <w:r>
              <w:t>sauber (EODHD)</w:t>
            </w:r>
          </w:p>
        </w:tc>
        <w:tc>
          <w:tcPr>
            <w:tcW w:type="dxa" w:w="1080"/>
          </w:tcPr>
          <w:p>
            <w:r/>
            <w:r>
              <w:t>ja</w:t>
            </w:r>
          </w:p>
        </w:tc>
        <w:tc>
          <w:tcPr>
            <w:tcW w:type="dxa" w:w="1080"/>
          </w:tcPr>
          <w:p>
            <w:r/>
            <w:r>
              <w:t>−4</w:t>
            </w:r>
          </w:p>
        </w:tc>
        <w:tc>
          <w:tcPr>
            <w:tcW w:type="dxa" w:w="1080"/>
          </w:tcPr>
          <w:p>
            <w:r/>
            <w:r>
              <w:t>+0.66</w:t>
            </w:r>
          </w:p>
        </w:tc>
        <w:tc>
          <w:tcPr>
            <w:tcW w:type="dxa" w:w="1080"/>
          </w:tcPr>
          <w:p>
            <w:r/>
            <w:r>
              <w:t>−0.08</w:t>
            </w:r>
          </w:p>
        </w:tc>
        <w:tc>
          <w:tcPr>
            <w:tcW w:type="dxa" w:w="1080"/>
          </w:tcPr>
          <w:p>
            <w:r/>
            <w:r>
              <w:t>10</w:t>
            </w:r>
          </w:p>
        </w:tc>
        <w:tc>
          <w:tcPr>
            <w:tcW w:type="dxa" w:w="1080"/>
          </w:tcPr>
          <w:p>
            <w:r/>
            <w:r>
              <w:t>±0.62</w:t>
            </w:r>
          </w:p>
        </w:tc>
      </w:tr>
      <w:tr>
        <w:tc>
          <w:tcPr>
            <w:tcW w:type="dxa" w:w="1080"/>
          </w:tcPr>
          <w:p>
            <w:r/>
            <w:r>
              <w:t>EUR/USD</w:t>
            </w:r>
          </w:p>
        </w:tc>
        <w:tc>
          <w:tcPr>
            <w:tcW w:type="dxa" w:w="1080"/>
          </w:tcPr>
          <w:p>
            <w:r/>
            <w:r>
              <w:t>dirty (Webscraping)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t>9</w:t>
            </w:r>
          </w:p>
        </w:tc>
        <w:tc>
          <w:tcPr>
            <w:tcW w:type="dxa" w:w="1080"/>
          </w:tcPr>
          <w:p>
            <w:r/>
            <w:r>
              <w:t>−0.28</w:t>
            </w:r>
          </w:p>
        </w:tc>
        <w:tc>
          <w:tcPr>
            <w:tcW w:type="dxa" w:w="1080"/>
          </w:tcPr>
          <w:p>
            <w:r/>
            <w:r>
              <w:t>−0.00</w:t>
            </w:r>
          </w:p>
        </w:tc>
        <w:tc>
          <w:tcPr>
            <w:tcW w:type="dxa" w:w="1080"/>
          </w:tcPr>
          <w:p>
            <w:r/>
            <w:r>
              <w:t>85</w:t>
            </w:r>
          </w:p>
        </w:tc>
        <w:tc>
          <w:tcPr>
            <w:tcW w:type="dxa" w:w="1080"/>
          </w:tcPr>
          <w:p>
            <w:r/>
            <w:r>
              <w:t>±0.21</w:t>
            </w:r>
          </w:p>
        </w:tc>
      </w:tr>
      <w:tr>
        <w:tc>
          <w:tcPr>
            <w:tcW w:type="dxa" w:w="1080"/>
          </w:tcPr>
          <w:p>
            <w:r/>
            <w:r>
              <w:t>GBP/USD</w:t>
            </w:r>
          </w:p>
        </w:tc>
        <w:tc>
          <w:tcPr>
            <w:tcW w:type="dxa" w:w="1080"/>
          </w:tcPr>
          <w:p>
            <w:r/>
            <w:r>
              <w:t>dirty (Webscraping)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t>−4</w:t>
            </w:r>
          </w:p>
        </w:tc>
        <w:tc>
          <w:tcPr>
            <w:tcW w:type="dxa" w:w="1080"/>
          </w:tcPr>
          <w:p>
            <w:r/>
            <w:r>
              <w:t>−0.15</w:t>
            </w:r>
          </w:p>
        </w:tc>
        <w:tc>
          <w:tcPr>
            <w:tcW w:type="dxa" w:w="1080"/>
          </w:tcPr>
          <w:p>
            <w:r/>
            <w:r>
              <w:t>−0.09</w:t>
            </w:r>
          </w:p>
        </w:tc>
        <w:tc>
          <w:tcPr>
            <w:tcW w:type="dxa" w:w="1080"/>
          </w:tcPr>
          <w:p>
            <w:r/>
            <w:r>
              <w:t>85</w:t>
            </w:r>
          </w:p>
        </w:tc>
        <w:tc>
          <w:tcPr>
            <w:tcW w:type="dxa" w:w="1080"/>
          </w:tcPr>
          <w:p>
            <w:r/>
            <w:r>
              <w:t>±0.21</w:t>
            </w:r>
          </w:p>
        </w:tc>
      </w:tr>
      <w:tr>
        <w:tc>
          <w:tcPr>
            <w:tcW w:type="dxa" w:w="1080"/>
          </w:tcPr>
          <w:p>
            <w:r/>
            <w:r>
              <w:t>EUR/CHF</w:t>
            </w:r>
          </w:p>
        </w:tc>
        <w:tc>
          <w:tcPr>
            <w:tcW w:type="dxa" w:w="1080"/>
          </w:tcPr>
          <w:p>
            <w:r/>
            <w:r>
              <w:t>dirty (Webscraping)</w:t>
            </w:r>
          </w:p>
        </w:tc>
        <w:tc>
          <w:tcPr>
            <w:tcW w:type="dxa" w:w="1080"/>
          </w:tcPr>
          <w:p>
            <w:r/>
            <w:r>
              <w:t>nein</w:t>
            </w:r>
          </w:p>
        </w:tc>
        <w:tc>
          <w:tcPr>
            <w:tcW w:type="dxa" w:w="1080"/>
          </w:tcPr>
          <w:p>
            <w:r/>
            <w:r>
              <w:t>5</w:t>
            </w:r>
          </w:p>
        </w:tc>
        <w:tc>
          <w:tcPr>
            <w:tcW w:type="dxa" w:w="1080"/>
          </w:tcPr>
          <w:p>
            <w:r/>
            <w:r>
              <w:t>+0.30</w:t>
            </w:r>
          </w:p>
        </w:tc>
        <w:tc>
          <w:tcPr>
            <w:tcW w:type="dxa" w:w="1080"/>
          </w:tcPr>
          <w:p>
            <w:r/>
            <w:r>
              <w:t>−0.01</w:t>
            </w:r>
          </w:p>
        </w:tc>
        <w:tc>
          <w:tcPr>
            <w:tcW w:type="dxa" w:w="1080"/>
          </w:tcPr>
          <w:p>
            <w:r/>
            <w:r>
              <w:t>85</w:t>
            </w:r>
          </w:p>
        </w:tc>
        <w:tc>
          <w:tcPr>
            <w:tcW w:type="dxa" w:w="1080"/>
          </w:tcPr>
          <w:p>
            <w:r/>
            <w:r>
              <w:t>±0.21</w:t>
            </w:r>
          </w:p>
        </w:tc>
      </w:tr>
    </w:tbl>
    <w:p/>
    <w:p>
      <w:pPr>
        <w:pStyle w:val="Heading3"/>
        <w:jc w:val="left"/>
      </w:pPr>
      <w:r>
        <w:t>9.3 Antwort auf die Forschungsfrage</w:t>
      </w:r>
    </w:p>
    <w:p>
      <w:r>
        <w:rPr>
          <w:b/>
        </w:rPr>
        <w:t>Sauberer Weg, EUR/USD und GBP/USD:</w:t>
      </w:r>
      <w:r>
        <w:t xml:space="preserve"> Das Maximum der Kreuzkorrelation liegt </w:t>
      </w:r>
      <w:r>
        <w:rPr>
          <w:b/>
        </w:rPr>
        <w:t>eindeutig bei k = 0</w:t>
      </w:r>
      <w:r>
        <w:t xml:space="preserve">, mit r ≈ +0.18 bis +0.21. Bei n ≈ 1000 ist das Band ±0.06 — die Korrelation ist also klar statistisch gesichert, </w:t>
      </w:r>
      <w:r>
        <w:rPr>
          <w:b/>
        </w:rPr>
        <w:t>aber sie ist gleichzeitig</w:t>
      </w:r>
      <w:r>
        <w:t>. Für |k| &gt; 0 fällt der Wert unter das Band.</w:t>
      </w:r>
    </w:p>
    <w:p>
      <w:pPr>
        <w:ind w:left="283"/>
      </w:pPr>
      <w:r>
        <w:rPr>
          <w:i/>
        </w:rPr>
        <w:t>**Antwort:** **H1 (Sentiment führt den Kurs) wird nicht gestützt.** Das Ergebnis passt zu **A1 (gleichzeitige Bewegung)**: Sentiment und Kurs reagieren auf dieselben Marktinformationen, ohne dass eine Reihe der anderen vorausläuft. Das Sentiment ist hier **Begleitinformation, kein Prognoseinstrument.**</w:t>
      </w:r>
    </w:p>
    <w:p>
      <w:r>
        <w:rPr>
          <w:b/>
        </w:rPr>
        <w:t>Sauberer Weg, EUR/CHF:</w:t>
      </w:r>
      <w:r>
        <w:t xml:space="preserve"> r = −0.76 bei k = 2 klingt stark, beruht aber auf </w:t>
      </w:r>
      <w:r>
        <w:rPr>
          <w:b/>
        </w:rPr>
        <w:t>n = 7</w:t>
      </w:r>
      <w:r>
        <w:t xml:space="preserve"> Tagen (Band ±0.74). Das ist das Lehrbeispiel </w:t>
      </w:r>
      <w:r>
        <w:rPr>
          <w:b/>
        </w:rPr>
        <w:t>„Effektgrösse ohne Stichprobengrösse ist wertlos"</w:t>
      </w:r>
      <w:r>
        <w:t xml:space="preserve"> — statistisch nicht von Null zu unterscheiden. Wir führen es als negative Evidenz der dünnen EODHD-Abdeckung auf, nicht als Ergebnis über das Paar.</w:t>
      </w:r>
    </w:p>
    <w:p>
      <w:r>
        <w:rPr>
          <w:b/>
        </w:rPr>
        <w:t>Dirty Weg (Webscraping):</w:t>
      </w:r>
      <w:r>
        <w:t xml:space="preserve"> Die Maxima liegen bei wechselnden Verzögerungen (k = 9, −4, 5), aber alle nahe oder innerhalb des Bandes ±0.21, bei nur n = 85. Nach Mehrfachtest-Korrektur ist nichts davon robust. → </w:t>
      </w:r>
      <w:r>
        <w:rPr>
          <w:b/>
        </w:rPr>
        <w:t>nicht entscheidbar.</w:t>
      </w:r>
      <w:r>
        <w:t xml:space="preserve"> Das ist angesichts der dünnen Abdeckung (Kapitel 8.4) erwartbar.</w:t>
      </w:r>
    </w:p>
    <w:p>
      <w:pPr>
        <w:pStyle w:val="Heading3"/>
        <w:jc w:val="left"/>
      </w:pPr>
      <w:r>
        <w:t>9.4 Warum die Grafik einen Vorlauf suggeriert — die Analyse aber nicht</w:t>
      </w:r>
    </w:p>
    <w:p>
      <w:r>
        <w:t>Im Dashboard kann der Eindruck entstehen, das Sentiment *führe* den Kurs („Sentiment runter, dann Kurs runter"). Wir haben das gezielt geprüft, weil es genau die Hypothese stützen würde. Ergebnis auf mehreren Ebenen: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Ebene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EUR/USD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GBP/USD</w:t>
            </w:r>
          </w:p>
        </w:tc>
      </w:tr>
      <w:tr>
        <w:tc>
          <w:tcPr>
            <w:tcW w:type="dxa" w:w="2880"/>
          </w:tcPr>
          <w:p>
            <w:r/>
            <w:r>
              <w:t xml:space="preserve">Renditen </w:t>
            </w:r>
            <w:r>
              <w:rPr>
                <w:b/>
              </w:rPr>
              <w:t>täglich</w:t>
            </w:r>
          </w:p>
        </w:tc>
        <w:tc>
          <w:tcPr>
            <w:tcW w:type="dxa" w:w="2880"/>
          </w:tcPr>
          <w:p>
            <w:r/>
            <w:r>
              <w:t xml:space="preserve">Maximum bei Lag </w:t>
            </w:r>
            <w:r>
              <w:rPr>
                <w:b/>
              </w:rPr>
              <w:t>0</w:t>
            </w:r>
            <w:r>
              <w:t xml:space="preserve"> (r=0.18)</w:t>
            </w:r>
          </w:p>
        </w:tc>
        <w:tc>
          <w:tcPr>
            <w:tcW w:type="dxa" w:w="2880"/>
          </w:tcPr>
          <w:p>
            <w:r/>
            <w:r>
              <w:t xml:space="preserve">Lag </w:t>
            </w:r>
            <w:r>
              <w:rPr>
                <w:b/>
              </w:rPr>
              <w:t>0</w:t>
            </w:r>
            <w:r>
              <w:t xml:space="preserve"> (r=0.21)</w:t>
            </w:r>
          </w:p>
        </w:tc>
      </w:tr>
      <w:tr>
        <w:tc>
          <w:tcPr>
            <w:tcW w:type="dxa" w:w="2880"/>
          </w:tcPr>
          <w:p>
            <w:r/>
            <w:r>
              <w:t xml:space="preserve">Renditen </w:t>
            </w:r>
            <w:r>
              <w:rPr>
                <w:b/>
              </w:rPr>
              <w:t>wöchentlich</w:t>
            </w:r>
          </w:p>
        </w:tc>
        <w:tc>
          <w:tcPr>
            <w:tcW w:type="dxa" w:w="2880"/>
          </w:tcPr>
          <w:p>
            <w:r/>
            <w:r>
              <w:t xml:space="preserve">Lag </w:t>
            </w:r>
            <w:r>
              <w:rPr>
                <w:b/>
              </w:rPr>
              <w:t>0</w:t>
            </w:r>
            <w:r>
              <w:t xml:space="preserve"> (r=0.23)</w:t>
            </w:r>
          </w:p>
        </w:tc>
        <w:tc>
          <w:tcPr>
            <w:tcW w:type="dxa" w:w="2880"/>
          </w:tcPr>
          <w:p>
            <w:r/>
            <w:r>
              <w:t xml:space="preserve">Lag </w:t>
            </w:r>
            <w:r>
              <w:rPr>
                <w:b/>
              </w:rPr>
              <w:t>0</w:t>
            </w:r>
            <w:r>
              <w:t xml:space="preserve"> (r=0.17)</w:t>
            </w:r>
          </w:p>
        </w:tc>
      </w:tr>
      <w:tr>
        <w:tc>
          <w:tcPr>
            <w:tcW w:type="dxa" w:w="2880"/>
          </w:tcPr>
          <w:p>
            <w:r/>
            <w:r>
              <w:t xml:space="preserve">Renditen </w:t>
            </w:r>
            <w:r>
              <w:rPr>
                <w:b/>
              </w:rPr>
              <w:t>monatlich</w:t>
            </w:r>
          </w:p>
        </w:tc>
        <w:tc>
          <w:tcPr>
            <w:tcW w:type="dxa" w:w="2880"/>
          </w:tcPr>
          <w:p>
            <w:r/>
            <w:r>
              <w:t>Lag +5 (r=0.29)</w:t>
            </w:r>
          </w:p>
        </w:tc>
        <w:tc>
          <w:tcPr>
            <w:tcW w:type="dxa" w:w="2880"/>
          </w:tcPr>
          <w:p>
            <w:r/>
            <w:r>
              <w:t>Lag −5 (r=0.27)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Niveau</w:t>
            </w:r>
            <w:r>
              <w:t xml:space="preserve"> monatlich</w:t>
            </w:r>
          </w:p>
        </w:tc>
        <w:tc>
          <w:tcPr>
            <w:tcW w:type="dxa" w:w="2880"/>
          </w:tcPr>
          <w:p>
            <w:r/>
            <w:r>
              <w:t>breit, ~0.16–0.19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Plateau ~0.44 über Lags −1 bis +6</w:t>
            </w:r>
          </w:p>
        </w:tc>
      </w:tr>
    </w:tbl>
    <w:p/>
    <w:p>
      <w:r>
        <w:rPr>
          <w:b/>
        </w:rPr>
        <w:t>Erklärung:</w:t>
      </w:r>
      <w:r>
        <w:t xml:space="preserve"> Das Dashboard zeigt </w:t>
      </w:r>
      <w:r>
        <w:rPr>
          <w:b/>
        </w:rPr>
        <w:t>Niveaus</w:t>
      </w:r>
      <w:r>
        <w:t xml:space="preserve"> (Kurs-Level und Sentiment-Level, oft auf Index = 100 normiert). Auf Niveau-Ebene korrelieren beide Reihen — bei GBP/USD mit ~0.44 — </w:t>
      </w:r>
      <w:r>
        <w:rPr>
          <w:b/>
        </w:rPr>
        <w:t>aber über ein breites Band von Verzögerungen</w:t>
      </w:r>
      <w:r>
        <w:t xml:space="preserve"> (−1 bis +6 alle ~0.4). Genau das sieht das Auge als „Vorlauf".</w:t>
      </w:r>
    </w:p>
    <w:p>
      <w:r>
        <w:t xml:space="preserve">Ein </w:t>
      </w:r>
      <w:r>
        <w:rPr>
          <w:b/>
        </w:rPr>
        <w:t>echter</w:t>
      </w:r>
      <w:r>
        <w:t xml:space="preserve"> Vorlauf zeigt sich als </w:t>
      </w:r>
      <w:r>
        <w:rPr>
          <w:b/>
        </w:rPr>
        <w:t>scharfe Spitze bei einer bestimmten positiven Verzögerung</w:t>
      </w:r>
      <w:r>
        <w:t xml:space="preserve">. Ein </w:t>
      </w:r>
      <w:r>
        <w:rPr>
          <w:b/>
        </w:rPr>
        <w:t>breites Plateau</w:t>
      </w:r>
      <w:r>
        <w:t xml:space="preserve"> dagegen ist die Signatur zweier Reihen, die über den Zeitraum </w:t>
      </w:r>
      <w:r>
        <w:rPr>
          <w:b/>
        </w:rPr>
        <w:t>gemeinsam trenden</w:t>
      </w:r>
      <w:r>
        <w:t xml:space="preserve"> — nicht von Vorhersage. Sobald man auf </w:t>
      </w:r>
      <w:r>
        <w:rPr>
          <w:b/>
        </w:rPr>
        <w:t>Renditen</w:t>
      </w:r>
      <w:r>
        <w:t xml:space="preserve"> wechselt (die stationäre, faire Messung, Kapitel 7.2), verschwindet der scheinbare Vorlauf: das Maximum liegt täglich </w:t>
      </w:r>
      <w:r>
        <w:rPr>
          <w:b/>
        </w:rPr>
        <w:t>und</w:t>
      </w:r>
      <w:r>
        <w:t xml:space="preserve"> wöchentlich bei Lag 0. Die monatlichen „Spitzen" (+5 bzw. −5) zeigen in </w:t>
      </w:r>
      <w:r>
        <w:rPr>
          <w:b/>
        </w:rPr>
        <w:t>entgegengesetzte</w:t>
      </w:r>
      <w:r>
        <w:t xml:space="preserve"> Richtungen und liegen mit n ≈ 40 </w:t>
      </w:r>
      <w:r>
        <w:rPr>
          <w:b/>
        </w:rPr>
        <w:t>innerhalb</w:t>
      </w:r>
      <w:r>
        <w:t xml:space="preserve"> des Bandes (±0.31) — also Rauschen, kein Signal.</w:t>
      </w:r>
    </w:p>
    <w:p>
      <w:pPr>
        <w:ind w:left="283"/>
      </w:pPr>
      <w:r>
        <w:rPr>
          <w:i/>
        </w:rPr>
        <w:t>**Kernlektion:** Zwei gemeinsam trendende Reihen sehen im **Niveau** wie ein Vorlauf aus; erst die Analyse auf **Renditen** unterscheidet „bewegt sich gemeinsam" von „sagt vorher". Hier: gemeinsam (Lag 0), kein Vorlauf.</w:t>
      </w:r>
    </w:p>
    <w:p>
      <w:pPr>
        <w:pStyle w:val="Heading3"/>
        <w:jc w:val="left"/>
      </w:pPr>
      <w:r>
        <w:t>9.5 Effekt der Interpolation</w:t>
      </w:r>
    </w:p>
    <w:p>
      <w:r>
        <w:t xml:space="preserve">Mit linear interpolierten Kurs-Renditen sinkt r für EUR/USD und GBP/USD von ~0.18–0.21 auf ~0.11–0.16. </w:t>
      </w:r>
      <w:r>
        <w:rPr>
          <w:b/>
        </w:rPr>
        <w:t>Das ist erwartbar und methodisch korrekt:</w:t>
      </w:r>
      <w:r>
        <w:t xml:space="preserve"> Interpolierte Wochenend-Renditen sind künstlich konstruiert und tragen kein neues Signal — sie verdünnen die Stichprobe. Die Aussage „gleichzeitige Korrelation, kein Vorlauf" gilt in </w:t>
      </w:r>
      <w:r>
        <w:rPr>
          <w:b/>
        </w:rPr>
        <w:t>beiden</w:t>
      </w:r>
      <w:r>
        <w:t xml:space="preserve"> Varianten. Deshalb ist die Variante </w:t>
      </w:r>
      <w:r>
        <w:rPr>
          <w:b/>
        </w:rPr>
        <w:t>ohne</w:t>
      </w:r>
      <w:r>
        <w:t xml:space="preserve"> Interpolation der primäre Auswertungspfad; die interpolierte dient als Robustheitsnachweis.</w:t>
      </w:r>
    </w:p>
    <w:p>
      <w:pPr>
        <w:pStyle w:val="Heading3"/>
        <w:jc w:val="left"/>
      </w:pPr>
      <w:r>
        <w:t>9.6 Methodische Grenzen (sind Teil der Antwort)</w:t>
      </w:r>
    </w:p>
    <w:p>
      <w:pPr>
        <w:pStyle w:val="ListBullet"/>
      </w:pPr>
      <w:r>
        <w:rPr>
          <w:b/>
        </w:rPr>
        <w:t>Korrelation ≠ Kausalität.</w:t>
      </w:r>
      <w:r>
        <w:t xml:space="preserve"> Selbst die klare gleichzeitige Korrelation zeigt nur, dass Markt und Nachrichten gemeinsam reagieren — nicht warum. Ein gemeinsamer dritter Faktor (Makrodaten, Notenbank-Entscheide) kann beide erklären.</w:t>
      </w:r>
    </w:p>
    <w:p>
      <w:pPr>
        <w:pStyle w:val="ListBullet"/>
      </w:pPr>
      <w:r>
        <w:rPr>
          <w:b/>
        </w:rPr>
        <w:t>Lead/Lag wird in der Vorlesung nicht behandelt</w:t>
      </w:r>
      <w:r>
        <w:t xml:space="preserve"> — die Methodik folgt der Standard-Statistik-Literatur. Ein formaler </w:t>
      </w:r>
      <w:r>
        <w:rPr>
          <w:b/>
        </w:rPr>
        <w:t>Granger-Test</w:t>
      </w:r>
      <w:r>
        <w:t xml:space="preserve"> wäre der nächste Schritt; er ist im Notebook als deaktivierte Zelle vorbereitet (Paket </w:t>
      </w:r>
      <w:r>
        <w:rPr>
          <w:rFonts w:ascii="Consolas" w:hAnsi="Consolas"/>
          <w:sz w:val="20"/>
        </w:rPr>
        <w:t>statsmodels</w:t>
      </w:r>
      <w:r>
        <w:t xml:space="preserve"> nötig).</w:t>
      </w:r>
    </w:p>
    <w:p>
      <w:pPr>
        <w:pStyle w:val="ListBullet"/>
      </w:pPr>
      <w:r>
        <w:rPr>
          <w:b/>
        </w:rPr>
        <w:t>EUR/CHF ist bei EODHD praktisch keine Datenquelle</w:t>
      </w:r>
      <w:r>
        <w:t xml:space="preserve"> (7 Tage) — negative Evidenz, kein Paar-Ergebnis.</w:t>
      </w:r>
    </w:p>
    <w:p>
      <w:pPr>
        <w:pStyle w:val="ListBullet"/>
      </w:pPr>
      <w:r>
        <w:rPr>
          <w:b/>
        </w:rPr>
        <w:t>Webscraping ist nicht paar-spezifisch</w:t>
      </w:r>
      <w:r>
        <w:t xml:space="preserve"> und dünn (Kapitel 8.4).</w:t>
      </w:r>
    </w:p>
    <w:p>
      <w:pPr>
        <w:pStyle w:val="ListBullet"/>
      </w:pPr>
      <w:r>
        <w:rPr>
          <w:b/>
        </w:rPr>
        <w:t>TextBlob auf Finanztexten</w:t>
      </w:r>
      <w:r>
        <w:t xml:space="preserve"> liefert oft 0 (Kapitel 8.4).</w:t>
      </w:r>
    </w:p>
    <w:p>
      <w:pPr>
        <w:pStyle w:val="Heading2"/>
        <w:jc w:val="left"/>
      </w:pPr>
      <w:r>
        <w:t>10. Die zwei „Master-Grafiken": sauberer Weg vs. Machbarkeitsnachweis</w:t>
      </w:r>
    </w:p>
    <w:p>
      <w:r>
        <w:t>Das Dashboard stellt zwei Wege direkt nebeneinander: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Baustein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„Master Grafik" (sauberer Weg)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„Master Grafik 2" (Proof of Concept)</w:t>
            </w:r>
          </w:p>
        </w:tc>
      </w:tr>
      <w:tr>
        <w:tc>
          <w:tcPr>
            <w:tcW w:type="dxa" w:w="2880"/>
          </w:tcPr>
          <w:p>
            <w:r/>
            <w:r>
              <w:t>Kurs</w:t>
            </w:r>
          </w:p>
        </w:tc>
        <w:tc>
          <w:tcPr>
            <w:tcW w:type="dxa" w:w="2880"/>
          </w:tcPr>
          <w:p>
            <w:r/>
            <w:r>
              <w:t>Yahoo + EODHD (ausgerichtet, gemittelt)</w:t>
            </w:r>
          </w:p>
        </w:tc>
        <w:tc>
          <w:tcPr>
            <w:tcW w:type="dxa" w:w="2880"/>
          </w:tcPr>
          <w:p>
            <w:r/>
            <w:r>
              <w:t>identisch</w:t>
            </w:r>
          </w:p>
        </w:tc>
      </w:tr>
      <w:tr>
        <w:tc>
          <w:tcPr>
            <w:tcW w:type="dxa" w:w="2880"/>
          </w:tcPr>
          <w:p>
            <w:r/>
            <w:r>
              <w:t>Öl</w:t>
            </w:r>
          </w:p>
        </w:tc>
        <w:tc>
          <w:tcPr>
            <w:tcW w:type="dxa" w:w="2880"/>
          </w:tcPr>
          <w:p>
            <w:r/>
            <w:r>
              <w:t>Yahoo (WTI/Brent)</w:t>
            </w:r>
          </w:p>
        </w:tc>
        <w:tc>
          <w:tcPr>
            <w:tcW w:type="dxa" w:w="2880"/>
          </w:tcPr>
          <w:p>
            <w:r/>
            <w:r>
              <w:t>identisch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EODHD-Polarity, Tagesmedian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TextBlob auf Webscraping-Text</w:t>
            </w:r>
          </w:p>
        </w:tc>
      </w:tr>
    </w:tbl>
    <w:p/>
    <w:p>
      <w:r>
        <w:t xml:space="preserve">Der Sinn des zweiten Wegs: Falls der im sauberen Weg gefundene Zusammenhang nur durch die EODHD-Methode entstünde, wäre die Schlussfolgerung wackelig. Taucht ein ähnliches Bild </w:t>
      </w:r>
      <w:r>
        <w:rPr>
          <w:b/>
        </w:rPr>
        <w:t>auch</w:t>
      </w:r>
      <w:r>
        <w:t xml:space="preserve"> mit anderer Quelle und Methode auf, ist es robuster. In unserem Fall ist der Webscraping-Weg dafür allerdings zu dünn (Kapitel 8.4) — er bleibt ein Machbarkeitsnachweis.</w:t>
      </w:r>
    </w:p>
    <w:p>
      <w:pPr>
        <w:pStyle w:val="Heading2"/>
        <w:jc w:val="left"/>
      </w:pPr>
      <w:r>
        <w:t>11. Das Dashboard</w:t>
      </w:r>
    </w:p>
    <w:p>
      <w:r>
        <w:t>Eine interaktive Streamlit-Anwendung (</w:t>
      </w:r>
      <w:r>
        <w:rPr>
          <w:rFonts w:ascii="Consolas" w:hAnsi="Consolas"/>
          <w:sz w:val="20"/>
        </w:rPr>
        <w:t>dashboard.py</w:t>
      </w:r>
      <w:r>
        <w:t>) mit u. a. diesen Seiten: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Seite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Zweck</w:t>
            </w:r>
          </w:p>
        </w:tc>
      </w:tr>
      <w:tr>
        <w:tc>
          <w:tcPr>
            <w:tcW w:type="dxa" w:w="4320"/>
          </w:tcPr>
          <w:p>
            <w:r/>
            <w:r>
              <w:t>Übersicht</w:t>
            </w:r>
          </w:p>
        </w:tc>
        <w:tc>
          <w:tcPr>
            <w:tcW w:type="dxa" w:w="4320"/>
          </w:tcPr>
          <w:p>
            <w:r/>
            <w:r>
              <w:t>Projekt-Kennzahlen, Quellenzahl, Datenpunkte</w:t>
            </w:r>
          </w:p>
        </w:tc>
      </w:tr>
      <w:tr>
        <w:tc>
          <w:tcPr>
            <w:tcW w:type="dxa" w:w="4320"/>
          </w:tcPr>
          <w:p>
            <w:r/>
            <w:r>
              <w:t>Quellenvergleich</w:t>
            </w:r>
          </w:p>
        </w:tc>
        <w:tc>
          <w:tcPr>
            <w:tcW w:type="dxa" w:w="4320"/>
          </w:tcPr>
          <w:p>
            <w:r/>
            <w:r>
              <w:t>Yahoo vs. EODHD vs. MetaTrader, Kursverläufe überlagert</w:t>
            </w:r>
          </w:p>
        </w:tc>
      </w:tr>
      <w:tr>
        <w:tc>
          <w:tcPr>
            <w:tcW w:type="dxa" w:w="4320"/>
          </w:tcPr>
          <w:p>
            <w:r/>
            <w:r>
              <w:t>Lückenanalyse</w:t>
            </w:r>
          </w:p>
        </w:tc>
        <w:tc>
          <w:tcPr>
            <w:tcW w:type="dxa" w:w="4320"/>
          </w:tcPr>
          <w:p>
            <w:r/>
            <w:r>
              <w:t>welche Tage bei welcher Quelle fehlen</w:t>
            </w:r>
          </w:p>
        </w:tc>
      </w:tr>
      <w:tr>
        <w:tc>
          <w:tcPr>
            <w:tcW w:type="dxa" w:w="4320"/>
          </w:tcPr>
          <w:p>
            <w:r/>
            <w:r>
              <w:t>Preisabweichungen</w:t>
            </w:r>
          </w:p>
        </w:tc>
        <w:tc>
          <w:tcPr>
            <w:tcW w:type="dxa" w:w="4320"/>
          </w:tcPr>
          <w:p>
            <w:r/>
            <w:r>
              <w:t>Differenz zwischen den Quellen über die Zeit</w:t>
            </w:r>
          </w:p>
        </w:tc>
      </w:tr>
      <w:tr>
        <w:tc>
          <w:tcPr>
            <w:tcW w:type="dxa" w:w="4320"/>
          </w:tcPr>
          <w:p>
            <w:r/>
            <w:r>
              <w:t>Ölpreise</w:t>
            </w:r>
          </w:p>
        </w:tc>
        <w:tc>
          <w:tcPr>
            <w:tcW w:type="dxa" w:w="4320"/>
          </w:tcPr>
          <w:p>
            <w:r/>
            <w:r>
              <w:t>WTI + Brent mit Rendite-Statistik</w:t>
            </w:r>
          </w:p>
        </w:tc>
      </w:tr>
      <w:tr>
        <w:tc>
          <w:tcPr>
            <w:tcW w:type="dxa" w:w="4320"/>
          </w:tcPr>
          <w:p>
            <w:r/>
            <w:r>
              <w:t>Nachrichten</w:t>
            </w:r>
          </w:p>
        </w:tc>
        <w:tc>
          <w:tcPr>
            <w:tcW w:type="dxa" w:w="4320"/>
          </w:tcPr>
          <w:p>
            <w:r/>
            <w:r>
              <w:t>Artikel-Browser über die EODHD-Nachrichten</w:t>
            </w:r>
          </w:p>
        </w:tc>
      </w:tr>
      <w:tr>
        <w:tc>
          <w:tcPr>
            <w:tcW w:type="dxa" w:w="4320"/>
          </w:tcPr>
          <w:p>
            <w:r/>
            <w:r>
              <w:t>Sentiment-Vergleich</w:t>
            </w:r>
          </w:p>
        </w:tc>
        <w:tc>
          <w:tcPr>
            <w:tcW w:type="dxa" w:w="4320"/>
          </w:tcPr>
          <w:p>
            <w:r/>
            <w:r>
              <w:t>EODHD-Wert vs. eigene TextBlob-Berechnung auf demselben Text</w:t>
            </w:r>
          </w:p>
        </w:tc>
      </w:tr>
      <w:tr>
        <w:tc>
          <w:tcPr>
            <w:tcW w:type="dxa" w:w="4320"/>
          </w:tcPr>
          <w:p>
            <w:r/>
            <w:r>
              <w:t>Master Grafik / Master Grafik 2</w:t>
            </w:r>
          </w:p>
        </w:tc>
        <w:tc>
          <w:tcPr>
            <w:tcW w:type="dxa" w:w="4320"/>
          </w:tcPr>
          <w:p>
            <w:r/>
            <w:r>
              <w:t>sauberer Weg / Machbarkeitsnachweis (Kapitel 10)</w:t>
            </w:r>
          </w:p>
        </w:tc>
      </w:tr>
      <w:tr>
        <w:tc>
          <w:tcPr>
            <w:tcW w:type="dxa" w:w="4320"/>
          </w:tcPr>
          <w:p>
            <w:r/>
            <w:r>
              <w:t>Workflow</w:t>
            </w:r>
          </w:p>
        </w:tc>
        <w:tc>
          <w:tcPr>
            <w:tcW w:type="dxa" w:w="4320"/>
          </w:tcPr>
          <w:p>
            <w:r/>
            <w:r>
              <w:t>das Pipeline-Diagramm</w:t>
            </w:r>
          </w:p>
        </w:tc>
      </w:tr>
    </w:tbl>
    <w:p/>
    <w:p>
      <w:pPr>
        <w:pStyle w:val="Heading3"/>
        <w:jc w:val="left"/>
      </w:pPr>
      <w:r>
        <w:t>11.1 Visualisierungs-Entscheidungen (Theorie-Bezug Woche 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Entscheidung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Begründung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Linien statt Balken</w:t>
            </w:r>
            <w:r>
              <w:t xml:space="preserve"> für Zeitreihen</w:t>
            </w:r>
          </w:p>
        </w:tc>
        <w:tc>
          <w:tcPr>
            <w:tcW w:type="dxa" w:w="4320"/>
          </w:tcPr>
          <w:p>
            <w:r/>
            <w:r>
              <w:t>Position auf gemeinsamer Skala ist die effizienteste visuelle Codierung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Vollständige Y-Achse</w:t>
            </w:r>
            <w:r>
              <w:t xml:space="preserve"> (kein Beschnitt)</w:t>
            </w:r>
          </w:p>
        </w:tc>
        <w:tc>
          <w:tcPr>
            <w:tcW w:type="dxa" w:w="4320"/>
          </w:tcPr>
          <w:p>
            <w:r/>
            <w:r>
              <w:t>abgeschnittene Achsen können Trends vortäuschen oder verbergen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2D statt 3D</w:t>
            </w:r>
          </w:p>
        </w:tc>
        <w:tc>
          <w:tcPr>
            <w:tcW w:type="dxa" w:w="4320"/>
          </w:tcPr>
          <w:p>
            <w:r/>
            <w:r>
              <w:t>3D verzerrt Verhältnisse durch Perspektive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Viridis statt Jet</w:t>
            </w:r>
            <w:r>
              <w:t xml:space="preserve"> bei Verläufen</w:t>
            </w:r>
          </w:p>
        </w:tc>
        <w:tc>
          <w:tcPr>
            <w:tcW w:type="dxa" w:w="4320"/>
          </w:tcPr>
          <w:p>
            <w:r/>
            <w:r>
              <w:t>Viridis ist gleichmässig wahrnehmbar (*perceptually uniform*)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Divergierende Farbskala für Sentiment</w:t>
            </w:r>
          </w:p>
        </w:tc>
        <w:tc>
          <w:tcPr>
            <w:tcW w:type="dxa" w:w="4320"/>
          </w:tcPr>
          <w:p>
            <w:r/>
            <w:r>
              <w:t>Sentiment hat einen natürlichen Nullpunkt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Getrennte Y-Achsen je Kategorie</w:t>
            </w:r>
            <w:r>
              <w:t xml:space="preserve"> (Kurs/Öl/Sentiment)</w:t>
            </w:r>
          </w:p>
        </w:tc>
        <w:tc>
          <w:tcPr>
            <w:tcW w:type="dxa" w:w="4320"/>
          </w:tcPr>
          <w:p>
            <w:r/>
            <w:r>
              <w:t>sonst dominiert die Reihe mit der grössten Varianz die Optik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Farbenblind-Verträglichkeit</w:t>
            </w:r>
          </w:p>
        </w:tc>
        <w:tc>
          <w:tcPr>
            <w:tcW w:type="dxa" w:w="4320"/>
          </w:tcPr>
          <w:p>
            <w:r/>
            <w:r>
              <w:t>rund 8 % der Männer haben eine Rot-Grün-Schwäche; Viridis und Tableau-Farben sind tauglich</w:t>
            </w:r>
          </w:p>
        </w:tc>
      </w:tr>
    </w:tbl>
    <w:p/>
    <w:p>
      <w:pPr>
        <w:pStyle w:val="Heading2"/>
        <w:jc w:val="left"/>
      </w:pPr>
      <w:r>
        <w:t>12. Reproduzierbarkeit — Befehle und Reihenfolge</w:t>
      </w:r>
    </w:p>
    <w:p>
      <w:r>
        <w:t>Alle Schritte sind idempotent. Reihenfolge: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source .venv/bin/activate</w:t>
        <w:br/>
        <w:br/>
        <w:t># 1. Rohdaten laden (EODHD-Tageslimit beachten!)</w:t>
        <w:br/>
        <w:t>python src/data_loading/yahoo_loader.py</w:t>
        <w:br/>
        <w:t>python src/data_loading/eodhd_loader.py</w:t>
        <w:br/>
        <w:t>python src/data_loading/eodhd_news_loader.py</w:t>
        <w:br/>
        <w:t>python src/data_loading/webscraping_loader.py</w:t>
        <w:br/>
        <w:t>python src/data_loading/oil_loader.py</w:t>
        <w:br/>
        <w:br/>
        <w:t># 2. Bereinigen, ausrichten, zusammenführen</w:t>
        <w:br/>
        <w:t>python scripts/regenerate_forex_combined.py          # inkl. Datums-Ausrichtung (Kap. 6.2)</w:t>
        <w:br/>
        <w:t>python scripts/regenerate_webscraping_sentiment.py</w:t>
        <w:br/>
        <w:br/>
        <w:t># 3. Analyse-Ergebnisse erzeugen</w:t>
        <w:br/>
        <w:t>python scripts/regenerate_lead_lag_results.py        # schreibt lead_lag_results.csv (headless)</w:t>
        <w:br/>
        <w:t># alternativ das Notebook in Jupyter ausfuehren:</w:t>
        <w:br/>
        <w:t>#   notebooks/datenverarbeitung/sentiment_kurs_lead_lag_analyse.ipynb</w:t>
        <w:br/>
        <w:br/>
        <w:t># 4. Dashboard starten</w:t>
        <w:br/>
        <w:t>streamlit run dashboard.py</w:t>
      </w:r>
    </w:p>
    <w:p>
      <w:r>
        <w:rPr>
          <w:b/>
        </w:rPr>
        <w:t>Hinweis:</w:t>
      </w:r>
      <w:r>
        <w:t xml:space="preserve"> Das Lead/Lag-Notebook und </w:t>
      </w:r>
      <w:r>
        <w:rPr>
          <w:rFonts w:ascii="Consolas" w:hAnsi="Consolas"/>
          <w:sz w:val="20"/>
        </w:rPr>
        <w:t>regenerate_lead_lag_results.py</w:t>
      </w:r>
      <w:r>
        <w:t xml:space="preserve"> nutzen dieselbe Logik und erzeugen dieselben Zahlen. Das Skript ist der zuverlässige, kernel-freie Weg (die automatische Notebook-Ausführung kann im Jupyter-Kernel hängen bleiben).</w:t>
      </w:r>
    </w:p>
    <w:p>
      <w:pPr>
        <w:pStyle w:val="Heading2"/>
        <w:jc w:val="left"/>
      </w:pPr>
      <w:r>
        <w:t>13. Bekannte Einschränkungen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Punkt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Auswirkung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Behandlung</w:t>
            </w:r>
          </w:p>
        </w:tc>
      </w:tr>
      <w:tr>
        <w:tc>
          <w:tcPr>
            <w:tcW w:type="dxa" w:w="2880"/>
          </w:tcPr>
          <w:p>
            <w:r/>
            <w:r>
              <w:t>EUR/CHF-Nachrichten bei EODHD ≈ 13 Artikel</w:t>
            </w:r>
          </w:p>
        </w:tc>
        <w:tc>
          <w:tcPr>
            <w:tcW w:type="dxa" w:w="2880"/>
          </w:tcPr>
          <w:p>
            <w:r/>
            <w:r>
              <w:t>keine belastbare Sentiment-Korrelation</w:t>
            </w:r>
          </w:p>
        </w:tc>
        <w:tc>
          <w:tcPr>
            <w:tcW w:type="dxa" w:w="2880"/>
          </w:tcPr>
          <w:p>
            <w:r/>
            <w:r>
              <w:t>dokumentiert, aus der Sentiment-Analyse ausgenommen</w:t>
            </w:r>
          </w:p>
        </w:tc>
      </w:tr>
      <w:tr>
        <w:tc>
          <w:tcPr>
            <w:tcW w:type="dxa" w:w="2880"/>
          </w:tcPr>
          <w:p>
            <w:r/>
            <w:r>
              <w:t>Webscraping nur ab Scrape-Zeitpunkt, dünn (Kap. 8.4)</w:t>
            </w:r>
          </w:p>
        </w:tc>
        <w:tc>
          <w:tcPr>
            <w:tcW w:type="dxa" w:w="2880"/>
          </w:tcPr>
          <w:p>
            <w:r/>
            <w:r>
              <w:t>dirty-Weg nicht belastbar</w:t>
            </w:r>
          </w:p>
        </w:tc>
        <w:tc>
          <w:tcPr>
            <w:tcW w:type="dxa" w:w="2880"/>
          </w:tcPr>
          <w:p>
            <w:r/>
            <w:r>
              <w:t>offen dokumentiert, nur als Machbarkeitsnachweis</w:t>
            </w:r>
          </w:p>
        </w:tc>
      </w:tr>
      <w:tr>
        <w:tc>
          <w:tcPr>
            <w:tcW w:type="dxa" w:w="2880"/>
          </w:tcPr>
          <w:p>
            <w:r/>
            <w:r>
              <w:t>TextBlob: ~⅓ der Artikel mit Wert 0</w:t>
            </w:r>
          </w:p>
        </w:tc>
        <w:tc>
          <w:tcPr>
            <w:tcW w:type="dxa" w:w="2880"/>
          </w:tcPr>
          <w:p>
            <w:r/>
            <w:r>
              <w:t>unterschätzt Sentiment-Abdeckung</w:t>
            </w:r>
          </w:p>
        </w:tc>
        <w:tc>
          <w:tcPr>
            <w:tcW w:type="dxa" w:w="2880"/>
          </w:tcPr>
          <w:p>
            <w:r/>
            <w:r>
              <w:t>offen dokumentiert; FinBERT/VADER als Erweiterung</w:t>
            </w:r>
          </w:p>
        </w:tc>
      </w:tr>
      <w:tr>
        <w:tc>
          <w:tcPr>
            <w:tcW w:type="dxa" w:w="2880"/>
          </w:tcPr>
          <w:p>
            <w:r/>
            <w:r>
              <w:t>MetaTrader-Daten enden 2025-12-26</w:t>
            </w:r>
          </w:p>
        </w:tc>
        <w:tc>
          <w:tcPr>
            <w:tcW w:type="dxa" w:w="2880"/>
          </w:tcPr>
          <w:p>
            <w:r/>
            <w:r>
              <w:t>kein 2026-Anteil</w:t>
            </w:r>
          </w:p>
        </w:tc>
        <w:tc>
          <w:tcPr>
            <w:tcW w:type="dxa" w:w="2880"/>
          </w:tcPr>
          <w:p>
            <w:r/>
            <w:r>
              <w:t>nur im Quellenvergleich genutzt</w:t>
            </w:r>
          </w:p>
        </w:tc>
      </w:tr>
      <w:tr>
        <w:tc>
          <w:tcPr>
            <w:tcW w:type="dxa" w:w="2880"/>
          </w:tcPr>
          <w:p>
            <w:r/>
            <w:r>
              <w:t>Quellen-Datierungsfehler (Kap. 5.3)</w:t>
            </w:r>
          </w:p>
        </w:tc>
        <w:tc>
          <w:tcPr>
            <w:tcW w:type="dxa" w:w="2880"/>
          </w:tcPr>
          <w:p>
            <w:r/>
            <w:r>
              <w:t>hätte den Mittelwert verfälscht</w:t>
            </w:r>
          </w:p>
        </w:tc>
        <w:tc>
          <w:tcPr>
            <w:tcW w:type="dxa" w:w="2880"/>
          </w:tcPr>
          <w:p>
            <w:r/>
            <w:r>
              <w:t>datengetrieben ausgerichtet, dokumentiert, behoben</w:t>
            </w:r>
          </w:p>
        </w:tc>
      </w:tr>
      <w:tr>
        <w:tc>
          <w:tcPr>
            <w:tcW w:type="dxa" w:w="2880"/>
          </w:tcPr>
          <w:p>
            <w:r/>
            <w:r>
              <w:t>DailyFX-/Investing.com-Scraping: HTTP 403</w:t>
            </w:r>
          </w:p>
        </w:tc>
        <w:tc>
          <w:tcPr>
            <w:tcW w:type="dxa" w:w="2880"/>
          </w:tcPr>
          <w:p>
            <w:r/>
            <w:r>
              <w:t>zwei Quellen blockiert</w:t>
            </w:r>
          </w:p>
        </w:tc>
        <w:tc>
          <w:tcPr>
            <w:tcW w:type="dxa" w:w="2880"/>
          </w:tcPr>
          <w:p>
            <w:r/>
            <w:r>
              <w:t>abgefangen; übrige Feeds reichen</w:t>
            </w:r>
          </w:p>
        </w:tc>
      </w:tr>
      <w:tr>
        <w:tc>
          <w:tcPr>
            <w:tcW w:type="dxa" w:w="2880"/>
          </w:tcPr>
          <w:p>
            <w:r/>
            <w:r>
              <w:t>RSS-SSL-Fehler auf macOS</w:t>
            </w:r>
          </w:p>
        </w:tc>
        <w:tc>
          <w:tcPr>
            <w:tcW w:type="dxa" w:w="2880"/>
          </w:tcPr>
          <w:p>
            <w:r/>
            <w:r>
              <w:t>anfangs 0 Artikel</w:t>
            </w:r>
          </w:p>
        </w:tc>
        <w:tc>
          <w:tcPr>
            <w:tcW w:type="dxa" w:w="2880"/>
          </w:tcPr>
          <w:p>
            <w:r/>
            <w:r>
              <w:t xml:space="preserve">über </w:t>
            </w:r>
            <w:r>
              <w:rPr>
                <w:rFonts w:ascii="Consolas" w:hAnsi="Consolas"/>
                <w:sz w:val="20"/>
              </w:rPr>
              <w:t>requests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feedparser</w:t>
            </w:r>
            <w:r>
              <w:t xml:space="preserve"> behoben</w:t>
            </w:r>
          </w:p>
        </w:tc>
      </w:tr>
    </w:tbl>
    <w:p/>
    <w:p>
      <w:pPr>
        <w:pStyle w:val="Heading2"/>
        <w:jc w:val="left"/>
      </w:pPr>
      <w:r>
        <w:t>14. Projektstruktur (Kurzübersicht)</w:t>
      </w:r>
    </w:p>
    <w:p>
      <w:pPr>
        <w:ind w:left="283"/>
      </w:pPr>
      <w:r>
        <w:rPr>
          <w:rFonts w:ascii="Consolas" w:hAnsi="Consolas"/>
          <w:color w:val="333333"/>
          <w:sz w:val="18"/>
        </w:rPr>
        <w:t>datawrangling/</w:t>
        <w:br/>
        <w:t>├── src/data_loading/          # ein Lade-Skript pro Quelle</w:t>
        <w:br/>
        <w:t>├── scripts/                   # idempotente Verarbeitungs-/Build-Skripte</w:t>
        <w:br/>
        <w:t>│   ├── regenerate_forex_combined.py        # Bereinigung + Datums-Ausrichtung</w:t>
        <w:br/>
        <w:t>│   ├── regenerate_webscraping_sentiment.py</w:t>
        <w:br/>
        <w:t>│   ├── regenerate_lead_lag_results.py      # Analyse-Ergebnisse (headless)</w:t>
        <w:br/>
        <w:t>│   ├── generate_lead_lag_notebook.py</w:t>
        <w:br/>
        <w:t>│   └── build_documentation_docx.py</w:t>
        <w:br/>
        <w:t>├── notebooks/</w:t>
        <w:br/>
        <w:t>│   ├── rohdaten_laden/        # EDA pro Quelle (01–05)</w:t>
        <w:br/>
        <w:t>│   └── datenverarbeitung/     # Analyse-Notebooks (inkl. Lead/Lag)</w:t>
        <w:br/>
        <w:t>├── data/  (raw / processed / final)</w:t>
        <w:br/>
        <w:t>├── docs/architektur/          # Pipeline-Diagramm</w:t>
        <w:br/>
        <w:t>├── dashboard.py               # Streamlit-App</w:t>
        <w:br/>
        <w:t>└── DOKUMENTATION.md           # dieses Dokument</w:t>
      </w:r>
    </w:p>
    <w:p>
      <w:r>
        <w:t>*EDA = Exploratory Data Analysis (explorative Datenanalyse).*</w:t>
      </w:r>
    </w:p>
    <w:p>
      <w:pPr>
        <w:pStyle w:val="Heading2"/>
        <w:jc w:val="left"/>
      </w:pPr>
      <w:r>
        <w:t>15. Protokoll — Chronologie der wichtigsten Entscheidungen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Zeitpunkt (2026)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Entscheidung / Beobachtung</w:t>
            </w:r>
          </w:p>
        </w:tc>
      </w:tr>
      <w:tr>
        <w:tc>
          <w:tcPr>
            <w:tcW w:type="dxa" w:w="4320"/>
          </w:tcPr>
          <w:p>
            <w:r/>
            <w:r>
              <w:t>Februar</w:t>
            </w:r>
          </w:p>
        </w:tc>
        <w:tc>
          <w:tcPr>
            <w:tcW w:type="dxa" w:w="4320"/>
          </w:tcPr>
          <w:p>
            <w:r/>
            <w:r>
              <w:t>Themenfestlegung: Wechselkurse + Nachrichten-Sentiment + Öl.</w:t>
            </w:r>
          </w:p>
        </w:tc>
      </w:tr>
      <w:tr>
        <w:tc>
          <w:tcPr>
            <w:tcW w:type="dxa" w:w="4320"/>
          </w:tcPr>
          <w:p>
            <w:r/>
            <w:r>
              <w:t>Anfang März</w:t>
            </w:r>
          </w:p>
        </w:tc>
        <w:tc>
          <w:tcPr>
            <w:tcW w:type="dxa" w:w="4320"/>
          </w:tcPr>
          <w:p>
            <w:r/>
            <w:r>
              <w:t>EODHD-Integration; Tageslimit als Randbedingung erkannt.</w:t>
            </w:r>
          </w:p>
        </w:tc>
      </w:tr>
      <w:tr>
        <w:tc>
          <w:tcPr>
            <w:tcW w:type="dxa" w:w="4320"/>
          </w:tcPr>
          <w:p>
            <w:r/>
            <w:r>
              <w:t>März</w:t>
            </w:r>
          </w:p>
        </w:tc>
        <w:tc>
          <w:tcPr>
            <w:tcW w:type="dxa" w:w="4320"/>
          </w:tcPr>
          <w:p>
            <w:r/>
            <w:r>
              <w:t xml:space="preserve">Entscheidung pro </w:t>
            </w:r>
            <w:r>
              <w:rPr>
                <w:b/>
              </w:rPr>
              <w:t>Median</w:t>
            </w:r>
            <w:r>
              <w:t xml:space="preserve"> bei der Tagesaggregation des Sentiments (robuster).</w:t>
            </w:r>
          </w:p>
        </w:tc>
      </w:tr>
      <w:tr>
        <w:tc>
          <w:tcPr>
            <w:tcW w:type="dxa" w:w="4320"/>
          </w:tcPr>
          <w:p>
            <w:r/>
            <w:r>
              <w:t>April</w:t>
            </w:r>
          </w:p>
        </w:tc>
        <w:tc>
          <w:tcPr>
            <w:tcW w:type="dxa" w:w="4320"/>
          </w:tcPr>
          <w:p>
            <w:r/>
            <w:r>
              <w:t>Daten bis 2022 zurück frisch geladen; RSS-SSL-Fehler erkannt und behoben; Webscraping-Machbarkeitsnachweis ergänzt.</w:t>
            </w:r>
          </w:p>
        </w:tc>
      </w:tr>
      <w:tr>
        <w:tc>
          <w:tcPr>
            <w:tcW w:type="dxa" w:w="4320"/>
          </w:tcPr>
          <w:p>
            <w:r/>
            <w:r>
              <w:t>Mai</w:t>
            </w:r>
          </w:p>
        </w:tc>
        <w:tc>
          <w:tcPr>
            <w:tcW w:type="dxa" w:w="4320"/>
          </w:tcPr>
          <w:p>
            <w:r/>
            <w:r>
              <w:t>Lead/Lag-Notebook erstellt; Outer-Join ohne vorab gebildeten Mittelwert/Interpolation festgelegt (Mittel/Interpolation erst zur Laufzeit).</w:t>
            </w:r>
          </w:p>
        </w:tc>
      </w:tr>
      <w:tr>
        <w:tc>
          <w:tcPr>
            <w:tcW w:type="dxa" w:w="4320"/>
          </w:tcPr>
          <w:p>
            <w:r/>
            <w:r>
              <w:t>Juni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Qualitätsprüfung über Quellen:</w:t>
            </w:r>
            <w:r>
              <w:t xml:space="preserve"> Datierungsfehler (Yahoo/EODHD/MetaTrader-Tagesversatz) entdeckt, datengetriebene Ausrichtung in die Pipeline eingebaut, Lead/Lag neu gerechnet. </w:t>
            </w:r>
            <w:r>
              <w:rPr>
                <w:b/>
              </w:rPr>
              <w:t>Beobachtung „Grafik suggeriert Vorlauf"</w:t>
            </w:r>
            <w:r>
              <w:t xml:space="preserve"> geprüft → Niveau-Trend vs. Renditen-Analyse abgegrenzt. Dokumentation als verständliches Protokoll neu aufgebaut; Umlaute in Code/Kommentaren vereinheitlicht.</w:t>
            </w:r>
          </w:p>
        </w:tc>
      </w:tr>
    </w:tbl>
    <w:p/>
    <w:p>
      <w:pPr>
        <w:pStyle w:val="Heading2"/>
        <w:jc w:val="left"/>
      </w:pPr>
      <w:r>
        <w:t>16. Offen / Ausblick</w:t>
      </w:r>
    </w:p>
    <w:p>
      <w:pPr>
        <w:pStyle w:val="ListBullet"/>
      </w:pPr>
      <w:r>
        <w:rPr>
          <w:b/>
        </w:rPr>
        <w:t>Granger-Test</w:t>
      </w:r>
      <w:r>
        <w:t xml:space="preserve"> als formaler Folgeschritt (Paket </w:t>
      </w:r>
      <w:r>
        <w:rPr>
          <w:rFonts w:ascii="Consolas" w:hAnsi="Consolas"/>
          <w:sz w:val="20"/>
        </w:rPr>
        <w:t>statsmodels</w:t>
      </w:r>
      <w:r>
        <w:t>).</w:t>
      </w:r>
    </w:p>
    <w:p>
      <w:pPr>
        <w:pStyle w:val="ListBullet"/>
      </w:pPr>
      <w:r>
        <w:rPr>
          <w:b/>
        </w:rPr>
        <w:t>Finanzspezifisches Sentiment</w:t>
      </w:r>
      <w:r>
        <w:t xml:space="preserve"> (FinBERT, VADER + Loughran-McDonald-Lexikon) statt TextBlob — würde die ~⅓ Nullwerte deutlich reduzieren.</w:t>
      </w:r>
    </w:p>
    <w:p>
      <w:pPr>
        <w:pStyle w:val="ListBullet"/>
      </w:pPr>
      <w:r>
        <w:rPr>
          <w:b/>
        </w:rPr>
        <w:t>Grafiken in den Bericht einbetten</w:t>
      </w:r>
      <w:r>
        <w:t xml:space="preserve"> (Kreuzkorrelations-Kurve, Quellenvergleich, Lückenanalyse, Niveau-vs-Renditen-Gegenüberstellung) — folgt als letzter Schritt vor der Abgabe.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