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Cricket Match Outcome Prediction Using AutoGluon: A Machine Learning Approach</w:t>
      </w:r>
    </w:p>
    <w:p>
      <w:pPr>
        <w:pStyle w:val="Heading1"/>
      </w:pPr>
      <w:r>
        <w:t>Abstract</w:t>
      </w:r>
    </w:p>
    <w:p>
      <w:r>
        <w:t>This study presents an end-to-end machine learning pipeline designed to predict the winner of One Day International (ODI) cricket matches using only pre-match data. Leveraging AutoGluon, an AutoML framework, we developed an ensemble-based classifier to make informed predictions using contextual features such as team rankings, weather conditions, toss outcomes, and match venues. This model serves as a proof of concept for integrating AI into sports analytics, enabling pre-game strategy optimization and fan engagement.</w:t>
      </w:r>
    </w:p>
    <w:p>
      <w:pPr>
        <w:pStyle w:val="Heading1"/>
      </w:pPr>
      <w:r>
        <w:t>Objectives</w:t>
      </w:r>
    </w:p>
    <w:p>
      <w:r>
        <w:t>- To forecast ODI match outcomes using only pre-match metadata.</w:t>
      </w:r>
    </w:p>
    <w:p>
      <w:r>
        <w:t>- To apply AutoML techniques to optimize model performance without manual tuning.</w:t>
      </w:r>
    </w:p>
    <w:p>
      <w:r>
        <w:t>- To ensure generalizable and explainable performance using cross-validation and feature engineering.</w:t>
      </w:r>
    </w:p>
    <w:p>
      <w:pPr>
        <w:pStyle w:val="Heading1"/>
      </w:pPr>
      <w:r>
        <w:t>Methodology</w:t>
      </w:r>
    </w:p>
    <w:p>
      <w:r>
        <w:t>The methodology encompasses data acquisition, preprocessing, feature engineering, model training, and evaluation.</w:t>
      </w:r>
    </w:p>
    <w:p>
      <w:pPr>
        <w:pStyle w:val="Heading2"/>
      </w:pPr>
      <w:r>
        <w:t>1. Data Preprocessing</w:t>
      </w:r>
    </w:p>
    <w:p>
      <w:r>
        <w:t>The dataset was sourced from historical ODI matches, enriched with weather attributes and team-related details. Initial cleaning included the removal of rows containing missing values in critical columns such as match winner, team names, and invalid temperature values. Columns were renamed to standardized formats for clarity.</w:t>
      </w:r>
    </w:p>
    <w:p>
      <w:pPr>
        <w:pStyle w:val="Heading2"/>
      </w:pPr>
      <w:r>
        <w:t>2. Feature Engineering</w:t>
      </w:r>
    </w:p>
    <w:p>
      <w:r>
        <w:t>Derived features were introduced to enhance model signal strength. These included binary encodings for home advantage and toss influence, manually assigned ICC team rankings, and their difference (`rank_diff`). Additionally, a binary target was defined: 1 if Team1 won, else 0.</w:t>
      </w:r>
    </w:p>
    <w:p>
      <w:pPr>
        <w:pStyle w:val="Heading2"/>
      </w:pPr>
      <w:r>
        <w:t>3. Data Transformation</w:t>
      </w:r>
    </w:p>
    <w:p>
      <w:r>
        <w:t>Numerical features were scaled using `StandardScaler` for SVM-based models. One-hot encoding was applied to categorical features for XGBoost, and string labels were label-encoded for compatibility.</w:t>
      </w:r>
    </w:p>
    <w:p>
      <w:pPr>
        <w:pStyle w:val="Heading2"/>
      </w:pPr>
      <w:r>
        <w:t>4. Addressing Class Imbalance</w:t>
      </w:r>
    </w:p>
    <w:p>
      <w:r>
        <w:t>To handle imbalance in match outcomes, class weights were inversely scaled based on class frequency. These weights were passed to training routines.</w:t>
      </w:r>
    </w:p>
    <w:p>
      <w:pPr>
        <w:pStyle w:val="Heading2"/>
      </w:pPr>
      <w:r>
        <w:t>5. Model Training</w:t>
      </w:r>
    </w:p>
    <w:p>
      <w:r>
        <w:t>The following models were implemented:</w:t>
      </w:r>
    </w:p>
    <w:p>
      <w:r>
        <w:t>- TabPFN: A transformer-based probabilistic model trained using scaled features. Auto-selects GPU when available.</w:t>
      </w:r>
    </w:p>
    <w:p>
      <w:r>
        <w:t>- Support Vector Machine (SVM): RBF kernel-based classifier optimized via GridSearchCV over parameters C and gamma.</w:t>
      </w:r>
    </w:p>
    <w:p>
      <w:r>
        <w:t>- XGBoost: Both binary and multiclass classifiers were implemented with `RandomizedSearchCV` over hyperparameters like depth, learning rate, and regularization values.</w:t>
      </w:r>
    </w:p>
    <w:p>
      <w:pPr>
        <w:pStyle w:val="Heading2"/>
      </w:pPr>
      <w:r>
        <w:t>6. AutoML with AutoGluon</w:t>
      </w:r>
    </w:p>
    <w:p>
      <w:r>
        <w:t>AutoGluon Tabular was employed to streamline model selection, tuning, and ensembling. The configuration included two levels of stacking and five-fold bagging. The time budget was constrained to 900 seconds.</w:t>
      </w:r>
    </w:p>
    <w:p>
      <w:pPr>
        <w:pStyle w:val="Heading1"/>
      </w:pPr>
      <w:r>
        <w:t>Results</w:t>
      </w:r>
    </w:p>
    <w:p>
      <w:r>
        <w:t>Model performance was evaluated via cross-validation and full-dataset evaluation.</w:t>
      </w:r>
    </w:p>
    <w:p>
      <w:pPr>
        <w:pStyle w:val="Heading2"/>
      </w:pPr>
      <w:r>
        <w:t>Evaluation Metrics (Final Stacked Model):</w:t>
      </w:r>
    </w:p>
    <w:p>
      <w:r>
        <w:t>- Accuracy: 0.6512</w:t>
      </w:r>
    </w:p>
    <w:p>
      <w:r>
        <w:t>- Balanced Accuracy: 0.6509</w:t>
      </w:r>
    </w:p>
    <w:p>
      <w:r>
        <w:t>- MCC: 0.3102</w:t>
      </w:r>
    </w:p>
    <w:p>
      <w:r>
        <w:t>- ROC AUC: 0.7204</w:t>
      </w:r>
    </w:p>
    <w:p>
      <w:r>
        <w:t>- F1 Score: 0.6611</w:t>
      </w:r>
    </w:p>
    <w:p>
      <w:r>
        <w:t>- Precision: 0.6258</w:t>
      </w:r>
    </w:p>
    <w:p>
      <w:r>
        <w:t>- Recall: 0.7024</w:t>
      </w:r>
    </w:p>
    <w:p>
      <w:r>
        <w:t>Best performing model: LightGBMLarge_BAG_L1</w:t>
      </w:r>
    </w:p>
    <w:p>
      <w:pPr>
        <w:pStyle w:val="Heading2"/>
      </w:pPr>
      <w:r>
        <w:t>Model Performance Comparison</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tcPr>
          <w:p>
            <w:r>
              <w:t>Model</w:t>
            </w:r>
          </w:p>
        </w:tc>
        <w:tc>
          <w:tcPr>
            <w:tcW w:type="dxa" w:w="2160"/>
          </w:tcPr>
          <w:p>
            <w:r>
              <w:t>Accuracy</w:t>
            </w:r>
          </w:p>
        </w:tc>
        <w:tc>
          <w:tcPr>
            <w:tcW w:type="dxa" w:w="2160"/>
          </w:tcPr>
          <w:p>
            <w:r>
              <w:t>Precision</w:t>
            </w:r>
          </w:p>
        </w:tc>
        <w:tc>
          <w:tcPr>
            <w:tcW w:type="dxa" w:w="2160"/>
          </w:tcPr>
          <w:p>
            <w:r>
              <w:t>Recall</w:t>
            </w:r>
          </w:p>
        </w:tc>
      </w:tr>
      <w:tr>
        <w:tc>
          <w:tcPr>
            <w:tcW w:type="dxa" w:w="2160"/>
          </w:tcPr>
          <w:p>
            <w:r>
              <w:t>SVM</w:t>
            </w:r>
          </w:p>
        </w:tc>
        <w:tc>
          <w:tcPr>
            <w:tcW w:type="dxa" w:w="2160"/>
          </w:tcPr>
          <w:p>
            <w:r>
              <w:t>0.605</w:t>
            </w:r>
          </w:p>
        </w:tc>
        <w:tc>
          <w:tcPr>
            <w:tcW w:type="dxa" w:w="2160"/>
          </w:tcPr>
          <w:p>
            <w:r>
              <w:t>-</w:t>
            </w:r>
          </w:p>
        </w:tc>
        <w:tc>
          <w:tcPr>
            <w:tcW w:type="dxa" w:w="2160"/>
          </w:tcPr>
          <w:p>
            <w:r>
              <w:t>-</w:t>
            </w:r>
          </w:p>
        </w:tc>
      </w:tr>
      <w:tr>
        <w:tc>
          <w:tcPr>
            <w:tcW w:type="dxa" w:w="2160"/>
          </w:tcPr>
          <w:p>
            <w:r>
              <w:t>XGBoost</w:t>
            </w:r>
          </w:p>
        </w:tc>
        <w:tc>
          <w:tcPr>
            <w:tcW w:type="dxa" w:w="2160"/>
          </w:tcPr>
          <w:p>
            <w:r>
              <w:t>0.637</w:t>
            </w:r>
          </w:p>
        </w:tc>
        <w:tc>
          <w:tcPr>
            <w:tcW w:type="dxa" w:w="2160"/>
          </w:tcPr>
          <w:p>
            <w:r>
              <w:t>-</w:t>
            </w:r>
          </w:p>
        </w:tc>
        <w:tc>
          <w:tcPr>
            <w:tcW w:type="dxa" w:w="2160"/>
          </w:tcPr>
          <w:p>
            <w:r>
              <w:t>-</w:t>
            </w:r>
          </w:p>
        </w:tc>
      </w:tr>
      <w:tr>
        <w:tc>
          <w:tcPr>
            <w:tcW w:type="dxa" w:w="2160"/>
          </w:tcPr>
          <w:p>
            <w:r>
              <w:t>XGBoost (Alt)</w:t>
            </w:r>
          </w:p>
        </w:tc>
        <w:tc>
          <w:tcPr>
            <w:tcW w:type="dxa" w:w="2160"/>
          </w:tcPr>
          <w:p>
            <w:r>
              <w:t>0.644</w:t>
            </w:r>
          </w:p>
        </w:tc>
        <w:tc>
          <w:tcPr>
            <w:tcW w:type="dxa" w:w="2160"/>
          </w:tcPr>
          <w:p>
            <w:r>
              <w:t>-</w:t>
            </w:r>
          </w:p>
        </w:tc>
        <w:tc>
          <w:tcPr>
            <w:tcW w:type="dxa" w:w="2160"/>
          </w:tcPr>
          <w:p>
            <w:r>
              <w:t>-</w:t>
            </w:r>
          </w:p>
        </w:tc>
      </w:tr>
      <w:tr>
        <w:tc>
          <w:tcPr>
            <w:tcW w:type="dxa" w:w="2160"/>
          </w:tcPr>
          <w:p>
            <w:r>
              <w:t>Random Forest</w:t>
            </w:r>
          </w:p>
        </w:tc>
        <w:tc>
          <w:tcPr>
            <w:tcW w:type="dxa" w:w="2160"/>
          </w:tcPr>
          <w:p>
            <w:r>
              <w:t>0.662</w:t>
            </w:r>
          </w:p>
        </w:tc>
        <w:tc>
          <w:tcPr>
            <w:tcW w:type="dxa" w:w="2160"/>
          </w:tcPr>
          <w:p>
            <w:r>
              <w:t>-</w:t>
            </w:r>
          </w:p>
        </w:tc>
        <w:tc>
          <w:tcPr>
            <w:tcW w:type="dxa" w:w="2160"/>
          </w:tcPr>
          <w:p>
            <w:r>
              <w:t>-</w:t>
            </w:r>
          </w:p>
        </w:tc>
      </w:tr>
      <w:tr>
        <w:tc>
          <w:tcPr>
            <w:tcW w:type="dxa" w:w="2160"/>
          </w:tcPr>
          <w:p>
            <w:r>
              <w:t>Final Stacked Model</w:t>
            </w:r>
          </w:p>
        </w:tc>
        <w:tc>
          <w:tcPr>
            <w:tcW w:type="dxa" w:w="2160"/>
          </w:tcPr>
          <w:p>
            <w:r>
              <w:t>0.651</w:t>
            </w:r>
          </w:p>
        </w:tc>
        <w:tc>
          <w:tcPr>
            <w:tcW w:type="dxa" w:w="2160"/>
          </w:tcPr>
          <w:p>
            <w:r>
              <w:t>0.626</w:t>
            </w:r>
          </w:p>
        </w:tc>
        <w:tc>
          <w:tcPr>
            <w:tcW w:type="dxa" w:w="2160"/>
          </w:tcPr>
          <w:p>
            <w:r>
              <w:t>0.702</w:t>
            </w:r>
          </w:p>
        </w:tc>
      </w:tr>
    </w:tbl>
    <w:p>
      <w:pPr>
        <w:pStyle w:val="Heading1"/>
      </w:pPr>
      <w:r>
        <w:t>Conclusion</w:t>
      </w:r>
    </w:p>
    <w:p>
      <w:r>
        <w:t>The study successfully demonstrates the feasibility of using AutoML techniques like AutoGluon to automate model development in cricket match outcome prediction. By leveraging engineered features and ensemble learning, the model achieved over 65% accuracy on pre-match data alone. Future improvements could involve incorporating dynamic player statistics, match history, and real-time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