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1CAC" w14:textId="1959839A" w:rsidR="00DC227B" w:rsidRPr="00EE4D2C" w:rsidRDefault="00DC227B" w:rsidP="005918C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D2C">
        <w:rPr>
          <w:rFonts w:ascii="Times New Roman" w:hAnsi="Times New Roman" w:cs="Times New Roman"/>
          <w:b/>
          <w:bCs/>
          <w:sz w:val="24"/>
          <w:szCs w:val="24"/>
        </w:rPr>
        <w:t>Informe de resultados y análisis estadístico</w:t>
      </w:r>
    </w:p>
    <w:p w14:paraId="40E11481" w14:textId="3147F198" w:rsidR="00DC227B" w:rsidRPr="005918CC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18CC">
        <w:rPr>
          <w:rFonts w:ascii="Times New Roman" w:hAnsi="Times New Roman" w:cs="Times New Roman"/>
          <w:b/>
          <w:bCs/>
          <w:sz w:val="24"/>
          <w:szCs w:val="24"/>
        </w:rPr>
        <w:t xml:space="preserve">1. Antecedentes y </w:t>
      </w:r>
      <w:r w:rsidR="00AF788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918CC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15DC6538" w14:textId="77777777" w:rsidR="00DC227B" w:rsidRPr="00EE4D2C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El proyecto involucra tres fuentes de datos:</w:t>
      </w:r>
    </w:p>
    <w:p w14:paraId="4323CC57" w14:textId="77777777" w:rsidR="00DC227B" w:rsidRPr="00EE4D2C" w:rsidRDefault="00DC227B" w:rsidP="005918CC">
      <w:pPr>
        <w:numPr>
          <w:ilvl w:val="0"/>
          <w:numId w:val="6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918CC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customers.csv</w:t>
      </w:r>
      <w:r w:rsidRPr="00EE4D2C">
        <w:rPr>
          <w:rFonts w:ascii="Times New Roman" w:hAnsi="Times New Roman" w:cs="Times New Roman"/>
          <w:sz w:val="24"/>
          <w:szCs w:val="24"/>
        </w:rPr>
        <w:t>, con información de clientes (ID, nombre, dirección, etc.).</w:t>
      </w:r>
    </w:p>
    <w:p w14:paraId="4F630BE2" w14:textId="77777777" w:rsidR="00DC227B" w:rsidRPr="00EE4D2C" w:rsidRDefault="00DC227B" w:rsidP="005918CC">
      <w:pPr>
        <w:numPr>
          <w:ilvl w:val="0"/>
          <w:numId w:val="6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918CC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orders.csv</w:t>
      </w:r>
      <w:r w:rsidRPr="00EE4D2C">
        <w:rPr>
          <w:rFonts w:ascii="Times New Roman" w:hAnsi="Times New Roman" w:cs="Times New Roman"/>
          <w:sz w:val="24"/>
          <w:szCs w:val="24"/>
        </w:rPr>
        <w:t>, con detalles sobre las órdenes (fecha de pedido, fecha requerida, envío, etc.).</w:t>
      </w:r>
    </w:p>
    <w:p w14:paraId="25CBB49F" w14:textId="65F8E033" w:rsidR="00DC227B" w:rsidRPr="00EE4D2C" w:rsidRDefault="00DC227B" w:rsidP="005918CC">
      <w:pPr>
        <w:numPr>
          <w:ilvl w:val="0"/>
          <w:numId w:val="6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918CC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order_items.csv</w:t>
      </w:r>
      <w:r w:rsidRPr="00EE4D2C">
        <w:rPr>
          <w:rFonts w:ascii="Times New Roman" w:hAnsi="Times New Roman" w:cs="Times New Roman"/>
          <w:sz w:val="24"/>
          <w:szCs w:val="24"/>
        </w:rPr>
        <w:t>, relaci</w:t>
      </w:r>
      <w:r w:rsidR="005918CC">
        <w:rPr>
          <w:rFonts w:ascii="Times New Roman" w:hAnsi="Times New Roman" w:cs="Times New Roman"/>
          <w:sz w:val="24"/>
          <w:szCs w:val="24"/>
        </w:rPr>
        <w:t>ón de</w:t>
      </w:r>
      <w:r w:rsidRPr="00EE4D2C">
        <w:rPr>
          <w:rFonts w:ascii="Times New Roman" w:hAnsi="Times New Roman" w:cs="Times New Roman"/>
          <w:sz w:val="24"/>
          <w:szCs w:val="24"/>
        </w:rPr>
        <w:t xml:space="preserve"> cada orden con productos adquiridos, precio de lista, cantidad y descuentos.</w:t>
      </w:r>
    </w:p>
    <w:p w14:paraId="12DCF13C" w14:textId="78DB93C7" w:rsidR="00DC227B" w:rsidRPr="00EE4D2C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Los objetivos principales </w:t>
      </w:r>
      <w:r w:rsidR="00AF7881">
        <w:rPr>
          <w:rFonts w:ascii="Times New Roman" w:hAnsi="Times New Roman" w:cs="Times New Roman"/>
          <w:sz w:val="24"/>
          <w:szCs w:val="24"/>
        </w:rPr>
        <w:t>son</w:t>
      </w:r>
      <w:r w:rsidRPr="00EE4D2C">
        <w:rPr>
          <w:rFonts w:ascii="Times New Roman" w:hAnsi="Times New Roman" w:cs="Times New Roman"/>
          <w:sz w:val="24"/>
          <w:szCs w:val="24"/>
        </w:rPr>
        <w:t>:</w:t>
      </w:r>
    </w:p>
    <w:p w14:paraId="411F4A7C" w14:textId="77777777" w:rsidR="00DC227B" w:rsidRPr="00EE4D2C" w:rsidRDefault="00DC227B" w:rsidP="00AF7881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Conocer el número total de clientes, cuántos no han realizado órdenes y cómo se distribuyen por ciudad.</w:t>
      </w:r>
    </w:p>
    <w:p w14:paraId="68796005" w14:textId="77777777" w:rsidR="00DC227B" w:rsidRPr="00EE4D2C" w:rsidRDefault="00DC227B" w:rsidP="00AF7881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Analizar el volumen de órdenes por fecha (particularmente mensual).</w:t>
      </w:r>
    </w:p>
    <w:p w14:paraId="13658C04" w14:textId="77777777" w:rsidR="00DC227B" w:rsidRPr="00EE4D2C" w:rsidRDefault="00DC227B" w:rsidP="00AF7881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Calcular el descuento promedio y las ventas totales por fecha.</w:t>
      </w:r>
    </w:p>
    <w:p w14:paraId="39B93405" w14:textId="77777777" w:rsidR="00DC227B" w:rsidRPr="00EE4D2C" w:rsidRDefault="00DC227B" w:rsidP="00AF7881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Realizar un análisis de series de tiempo (descomposición y pronóstico ARIMA).</w:t>
      </w:r>
    </w:p>
    <w:p w14:paraId="110D70FF" w14:textId="77777777" w:rsidR="00DC227B" w:rsidRPr="00EE4D2C" w:rsidRDefault="00DC227B" w:rsidP="00AF7881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Construir un modelo de regresión lineal múltiple para predecir ventas.</w:t>
      </w:r>
    </w:p>
    <w:p w14:paraId="399BAD9F" w14:textId="2F29092C" w:rsidR="00AF7881" w:rsidRPr="00A61566" w:rsidRDefault="00DC227B" w:rsidP="00A61566">
      <w:pPr>
        <w:numPr>
          <w:ilvl w:val="0"/>
          <w:numId w:val="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Efectuar pruebas estadísticas adicionales (t-test y test de normalidad de residuos) para robustecer la inferencia.</w:t>
      </w:r>
    </w:p>
    <w:p w14:paraId="5B83E97B" w14:textId="77777777" w:rsidR="00A61566" w:rsidRDefault="00A61566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9DB24" w14:textId="77777777" w:rsidR="00A61566" w:rsidRDefault="00A61566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207BB" w14:textId="77777777" w:rsidR="00A61566" w:rsidRDefault="00A61566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1D003" w14:textId="77777777" w:rsidR="00A61566" w:rsidRDefault="00A61566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A4C15" w14:textId="77777777" w:rsidR="00A61566" w:rsidRDefault="00A61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B2FD9C" w14:textId="71A5C819" w:rsidR="00DC227B" w:rsidRPr="00AF7881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8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Resumen de </w:t>
      </w:r>
      <w:r w:rsidR="00AF788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F7881">
        <w:rPr>
          <w:rFonts w:ascii="Times New Roman" w:hAnsi="Times New Roman" w:cs="Times New Roman"/>
          <w:b/>
          <w:bCs/>
          <w:sz w:val="24"/>
          <w:szCs w:val="24"/>
        </w:rPr>
        <w:t>esultados</w:t>
      </w:r>
    </w:p>
    <w:p w14:paraId="62B84F91" w14:textId="11AF3480" w:rsidR="00DC227B" w:rsidRPr="00AF7881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881">
        <w:rPr>
          <w:rFonts w:ascii="Times New Roman" w:hAnsi="Times New Roman" w:cs="Times New Roman"/>
          <w:b/>
          <w:bCs/>
          <w:sz w:val="24"/>
          <w:szCs w:val="24"/>
        </w:rPr>
        <w:t xml:space="preserve">2.1 Análisis de </w:t>
      </w:r>
      <w:r w:rsidR="00AF788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F7881">
        <w:rPr>
          <w:rFonts w:ascii="Times New Roman" w:hAnsi="Times New Roman" w:cs="Times New Roman"/>
          <w:b/>
          <w:bCs/>
          <w:sz w:val="24"/>
          <w:szCs w:val="24"/>
        </w:rPr>
        <w:t>lientes</w:t>
      </w:r>
    </w:p>
    <w:p w14:paraId="53D15E4B" w14:textId="77777777" w:rsidR="00DC227B" w:rsidRPr="00EE4D2C" w:rsidRDefault="00DC227B" w:rsidP="00AF7881">
      <w:pPr>
        <w:numPr>
          <w:ilvl w:val="0"/>
          <w:numId w:val="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Se cuenta con </w:t>
      </w:r>
      <w:r w:rsidRPr="00AF7881">
        <w:rPr>
          <w:rFonts w:ascii="Times New Roman" w:hAnsi="Times New Roman" w:cs="Times New Roman"/>
          <w:b/>
          <w:bCs/>
          <w:sz w:val="24"/>
          <w:szCs w:val="24"/>
        </w:rPr>
        <w:t>1445</w:t>
      </w:r>
      <w:r w:rsidRPr="00EE4D2C">
        <w:rPr>
          <w:rFonts w:ascii="Times New Roman" w:hAnsi="Times New Roman" w:cs="Times New Roman"/>
          <w:sz w:val="24"/>
          <w:szCs w:val="24"/>
        </w:rPr>
        <w:t xml:space="preserve"> clientes únicos (después de verificar y descartar registros duplicados en customers).</w:t>
      </w:r>
    </w:p>
    <w:p w14:paraId="221B3D50" w14:textId="2A7A8F34" w:rsidR="00DC227B" w:rsidRPr="00EE4D2C" w:rsidRDefault="00DC227B" w:rsidP="00AF7881">
      <w:pPr>
        <w:numPr>
          <w:ilvl w:val="0"/>
          <w:numId w:val="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número de clientes que no han realizado ninguna orden resultó ser cero </w:t>
      </w:r>
      <w:r w:rsidRPr="00AF788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EE4D2C">
        <w:rPr>
          <w:rFonts w:ascii="Times New Roman" w:hAnsi="Times New Roman" w:cs="Times New Roman"/>
          <w:sz w:val="24"/>
          <w:szCs w:val="24"/>
        </w:rPr>
        <w:t xml:space="preserve"> tras comparar contra la tabla de órdenes.</w:t>
      </w:r>
    </w:p>
    <w:p w14:paraId="5883D044" w14:textId="3D251FB3" w:rsidR="00AF7881" w:rsidRDefault="00DC227B" w:rsidP="00AF7881">
      <w:pPr>
        <w:numPr>
          <w:ilvl w:val="0"/>
          <w:numId w:val="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Al agrupar por ciudad, se identificaron las </w:t>
      </w:r>
      <w:r w:rsidR="00AF7881">
        <w:rPr>
          <w:rFonts w:ascii="Times New Roman" w:hAnsi="Times New Roman" w:cs="Times New Roman"/>
          <w:sz w:val="24"/>
          <w:szCs w:val="24"/>
        </w:rPr>
        <w:t>diez</w:t>
      </w:r>
      <w:r w:rsidRPr="00EE4D2C">
        <w:rPr>
          <w:rFonts w:ascii="Times New Roman" w:hAnsi="Times New Roman" w:cs="Times New Roman"/>
          <w:sz w:val="24"/>
          <w:szCs w:val="24"/>
        </w:rPr>
        <w:t xml:space="preserve"> ciudades con mayor número de clientes</w:t>
      </w:r>
      <w:r w:rsidR="00AF7881">
        <w:rPr>
          <w:rFonts w:ascii="Times New Roman" w:hAnsi="Times New Roman" w:cs="Times New Roman"/>
          <w:sz w:val="24"/>
          <w:szCs w:val="24"/>
        </w:rPr>
        <w:t xml:space="preserve">; es decir, </w:t>
      </w:r>
      <w:r w:rsidRPr="00EE4D2C">
        <w:rPr>
          <w:rFonts w:ascii="Times New Roman" w:hAnsi="Times New Roman" w:cs="Times New Roman"/>
          <w:sz w:val="24"/>
          <w:szCs w:val="24"/>
        </w:rPr>
        <w:t xml:space="preserve">Mount Vernon, </w:t>
      </w:r>
      <w:proofErr w:type="spellStart"/>
      <w:r w:rsidRPr="00EE4D2C">
        <w:rPr>
          <w:rFonts w:ascii="Times New Roman" w:hAnsi="Times New Roman" w:cs="Times New Roman"/>
          <w:sz w:val="24"/>
          <w:szCs w:val="24"/>
        </w:rPr>
        <w:t>Ballston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 xml:space="preserve"> Spa, </w:t>
      </w:r>
      <w:proofErr w:type="spellStart"/>
      <w:r w:rsidRPr="00EE4D2C">
        <w:rPr>
          <w:rFonts w:ascii="Times New Roman" w:hAnsi="Times New Roman" w:cs="Times New Roman"/>
          <w:sz w:val="24"/>
          <w:szCs w:val="24"/>
        </w:rPr>
        <w:t>Scarsdale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>,</w:t>
      </w:r>
      <w:r w:rsidR="00AF7881">
        <w:rPr>
          <w:rFonts w:ascii="Times New Roman" w:hAnsi="Times New Roman" w:cs="Times New Roman"/>
          <w:sz w:val="24"/>
          <w:szCs w:val="24"/>
        </w:rPr>
        <w:t xml:space="preserve"> Canandaigua, </w:t>
      </w:r>
      <w:proofErr w:type="spellStart"/>
      <w:r w:rsidR="00AF7881">
        <w:rPr>
          <w:rFonts w:ascii="Times New Roman" w:hAnsi="Times New Roman" w:cs="Times New Roman"/>
          <w:sz w:val="24"/>
          <w:szCs w:val="24"/>
        </w:rPr>
        <w:t>Fidral</w:t>
      </w:r>
      <w:proofErr w:type="spellEnd"/>
      <w:r w:rsidR="00AF7881">
        <w:rPr>
          <w:rFonts w:ascii="Times New Roman" w:hAnsi="Times New Roman" w:cs="Times New Roman"/>
          <w:sz w:val="24"/>
          <w:szCs w:val="24"/>
        </w:rPr>
        <w:t xml:space="preserve"> Park, Longview, </w:t>
      </w:r>
      <w:proofErr w:type="spellStart"/>
      <w:r w:rsidR="00AF7881">
        <w:rPr>
          <w:rFonts w:ascii="Times New Roman" w:hAnsi="Times New Roman" w:cs="Times New Roman"/>
          <w:sz w:val="24"/>
          <w:szCs w:val="24"/>
        </w:rPr>
        <w:t>Ossining</w:t>
      </w:r>
      <w:proofErr w:type="spellEnd"/>
      <w:r w:rsidR="00AF7881">
        <w:rPr>
          <w:rFonts w:ascii="Times New Roman" w:hAnsi="Times New Roman" w:cs="Times New Roman"/>
          <w:sz w:val="24"/>
          <w:szCs w:val="24"/>
        </w:rPr>
        <w:t xml:space="preserve">, Astoria, </w:t>
      </w:r>
      <w:proofErr w:type="spellStart"/>
      <w:r w:rsidR="00AF7881">
        <w:rPr>
          <w:rFonts w:ascii="Times New Roman" w:hAnsi="Times New Roman" w:cs="Times New Roman"/>
          <w:sz w:val="24"/>
          <w:szCs w:val="24"/>
        </w:rPr>
        <w:t>Canyon</w:t>
      </w:r>
      <w:proofErr w:type="spellEnd"/>
      <w:r w:rsidR="00AF7881">
        <w:rPr>
          <w:rFonts w:ascii="Times New Roman" w:hAnsi="Times New Roman" w:cs="Times New Roman"/>
          <w:sz w:val="24"/>
          <w:szCs w:val="24"/>
        </w:rPr>
        <w:t xml:space="preserve"> Country, </w:t>
      </w:r>
      <w:proofErr w:type="spellStart"/>
      <w:r w:rsidR="00AF7881">
        <w:rPr>
          <w:rFonts w:ascii="Times New Roman" w:hAnsi="Times New Roman" w:cs="Times New Roman"/>
          <w:sz w:val="24"/>
          <w:szCs w:val="24"/>
        </w:rPr>
        <w:t>HowardBeach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 xml:space="preserve">. En el gráfico de barras se visualiza claramente esta concentración. </w:t>
      </w:r>
    </w:p>
    <w:p w14:paraId="7C680068" w14:textId="4E3C4F28" w:rsidR="00AF7881" w:rsidRDefault="00AF7881" w:rsidP="00A61566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8FE20" wp14:editId="79CF0400">
            <wp:extent cx="5040000" cy="3240000"/>
            <wp:effectExtent l="0" t="0" r="8255" b="0"/>
            <wp:docPr id="32829027" name="Imagen 1" descr="Gráfico, Gráfico de barra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9027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6525" w14:textId="77777777" w:rsidR="00587CDE" w:rsidRDefault="00587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BD37ED" w14:textId="4D85503F" w:rsidR="00AF7881" w:rsidRDefault="00AF7881" w:rsidP="00AF7881">
      <w:pPr>
        <w:numPr>
          <w:ilvl w:val="0"/>
          <w:numId w:val="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Asimismo, </w:t>
      </w:r>
      <w:r w:rsidR="00DC227B" w:rsidRPr="00EE4D2C">
        <w:rPr>
          <w:rFonts w:ascii="Times New Roman" w:hAnsi="Times New Roman" w:cs="Times New Roman"/>
          <w:sz w:val="24"/>
          <w:szCs w:val="24"/>
        </w:rPr>
        <w:t xml:space="preserve">se compararon las </w:t>
      </w:r>
      <w:r>
        <w:rPr>
          <w:rFonts w:ascii="Times New Roman" w:hAnsi="Times New Roman" w:cs="Times New Roman"/>
          <w:sz w:val="24"/>
          <w:szCs w:val="24"/>
        </w:rPr>
        <w:t>diez ciudades con más clientes v</w:t>
      </w:r>
      <w:r w:rsidR="00DC227B" w:rsidRPr="00EE4D2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diez</w:t>
      </w:r>
      <w:r w:rsidR="00DC227B" w:rsidRPr="00EE4D2C">
        <w:rPr>
          <w:rFonts w:ascii="Times New Roman" w:hAnsi="Times New Roman" w:cs="Times New Roman"/>
          <w:sz w:val="24"/>
          <w:szCs w:val="24"/>
        </w:rPr>
        <w:t xml:space="preserve"> ciudades </w:t>
      </w:r>
      <w:r>
        <w:rPr>
          <w:rFonts w:ascii="Times New Roman" w:hAnsi="Times New Roman" w:cs="Times New Roman"/>
          <w:sz w:val="24"/>
          <w:szCs w:val="24"/>
        </w:rPr>
        <w:t xml:space="preserve">con menos clientes </w:t>
      </w:r>
      <w:r w:rsidR="00DC227B" w:rsidRPr="00EE4D2C">
        <w:rPr>
          <w:rFonts w:ascii="Times New Roman" w:hAnsi="Times New Roman" w:cs="Times New Roman"/>
          <w:sz w:val="24"/>
          <w:szCs w:val="24"/>
        </w:rPr>
        <w:t>en otra visualización, para entender la disparidad de clientes por región.</w:t>
      </w:r>
      <w:r w:rsidRPr="00AF7881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BE648" w14:textId="29A36097" w:rsidR="00DC227B" w:rsidRPr="00AF7881" w:rsidRDefault="00AF7881" w:rsidP="00AF7881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AF75D" wp14:editId="5123ADE2">
            <wp:extent cx="5040000" cy="3240000"/>
            <wp:effectExtent l="0" t="0" r="8255" b="0"/>
            <wp:docPr id="973355424" name="Imagen 4" descr="Gráfico, Gráfico de barra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55424" name="Imagen 4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FED3" w14:textId="28689E81" w:rsidR="00DC227B" w:rsidRPr="00EE4D2C" w:rsidRDefault="00AF7881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realiza la siguiente i</w:t>
      </w:r>
      <w:r w:rsidR="00DC227B" w:rsidRPr="00EE4D2C">
        <w:rPr>
          <w:rFonts w:ascii="Times New Roman" w:hAnsi="Times New Roman" w:cs="Times New Roman"/>
          <w:sz w:val="24"/>
          <w:szCs w:val="24"/>
        </w:rPr>
        <w:t>nterpretación:</w:t>
      </w:r>
    </w:p>
    <w:p w14:paraId="33758DA4" w14:textId="11E20851" w:rsidR="00DC227B" w:rsidRPr="00EE4D2C" w:rsidRDefault="00AF7881" w:rsidP="00AF7881">
      <w:pPr>
        <w:numPr>
          <w:ilvl w:val="0"/>
          <w:numId w:val="9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</w:t>
      </w:r>
      <w:r w:rsidR="00DC227B" w:rsidRPr="00EE4D2C">
        <w:rPr>
          <w:rFonts w:ascii="Times New Roman" w:hAnsi="Times New Roman" w:cs="Times New Roman"/>
          <w:sz w:val="24"/>
          <w:szCs w:val="24"/>
        </w:rPr>
        <w:t xml:space="preserve"> ciudades con mayor número de clientes se concentran en New York (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="00DC227B" w:rsidRPr="00EE4D2C">
        <w:rPr>
          <w:rFonts w:ascii="Times New Roman" w:hAnsi="Times New Roman" w:cs="Times New Roman"/>
          <w:sz w:val="24"/>
          <w:szCs w:val="24"/>
        </w:rPr>
        <w:t xml:space="preserve"> Mount Vernon) y algunas en California (p</w:t>
      </w:r>
      <w:r>
        <w:rPr>
          <w:rFonts w:ascii="Times New Roman" w:hAnsi="Times New Roman" w:cs="Times New Roman"/>
          <w:sz w:val="24"/>
          <w:szCs w:val="24"/>
        </w:rPr>
        <w:t>or ejemplo</w:t>
      </w:r>
      <w:r w:rsidR="00DC227B" w:rsidRPr="00EE4D2C">
        <w:rPr>
          <w:rFonts w:ascii="Times New Roman" w:hAnsi="Times New Roman" w:cs="Times New Roman"/>
          <w:sz w:val="24"/>
          <w:szCs w:val="24"/>
        </w:rPr>
        <w:t xml:space="preserve"> Ballston Spa).</w:t>
      </w:r>
    </w:p>
    <w:p w14:paraId="05C6B0AE" w14:textId="55FD3473" w:rsidR="00AF7881" w:rsidRPr="00587CDE" w:rsidRDefault="00DC227B" w:rsidP="00587CDE">
      <w:pPr>
        <w:numPr>
          <w:ilvl w:val="0"/>
          <w:numId w:val="9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hecho de que 0 clientes queden fuera de órdenes indica que, en este </w:t>
      </w:r>
      <w:r w:rsidRPr="00EE4D2C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EE4D2C">
        <w:rPr>
          <w:rFonts w:ascii="Times New Roman" w:hAnsi="Times New Roman" w:cs="Times New Roman"/>
          <w:sz w:val="24"/>
          <w:szCs w:val="24"/>
        </w:rPr>
        <w:t>, todos tuvieron al menos una compra registrada.</w:t>
      </w:r>
    </w:p>
    <w:p w14:paraId="2D9ED523" w14:textId="77777777" w:rsidR="00587CDE" w:rsidRDefault="00587C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7CA1FDB" w14:textId="6CA268E4" w:rsidR="00DC227B" w:rsidRPr="00587CDE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C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Análisis de </w:t>
      </w:r>
      <w:r w:rsidR="00587CDE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>rdenes</w:t>
      </w:r>
    </w:p>
    <w:p w14:paraId="003500FC" w14:textId="77777777" w:rsidR="00DC227B" w:rsidRDefault="00DC227B" w:rsidP="00587CDE">
      <w:pPr>
        <w:numPr>
          <w:ilvl w:val="0"/>
          <w:numId w:val="10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Al agrupar las órdenes por mes, observamos que en promedio se realizan entre 40 y 60 órdenes mensuales, con picos específicos en ciertos meses.</w:t>
      </w:r>
    </w:p>
    <w:p w14:paraId="73CD39DA" w14:textId="0A70C385" w:rsidR="00587CDE" w:rsidRPr="00EE4D2C" w:rsidRDefault="00587CDE" w:rsidP="00587CDE">
      <w:pPr>
        <w:pStyle w:val="NormalWeb"/>
        <w:jc w:val="center"/>
      </w:pPr>
      <w:r>
        <w:rPr>
          <w:noProof/>
        </w:rPr>
        <w:drawing>
          <wp:inline distT="0" distB="0" distL="0" distR="0" wp14:anchorId="5F3DD7AA" wp14:editId="38D52F0D">
            <wp:extent cx="5040000" cy="2880000"/>
            <wp:effectExtent l="0" t="0" r="8255" b="0"/>
            <wp:docPr id="1766264978" name="Imagen 5" descr="Gráfico, Gráfico de línea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64978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6260" w14:textId="7C3B724D" w:rsidR="00587CDE" w:rsidRPr="00587CDE" w:rsidRDefault="00DC227B" w:rsidP="00587CDE">
      <w:pPr>
        <w:numPr>
          <w:ilvl w:val="0"/>
          <w:numId w:val="10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descuento promedio en los ítems de la tabla </w:t>
      </w:r>
      <w:r w:rsidRPr="00587CDE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order_items</w:t>
      </w:r>
      <w:r w:rsidRPr="00EE4D2C">
        <w:rPr>
          <w:rFonts w:ascii="Times New Roman" w:hAnsi="Times New Roman" w:cs="Times New Roman"/>
          <w:sz w:val="24"/>
          <w:szCs w:val="24"/>
        </w:rPr>
        <w:t xml:space="preserve"> ronda el 10.54%, lo cual sugiere un nivel de promoción/ rebaja relativamente sustancial en ciertos productos.</w:t>
      </w:r>
    </w:p>
    <w:p w14:paraId="43B59DD9" w14:textId="75EE3BB4" w:rsidR="00DC227B" w:rsidRDefault="00DC227B" w:rsidP="00587CDE">
      <w:pPr>
        <w:numPr>
          <w:ilvl w:val="0"/>
          <w:numId w:val="10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Las ventas totales por mes presentan un comportamiento creciente (más o menos estable) hasta llegar a un pico muy alto en torno a mediados de 2018 y luego una caída abrupta. </w:t>
      </w:r>
      <w:r w:rsidR="00587CDE">
        <w:rPr>
          <w:rFonts w:ascii="Times New Roman" w:hAnsi="Times New Roman" w:cs="Times New Roman"/>
          <w:sz w:val="24"/>
          <w:szCs w:val="24"/>
        </w:rPr>
        <w:t>Lo anterior</w:t>
      </w:r>
      <w:r w:rsidRPr="00EE4D2C">
        <w:rPr>
          <w:rFonts w:ascii="Times New Roman" w:hAnsi="Times New Roman" w:cs="Times New Roman"/>
          <w:sz w:val="24"/>
          <w:szCs w:val="24"/>
        </w:rPr>
        <w:t xml:space="preserve"> se ilustra en el gráfico de línea </w:t>
      </w:r>
      <w:r w:rsidR="00587CDE">
        <w:rPr>
          <w:rFonts w:ascii="Times New Roman" w:hAnsi="Times New Roman" w:cs="Times New Roman"/>
          <w:sz w:val="24"/>
          <w:szCs w:val="24"/>
        </w:rPr>
        <w:t>con v</w:t>
      </w:r>
      <w:r w:rsidRPr="00EE4D2C">
        <w:rPr>
          <w:rFonts w:ascii="Times New Roman" w:hAnsi="Times New Roman" w:cs="Times New Roman"/>
          <w:sz w:val="24"/>
          <w:szCs w:val="24"/>
        </w:rPr>
        <w:t xml:space="preserve">entas </w:t>
      </w:r>
      <w:r w:rsidR="00587CDE">
        <w:rPr>
          <w:rFonts w:ascii="Times New Roman" w:hAnsi="Times New Roman" w:cs="Times New Roman"/>
          <w:sz w:val="24"/>
          <w:szCs w:val="24"/>
        </w:rPr>
        <w:t>t</w:t>
      </w:r>
      <w:r w:rsidRPr="00EE4D2C">
        <w:rPr>
          <w:rFonts w:ascii="Times New Roman" w:hAnsi="Times New Roman" w:cs="Times New Roman"/>
          <w:sz w:val="24"/>
          <w:szCs w:val="24"/>
        </w:rPr>
        <w:t>otales.</w:t>
      </w:r>
    </w:p>
    <w:p w14:paraId="68B90ECB" w14:textId="3073C65B" w:rsidR="00587CDE" w:rsidRPr="00EE4D2C" w:rsidRDefault="00587CDE" w:rsidP="00587CDE">
      <w:pPr>
        <w:pStyle w:val="NormalWeb"/>
        <w:jc w:val="center"/>
      </w:pPr>
      <w:r w:rsidRPr="00587CDE">
        <w:drawing>
          <wp:inline distT="0" distB="0" distL="0" distR="0" wp14:anchorId="4B7E41D5" wp14:editId="3C5A085F">
            <wp:extent cx="5040000" cy="2880000"/>
            <wp:effectExtent l="0" t="0" r="8255" b="0"/>
            <wp:docPr id="645065546" name="Imagen 6" descr="Gráfico, Gráfico de línea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5546" name="Imagen 6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5442" w14:textId="6D0D86E7" w:rsidR="00DC227B" w:rsidRPr="00EE4D2C" w:rsidRDefault="00A61566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566">
        <w:rPr>
          <w:rFonts w:ascii="Times New Roman" w:hAnsi="Times New Roman" w:cs="Times New Roman"/>
          <w:sz w:val="24"/>
          <w:szCs w:val="24"/>
        </w:rPr>
        <w:lastRenderedPageBreak/>
        <w:t>A continuación, se realiza la siguiente interpretación:</w:t>
      </w:r>
    </w:p>
    <w:p w14:paraId="29586465" w14:textId="77777777" w:rsidR="00587CDE" w:rsidRDefault="00DC227B" w:rsidP="00587CDE">
      <w:pPr>
        <w:numPr>
          <w:ilvl w:val="0"/>
          <w:numId w:val="1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La volatilidad observada en las ventas totales podría responder a campañas específicas</w:t>
      </w:r>
      <w:r w:rsidR="00587CDE">
        <w:rPr>
          <w:rFonts w:ascii="Times New Roman" w:hAnsi="Times New Roman" w:cs="Times New Roman"/>
          <w:sz w:val="24"/>
          <w:szCs w:val="24"/>
        </w:rPr>
        <w:t xml:space="preserve"> y</w:t>
      </w:r>
      <w:r w:rsidRPr="00EE4D2C">
        <w:rPr>
          <w:rFonts w:ascii="Times New Roman" w:hAnsi="Times New Roman" w:cs="Times New Roman"/>
          <w:sz w:val="24"/>
          <w:szCs w:val="24"/>
        </w:rPr>
        <w:t xml:space="preserve"> cambios de temporada.</w:t>
      </w:r>
    </w:p>
    <w:p w14:paraId="26D9EC0E" w14:textId="0529EBEA" w:rsidR="00DC227B" w:rsidRPr="00587CDE" w:rsidRDefault="00DC227B" w:rsidP="005918CC">
      <w:pPr>
        <w:numPr>
          <w:ilvl w:val="0"/>
          <w:numId w:val="1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El descuento promedio de ~10.54% incide directamente en los márgenes de utilidad, por lo que conviene monitorizarlo a futuro.</w:t>
      </w:r>
    </w:p>
    <w:p w14:paraId="697E2C42" w14:textId="77777777" w:rsidR="00587CDE" w:rsidRDefault="00587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418BB6" w14:textId="696CC7E4" w:rsidR="00DC227B" w:rsidRPr="00587CDE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C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Análisis de 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 xml:space="preserve">eries de 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>iempo y ARIMA</w:t>
      </w:r>
    </w:p>
    <w:p w14:paraId="1A99888E" w14:textId="58D29578" w:rsidR="00DC227B" w:rsidRPr="00EE4D2C" w:rsidRDefault="00DC227B" w:rsidP="00587CDE">
      <w:pPr>
        <w:numPr>
          <w:ilvl w:val="0"/>
          <w:numId w:val="12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Se tomó la serie mensual de </w:t>
      </w:r>
      <w:r w:rsidR="00587CDE">
        <w:rPr>
          <w:rFonts w:ascii="Times New Roman" w:hAnsi="Times New Roman" w:cs="Times New Roman"/>
          <w:sz w:val="24"/>
          <w:szCs w:val="24"/>
        </w:rPr>
        <w:t>v</w:t>
      </w:r>
      <w:r w:rsidRPr="00EE4D2C">
        <w:rPr>
          <w:rFonts w:ascii="Times New Roman" w:hAnsi="Times New Roman" w:cs="Times New Roman"/>
          <w:sz w:val="24"/>
          <w:szCs w:val="24"/>
        </w:rPr>
        <w:t xml:space="preserve">entas </w:t>
      </w:r>
      <w:r w:rsidR="00587CDE">
        <w:rPr>
          <w:rFonts w:ascii="Times New Roman" w:hAnsi="Times New Roman" w:cs="Times New Roman"/>
          <w:sz w:val="24"/>
          <w:szCs w:val="24"/>
        </w:rPr>
        <w:t>t</w:t>
      </w:r>
      <w:r w:rsidRPr="00EE4D2C">
        <w:rPr>
          <w:rFonts w:ascii="Times New Roman" w:hAnsi="Times New Roman" w:cs="Times New Roman"/>
          <w:sz w:val="24"/>
          <w:szCs w:val="24"/>
        </w:rPr>
        <w:t>otales (</w:t>
      </w:r>
      <w:r w:rsidRPr="00587CDE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ts_ventas_mensual</w:t>
      </w:r>
      <w:r w:rsidRPr="00EE4D2C">
        <w:rPr>
          <w:rFonts w:ascii="Times New Roman" w:hAnsi="Times New Roman" w:cs="Times New Roman"/>
          <w:sz w:val="24"/>
          <w:szCs w:val="24"/>
        </w:rPr>
        <w:t>) para realizar una descomposición multiplicativa. El análisis gráfico muestra:</w:t>
      </w:r>
    </w:p>
    <w:p w14:paraId="0F187559" w14:textId="5CD1732C" w:rsidR="00DC227B" w:rsidRPr="00EE4D2C" w:rsidRDefault="00DC227B" w:rsidP="005C5307">
      <w:pPr>
        <w:numPr>
          <w:ilvl w:val="1"/>
          <w:numId w:val="22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Tendencia (</w:t>
      </w:r>
      <w:proofErr w:type="spellStart"/>
      <w:r w:rsidR="00587CDE" w:rsidRPr="00587CD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>rend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>): Crecimiento durante 2016–2017, con un pico pronunciado en 2018 seguido de un descenso.</w:t>
      </w:r>
    </w:p>
    <w:p w14:paraId="385A8EEE" w14:textId="23E6C21E" w:rsidR="00DC227B" w:rsidRPr="00EE4D2C" w:rsidRDefault="00DC227B" w:rsidP="005C5307">
      <w:pPr>
        <w:numPr>
          <w:ilvl w:val="1"/>
          <w:numId w:val="22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Estacionalidad (</w:t>
      </w:r>
      <w:proofErr w:type="spellStart"/>
      <w:r w:rsidR="00587CDE" w:rsidRPr="00587CD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>easonal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>): Se aprecia un patrón repetitivo a lo largo de los meses con variaciones cíclicas marcadas.</w:t>
      </w:r>
    </w:p>
    <w:p w14:paraId="052A11C3" w14:textId="4DF73974" w:rsidR="00DC227B" w:rsidRDefault="00DC227B" w:rsidP="005C5307">
      <w:pPr>
        <w:numPr>
          <w:ilvl w:val="1"/>
          <w:numId w:val="22"/>
        </w:numPr>
        <w:spacing w:before="120" w:after="12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Residuo (</w:t>
      </w:r>
      <w:proofErr w:type="spellStart"/>
      <w:r w:rsidR="00587CDE" w:rsidRPr="00587CD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587CDE">
        <w:rPr>
          <w:rFonts w:ascii="Times New Roman" w:hAnsi="Times New Roman" w:cs="Times New Roman"/>
          <w:b/>
          <w:bCs/>
          <w:sz w:val="24"/>
          <w:szCs w:val="24"/>
        </w:rPr>
        <w:t>andom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>): Variaciones no explicadas por tendencia ni estacionalidad.</w:t>
      </w:r>
    </w:p>
    <w:p w14:paraId="3167CC20" w14:textId="2063F9AC" w:rsidR="00587CDE" w:rsidRPr="00EE4D2C" w:rsidRDefault="00587CDE" w:rsidP="005C5307">
      <w:pPr>
        <w:pStyle w:val="NormalWeb"/>
        <w:jc w:val="center"/>
      </w:pPr>
      <w:r>
        <w:rPr>
          <w:noProof/>
        </w:rPr>
        <w:drawing>
          <wp:inline distT="0" distB="0" distL="0" distR="0" wp14:anchorId="4B44CC36" wp14:editId="095CDBBC">
            <wp:extent cx="5040000" cy="3600000"/>
            <wp:effectExtent l="0" t="0" r="8255" b="635"/>
            <wp:docPr id="2119045542" name="Imagen 7" descr="Gráfico, Histogram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45542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0C44" w14:textId="77777777" w:rsidR="00587CDE" w:rsidRDefault="00587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A29F6B" w14:textId="21588089" w:rsidR="00587CDE" w:rsidRPr="005C5307" w:rsidRDefault="00DC227B" w:rsidP="00587CDE">
      <w:pPr>
        <w:numPr>
          <w:ilvl w:val="0"/>
          <w:numId w:val="12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lastRenderedPageBreak/>
        <w:t xml:space="preserve">Se ajustó un modelo ARIMA de forma automática con </w:t>
      </w:r>
      <w:proofErr w:type="gramStart"/>
      <w:r w:rsidRPr="00587CDE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auto.arima</w:t>
      </w:r>
      <w:proofErr w:type="gramEnd"/>
      <w:r w:rsidRPr="00587CDE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()</w:t>
      </w:r>
      <w:r w:rsidRPr="00EE4D2C">
        <w:rPr>
          <w:rFonts w:ascii="Times New Roman" w:hAnsi="Times New Roman" w:cs="Times New Roman"/>
          <w:sz w:val="24"/>
          <w:szCs w:val="24"/>
        </w:rPr>
        <w:t xml:space="preserve">, obteniendo un </w:t>
      </w:r>
      <w:r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ARIMA(1,0,0)</w:t>
      </w:r>
      <w:r w:rsidRPr="00EE4D2C">
        <w:rPr>
          <w:rFonts w:ascii="Times New Roman" w:hAnsi="Times New Roman" w:cs="Times New Roman"/>
          <w:sz w:val="24"/>
          <w:szCs w:val="24"/>
        </w:rPr>
        <w:t xml:space="preserve"> (con media distinta de cero). Aunque la precisión puede mejorarse, se realizó un pronóstico a 6 meses que apunta a un posible rango de ventas totales entre ~150K y ~400K en el horizonte de predicción.</w:t>
      </w:r>
    </w:p>
    <w:p w14:paraId="053272A0" w14:textId="0E8CECC1" w:rsidR="00587CDE" w:rsidRPr="00EE4D2C" w:rsidRDefault="005C5307" w:rsidP="005C5307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84F00" wp14:editId="47629514">
            <wp:extent cx="5039741" cy="2880000"/>
            <wp:effectExtent l="0" t="0" r="8890" b="0"/>
            <wp:docPr id="1481781915" name="Imagen 9" descr="Interfaz de usuario gráfica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81915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7" r="51767" b="46139"/>
                    <a:stretch/>
                  </pic:blipFill>
                  <pic:spPr bwMode="auto">
                    <a:xfrm>
                      <a:off x="0" y="0"/>
                      <a:ext cx="503974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931E" w14:textId="77777777" w:rsidR="005C5307" w:rsidRPr="005C5307" w:rsidRDefault="005C5307" w:rsidP="005C530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sz w:val="24"/>
          <w:szCs w:val="24"/>
        </w:rPr>
        <w:t>A continuación, se realiza la siguiente interpretación:</w:t>
      </w:r>
    </w:p>
    <w:p w14:paraId="26072FFE" w14:textId="577CA578" w:rsidR="00DC227B" w:rsidRPr="00EE4D2C" w:rsidRDefault="00DC227B" w:rsidP="005C5307">
      <w:pPr>
        <w:numPr>
          <w:ilvl w:val="0"/>
          <w:numId w:val="1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La descomposición ilustra cómo gran parte del comportamiento global puede escindirse en componentes de tendencia y estacionalidad; sin embargo, la fuerte caída cercana a 2018 sugiere un evento extraordinario o cambio brusco de mercado.</w:t>
      </w:r>
    </w:p>
    <w:p w14:paraId="7CC8DAA4" w14:textId="54E4A73A" w:rsidR="00DC227B" w:rsidRPr="00EE4D2C" w:rsidRDefault="00DC227B" w:rsidP="005C5307">
      <w:pPr>
        <w:numPr>
          <w:ilvl w:val="0"/>
          <w:numId w:val="13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ARIMA(</w:t>
      </w:r>
      <w:proofErr w:type="gramEnd"/>
      <w:r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1,0,0)</w:t>
      </w:r>
      <w:r w:rsidRPr="00EE4D2C">
        <w:rPr>
          <w:rFonts w:ascii="Times New Roman" w:hAnsi="Times New Roman" w:cs="Times New Roman"/>
          <w:sz w:val="24"/>
          <w:szCs w:val="24"/>
        </w:rPr>
        <w:t xml:space="preserve"> no siempre será el mejor modelo para series con quiebres estructurales tan marcados. </w:t>
      </w:r>
      <w:r w:rsidR="005C5307">
        <w:rPr>
          <w:rFonts w:ascii="Times New Roman" w:hAnsi="Times New Roman" w:cs="Times New Roman"/>
          <w:sz w:val="24"/>
          <w:szCs w:val="24"/>
        </w:rPr>
        <w:t xml:space="preserve">Por lo tanto, se deben </w:t>
      </w:r>
      <w:r w:rsidRPr="00EE4D2C">
        <w:rPr>
          <w:rFonts w:ascii="Times New Roman" w:hAnsi="Times New Roman" w:cs="Times New Roman"/>
          <w:sz w:val="24"/>
          <w:szCs w:val="24"/>
        </w:rPr>
        <w:t>revisar datos adicionales o usar modelos con cambios de régimen/intervención (</w:t>
      </w:r>
      <w:r w:rsidR="005C5307">
        <w:rPr>
          <w:rFonts w:ascii="Times New Roman" w:hAnsi="Times New Roman" w:cs="Times New Roman"/>
          <w:sz w:val="24"/>
          <w:szCs w:val="24"/>
        </w:rPr>
        <w:t>por ejemplo</w:t>
      </w:r>
      <w:r w:rsidRPr="00EE4D2C">
        <w:rPr>
          <w:rFonts w:ascii="Times New Roman" w:hAnsi="Times New Roman" w:cs="Times New Roman"/>
          <w:sz w:val="24"/>
          <w:szCs w:val="24"/>
        </w:rPr>
        <w:t>, ARIMA con covariables o Prophet).</w:t>
      </w:r>
    </w:p>
    <w:p w14:paraId="35DACB9A" w14:textId="77777777" w:rsidR="005C5307" w:rsidRDefault="005C5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9E6C16" w14:textId="6ECE6C93" w:rsidR="00DC227B" w:rsidRPr="005C5307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3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Regresión 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C5307">
        <w:rPr>
          <w:rFonts w:ascii="Times New Roman" w:hAnsi="Times New Roman" w:cs="Times New Roman"/>
          <w:b/>
          <w:bCs/>
          <w:sz w:val="24"/>
          <w:szCs w:val="24"/>
        </w:rPr>
        <w:t xml:space="preserve">ineal 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C5307">
        <w:rPr>
          <w:rFonts w:ascii="Times New Roman" w:hAnsi="Times New Roman" w:cs="Times New Roman"/>
          <w:b/>
          <w:bCs/>
          <w:sz w:val="24"/>
          <w:szCs w:val="24"/>
        </w:rPr>
        <w:t>últiple</w:t>
      </w:r>
    </w:p>
    <w:p w14:paraId="59A577A2" w14:textId="77777777" w:rsidR="00DC227B" w:rsidRPr="00EE4D2C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Se construyó un modelo para predecir las ventas (</w:t>
      </w:r>
      <w:r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ventas_totales</w:t>
      </w:r>
      <w:r w:rsidRPr="00EE4D2C">
        <w:rPr>
          <w:rFonts w:ascii="Times New Roman" w:hAnsi="Times New Roman" w:cs="Times New Roman"/>
          <w:sz w:val="24"/>
          <w:szCs w:val="24"/>
        </w:rPr>
        <w:t>) a partir de:</w:t>
      </w:r>
    </w:p>
    <w:p w14:paraId="3BEB7491" w14:textId="310A2B92" w:rsidR="00DC227B" w:rsidRPr="00EE4D2C" w:rsidRDefault="00DC227B" w:rsidP="005C5307">
      <w:pPr>
        <w:numPr>
          <w:ilvl w:val="0"/>
          <w:numId w:val="14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b/>
          <w:bCs/>
          <w:sz w:val="24"/>
          <w:szCs w:val="24"/>
          <w:shd w:val="clear" w:color="auto" w:fill="CAEDFB" w:themeFill="accent4" w:themeFillTint="33"/>
        </w:rPr>
        <w:t>num_ordenes</w:t>
      </w:r>
      <w:r w:rsidRPr="00EE4D2C">
        <w:rPr>
          <w:rFonts w:ascii="Times New Roman" w:hAnsi="Times New Roman" w:cs="Times New Roman"/>
          <w:sz w:val="24"/>
          <w:szCs w:val="24"/>
        </w:rPr>
        <w:t xml:space="preserve"> (número de órdenes mensuales)</w:t>
      </w:r>
      <w:r w:rsidR="005C5307">
        <w:rPr>
          <w:rFonts w:ascii="Times New Roman" w:hAnsi="Times New Roman" w:cs="Times New Roman"/>
          <w:sz w:val="24"/>
          <w:szCs w:val="24"/>
        </w:rPr>
        <w:t>.</w:t>
      </w:r>
    </w:p>
    <w:p w14:paraId="35C6E28D" w14:textId="120FA8F6" w:rsidR="005C5307" w:rsidRPr="005C5307" w:rsidRDefault="00DC227B" w:rsidP="005C5307">
      <w:pPr>
        <w:numPr>
          <w:ilvl w:val="0"/>
          <w:numId w:val="14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clientes_distintos</w:t>
      </w:r>
      <w:r w:rsidRPr="00EE4D2C">
        <w:rPr>
          <w:rFonts w:ascii="Times New Roman" w:hAnsi="Times New Roman" w:cs="Times New Roman"/>
          <w:sz w:val="24"/>
          <w:szCs w:val="24"/>
        </w:rPr>
        <w:t xml:space="preserve"> (número de clientes distintos que compraron en ese mes)</w:t>
      </w:r>
      <w:r w:rsidR="005C5307">
        <w:rPr>
          <w:rFonts w:ascii="Times New Roman" w:hAnsi="Times New Roman" w:cs="Times New Roman"/>
          <w:sz w:val="24"/>
          <w:szCs w:val="24"/>
        </w:rPr>
        <w:t>.</w:t>
      </w:r>
    </w:p>
    <w:p w14:paraId="2A637E40" w14:textId="7DD1AA4C" w:rsidR="005C5307" w:rsidRPr="00EE4D2C" w:rsidRDefault="005C5307" w:rsidP="005C5307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2D4D3" wp14:editId="4E476E08">
            <wp:extent cx="4320000" cy="2880000"/>
            <wp:effectExtent l="0" t="0" r="4445" b="0"/>
            <wp:docPr id="1455703023" name="Imagen 11" descr="Gráfico, Gráfico de rectángulos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3023" name="Imagen 11" descr="Gráfico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8B8D" w14:textId="2F766EF9" w:rsidR="00DC227B" w:rsidRPr="00EE4D2C" w:rsidRDefault="005C5307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 </w:t>
      </w:r>
      <w:proofErr w:type="gramStart"/>
      <w:r w:rsidR="00DC227B"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lm(</w:t>
      </w:r>
      <w:proofErr w:type="gramEnd"/>
      <w:r w:rsidR="00DC227B" w:rsidRPr="005C5307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 obtiene lo siguiente:</w:t>
      </w:r>
    </w:p>
    <w:p w14:paraId="07435161" w14:textId="73CD7E52" w:rsidR="00DC227B" w:rsidRPr="00EE4D2C" w:rsidRDefault="00DC227B" w:rsidP="005C5307">
      <w:pPr>
        <w:numPr>
          <w:ilvl w:val="0"/>
          <w:numId w:val="1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coeficiente de determinación (R²) es de ~0.86, lo que sugiere un ajuste alto en términos de correlación global. Sin embargo, los p-valores para </w:t>
      </w:r>
      <w:r w:rsidRPr="005C5307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num_ordenes</w:t>
      </w:r>
      <w:r w:rsidRPr="00EE4D2C">
        <w:rPr>
          <w:rFonts w:ascii="Times New Roman" w:hAnsi="Times New Roman" w:cs="Times New Roman"/>
          <w:sz w:val="24"/>
          <w:szCs w:val="24"/>
        </w:rPr>
        <w:t xml:space="preserve"> y </w:t>
      </w:r>
      <w:r w:rsidRPr="005C5307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clientes_distintos</w:t>
      </w:r>
      <w:r w:rsidRPr="00EE4D2C">
        <w:rPr>
          <w:rFonts w:ascii="Times New Roman" w:hAnsi="Times New Roman" w:cs="Times New Roman"/>
          <w:sz w:val="24"/>
          <w:szCs w:val="24"/>
        </w:rPr>
        <w:t xml:space="preserve"> (~0.302 y ~0.249, respectivamente) no indican significancia estadística al nivel 0.05 </w:t>
      </w:r>
      <w:r w:rsidR="005C5307">
        <w:rPr>
          <w:rFonts w:ascii="Times New Roman" w:hAnsi="Times New Roman" w:cs="Times New Roman"/>
          <w:sz w:val="24"/>
          <w:szCs w:val="24"/>
        </w:rPr>
        <w:t xml:space="preserve">debido a </w:t>
      </w:r>
      <w:r w:rsidRPr="00EE4D2C">
        <w:rPr>
          <w:rFonts w:ascii="Times New Roman" w:hAnsi="Times New Roman" w:cs="Times New Roman"/>
          <w:sz w:val="24"/>
          <w:szCs w:val="24"/>
        </w:rPr>
        <w:t>la colinealidad entre ambas variables.</w:t>
      </w:r>
    </w:p>
    <w:p w14:paraId="48B0ADC0" w14:textId="77777777" w:rsidR="001C67FD" w:rsidRDefault="00DC227B" w:rsidP="001C67FD">
      <w:pPr>
        <w:numPr>
          <w:ilvl w:val="0"/>
          <w:numId w:val="1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La matriz de correlación corrobora que </w:t>
      </w:r>
      <w:r w:rsidRPr="005C5307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num_ordenes</w:t>
      </w:r>
      <w:r w:rsidRPr="00EE4D2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C5307" w:rsidRPr="005C5307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clientes_distintos</w:t>
      </w:r>
      <w:proofErr w:type="spellEnd"/>
      <w:r w:rsidRPr="00EE4D2C">
        <w:rPr>
          <w:rFonts w:ascii="Times New Roman" w:hAnsi="Times New Roman" w:cs="Times New Roman"/>
          <w:sz w:val="24"/>
          <w:szCs w:val="24"/>
        </w:rPr>
        <w:t xml:space="preserve"> están fuertemente correlacionadas con </w:t>
      </w:r>
      <w:r w:rsidRPr="005C5307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ventas_totales</w:t>
      </w:r>
      <w:r w:rsidRPr="005C5307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EE4D2C">
        <w:rPr>
          <w:rFonts w:ascii="Times New Roman" w:hAnsi="Times New Roman" w:cs="Times New Roman"/>
          <w:sz w:val="24"/>
          <w:szCs w:val="24"/>
        </w:rPr>
        <w:t xml:space="preserve">(valores cercanos a 0.93), así como entre sí (perfectamente correlacionadas = 1.0 en el subset de datos). </w:t>
      </w:r>
      <w:r w:rsidR="005C5307">
        <w:rPr>
          <w:rFonts w:ascii="Times New Roman" w:hAnsi="Times New Roman" w:cs="Times New Roman"/>
          <w:sz w:val="24"/>
          <w:szCs w:val="24"/>
        </w:rPr>
        <w:t xml:space="preserve">Lo anterior </w:t>
      </w:r>
      <w:r w:rsidRPr="00EE4D2C">
        <w:rPr>
          <w:rFonts w:ascii="Times New Roman" w:hAnsi="Times New Roman" w:cs="Times New Roman"/>
          <w:sz w:val="24"/>
          <w:szCs w:val="24"/>
        </w:rPr>
        <w:t>genera problemas de multicolinealidad en el modelo.</w:t>
      </w:r>
    </w:p>
    <w:p w14:paraId="63A1CF47" w14:textId="0DD1BC55" w:rsidR="001C67FD" w:rsidRPr="001C67FD" w:rsidRDefault="001C67FD" w:rsidP="001C67FD">
      <w:pPr>
        <w:numPr>
          <w:ilvl w:val="0"/>
          <w:numId w:val="15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se deben i</w:t>
      </w:r>
      <w:r w:rsidRPr="001C67FD">
        <w:rPr>
          <w:rFonts w:ascii="Times New Roman" w:hAnsi="Times New Roman" w:cs="Times New Roman"/>
          <w:sz w:val="24"/>
          <w:szCs w:val="24"/>
        </w:rPr>
        <w:t xml:space="preserve">ncluir más variables (estacionales, promociones, día festivo, </w:t>
      </w:r>
      <w:r>
        <w:rPr>
          <w:rFonts w:ascii="Times New Roman" w:hAnsi="Times New Roman" w:cs="Times New Roman"/>
          <w:sz w:val="24"/>
          <w:szCs w:val="24"/>
        </w:rPr>
        <w:t>entre otros</w:t>
      </w:r>
      <w:r w:rsidRPr="001C67F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Pr="001C67FD">
        <w:rPr>
          <w:rFonts w:ascii="Times New Roman" w:hAnsi="Times New Roman" w:cs="Times New Roman"/>
          <w:sz w:val="24"/>
          <w:szCs w:val="24"/>
        </w:rPr>
        <w:t>mejora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7FD">
        <w:rPr>
          <w:rFonts w:ascii="Times New Roman" w:hAnsi="Times New Roman" w:cs="Times New Roman"/>
          <w:sz w:val="24"/>
          <w:szCs w:val="24"/>
        </w:rPr>
        <w:t xml:space="preserve">la explicación de </w:t>
      </w:r>
      <w:proofErr w:type="spellStart"/>
      <w:r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ventas_totales</w:t>
      </w:r>
      <w:proofErr w:type="spellEnd"/>
      <w:r w:rsidRPr="001C67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Asimismo, se deben v</w:t>
      </w:r>
      <w:r w:rsidRPr="001C67FD">
        <w:rPr>
          <w:rFonts w:ascii="Times New Roman" w:hAnsi="Times New Roman" w:cs="Times New Roman"/>
          <w:sz w:val="24"/>
          <w:szCs w:val="24"/>
        </w:rPr>
        <w:t>alidar supuestos adicionales, como homocedasticidad (</w:t>
      </w:r>
      <w:proofErr w:type="spellStart"/>
      <w:r w:rsidRPr="001C67FD">
        <w:rPr>
          <w:rFonts w:ascii="Times New Roman" w:hAnsi="Times New Roman" w:cs="Times New Roman"/>
          <w:sz w:val="24"/>
          <w:szCs w:val="24"/>
        </w:rPr>
        <w:t>Breusch</w:t>
      </w:r>
      <w:proofErr w:type="spellEnd"/>
      <w:r w:rsidRPr="001C67FD">
        <w:rPr>
          <w:rFonts w:ascii="Times New Roman" w:hAnsi="Times New Roman" w:cs="Times New Roman"/>
          <w:sz w:val="24"/>
          <w:szCs w:val="24"/>
        </w:rPr>
        <w:t>-Pagan test) y autocorrelación (Durbin-Watson)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B7DB1" w14:textId="77777777" w:rsidR="001C67FD" w:rsidRDefault="001C6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5225AE" w14:textId="4A07A7C1" w:rsidR="005C5307" w:rsidRPr="005C5307" w:rsidRDefault="005C5307" w:rsidP="005C530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307">
        <w:rPr>
          <w:rFonts w:ascii="Times New Roman" w:hAnsi="Times New Roman" w:cs="Times New Roman"/>
          <w:sz w:val="24"/>
          <w:szCs w:val="24"/>
        </w:rPr>
        <w:lastRenderedPageBreak/>
        <w:t>A continuación, se realiza la siguiente interpretación:</w:t>
      </w:r>
    </w:p>
    <w:p w14:paraId="0E2CFFD0" w14:textId="0AFE396F" w:rsidR="00DC227B" w:rsidRPr="00EE4D2C" w:rsidRDefault="00DC227B" w:rsidP="005C5307">
      <w:pPr>
        <w:numPr>
          <w:ilvl w:val="0"/>
          <w:numId w:val="16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Aunque el R² sea elevado, la baja significancia (p-valores altos) indica que</w:t>
      </w:r>
      <w:r w:rsidR="005C5307">
        <w:rPr>
          <w:rFonts w:ascii="Times New Roman" w:hAnsi="Times New Roman" w:cs="Times New Roman"/>
          <w:sz w:val="24"/>
          <w:szCs w:val="24"/>
        </w:rPr>
        <w:t xml:space="preserve"> </w:t>
      </w:r>
      <w:r w:rsidRPr="00EE4D2C">
        <w:rPr>
          <w:rFonts w:ascii="Times New Roman" w:hAnsi="Times New Roman" w:cs="Times New Roman"/>
          <w:sz w:val="24"/>
          <w:szCs w:val="24"/>
        </w:rPr>
        <w:t xml:space="preserve">una gran parte de la variabilidad está capturada, pero no de forma estadísticamente diferenciable entre las variables. </w:t>
      </w:r>
      <w:r w:rsidR="005C5307">
        <w:rPr>
          <w:rFonts w:ascii="Times New Roman" w:hAnsi="Times New Roman" w:cs="Times New Roman"/>
          <w:sz w:val="24"/>
          <w:szCs w:val="24"/>
        </w:rPr>
        <w:t xml:space="preserve">Por lo tanto, se deben </w:t>
      </w:r>
      <w:r w:rsidRPr="00EE4D2C">
        <w:rPr>
          <w:rFonts w:ascii="Times New Roman" w:hAnsi="Times New Roman" w:cs="Times New Roman"/>
          <w:sz w:val="24"/>
          <w:szCs w:val="24"/>
        </w:rPr>
        <w:t>introducir más predictores (descuentos, canales, estacionalidad, e</w:t>
      </w:r>
      <w:r w:rsidR="005C5307">
        <w:rPr>
          <w:rFonts w:ascii="Times New Roman" w:hAnsi="Times New Roman" w:cs="Times New Roman"/>
          <w:sz w:val="24"/>
          <w:szCs w:val="24"/>
        </w:rPr>
        <w:t>ntre otros</w:t>
      </w:r>
      <w:r w:rsidRPr="00EE4D2C">
        <w:rPr>
          <w:rFonts w:ascii="Times New Roman" w:hAnsi="Times New Roman" w:cs="Times New Roman"/>
          <w:sz w:val="24"/>
          <w:szCs w:val="24"/>
        </w:rPr>
        <w:t xml:space="preserve">) o aplicar regularización (Ridge, Lasso) </w:t>
      </w:r>
      <w:r w:rsidR="005C5307">
        <w:rPr>
          <w:rFonts w:ascii="Times New Roman" w:hAnsi="Times New Roman" w:cs="Times New Roman"/>
          <w:sz w:val="24"/>
          <w:szCs w:val="24"/>
        </w:rPr>
        <w:t xml:space="preserve">usando </w:t>
      </w:r>
      <w:r w:rsidRPr="00EE4D2C">
        <w:rPr>
          <w:rFonts w:ascii="Times New Roman" w:hAnsi="Times New Roman" w:cs="Times New Roman"/>
          <w:sz w:val="24"/>
          <w:szCs w:val="24"/>
        </w:rPr>
        <w:t>más variables.</w:t>
      </w:r>
    </w:p>
    <w:p w14:paraId="2DDE52D6" w14:textId="77777777" w:rsidR="001C67FD" w:rsidRDefault="001C67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E36003" w14:textId="4232B1DD" w:rsidR="00DC227B" w:rsidRPr="005C5307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30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Análisis Estadístico Adicional</w:t>
      </w:r>
    </w:p>
    <w:p w14:paraId="26E73759" w14:textId="26A59551" w:rsidR="00DC227B" w:rsidRPr="005C5307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5307">
        <w:rPr>
          <w:rFonts w:ascii="Times New Roman" w:hAnsi="Times New Roman" w:cs="Times New Roman"/>
          <w:b/>
          <w:bCs/>
          <w:sz w:val="24"/>
          <w:szCs w:val="24"/>
        </w:rPr>
        <w:t>3.1 T-test</w:t>
      </w:r>
      <w:r w:rsidR="001C67FD">
        <w:rPr>
          <w:rFonts w:ascii="Times New Roman" w:hAnsi="Times New Roman" w:cs="Times New Roman"/>
          <w:b/>
          <w:bCs/>
          <w:sz w:val="24"/>
          <w:szCs w:val="24"/>
        </w:rPr>
        <w:t xml:space="preserve"> para d</w:t>
      </w:r>
      <w:r w:rsidRPr="005C5307">
        <w:rPr>
          <w:rFonts w:ascii="Times New Roman" w:hAnsi="Times New Roman" w:cs="Times New Roman"/>
          <w:b/>
          <w:bCs/>
          <w:sz w:val="24"/>
          <w:szCs w:val="24"/>
        </w:rPr>
        <w:t xml:space="preserve">iferencia de medias (importe) entre 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 xml:space="preserve">las diez ciudades con más </w:t>
      </w:r>
      <w:r w:rsidRPr="005C5307">
        <w:rPr>
          <w:rFonts w:ascii="Times New Roman" w:hAnsi="Times New Roman" w:cs="Times New Roman"/>
          <w:b/>
          <w:bCs/>
          <w:sz w:val="24"/>
          <w:szCs w:val="24"/>
        </w:rPr>
        <w:t>vs</w:t>
      </w:r>
      <w:r w:rsidR="005C5307">
        <w:rPr>
          <w:rFonts w:ascii="Times New Roman" w:hAnsi="Times New Roman" w:cs="Times New Roman"/>
          <w:b/>
          <w:bCs/>
          <w:sz w:val="24"/>
          <w:szCs w:val="24"/>
        </w:rPr>
        <w:t xml:space="preserve"> diez con menos</w:t>
      </w:r>
    </w:p>
    <w:p w14:paraId="0F430629" w14:textId="66135C99" w:rsidR="00DC227B" w:rsidRPr="00EE4D2C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Se comparó el importe promedio (columna </w:t>
      </w:r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 xml:space="preserve">importe = list_price * </w:t>
      </w:r>
      <w:proofErr w:type="spellStart"/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quantity</w:t>
      </w:r>
      <w:proofErr w:type="spellEnd"/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 xml:space="preserve"> * (1 </w:t>
      </w:r>
      <w:r w:rsid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–</w:t>
      </w:r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 xml:space="preserve"> </w:t>
      </w:r>
      <w:proofErr w:type="spellStart"/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discount</w:t>
      </w:r>
      <w:proofErr w:type="spellEnd"/>
      <w:r w:rsidRPr="001C67FD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shd w:val="clear" w:color="auto" w:fill="CAEDFB" w:themeFill="accent4" w:themeFillTint="33"/>
        </w:rPr>
        <w:t>)</w:t>
      </w:r>
      <w:r w:rsidRPr="00EE4D2C">
        <w:rPr>
          <w:rFonts w:ascii="Times New Roman" w:hAnsi="Times New Roman" w:cs="Times New Roman"/>
          <w:sz w:val="24"/>
          <w:szCs w:val="24"/>
        </w:rPr>
        <w:t xml:space="preserve">) entre las </w:t>
      </w:r>
      <w:r w:rsidR="001C67FD">
        <w:rPr>
          <w:rFonts w:ascii="Times New Roman" w:hAnsi="Times New Roman" w:cs="Times New Roman"/>
          <w:sz w:val="24"/>
          <w:szCs w:val="24"/>
        </w:rPr>
        <w:t>diez</w:t>
      </w:r>
      <w:r w:rsidRPr="00EE4D2C">
        <w:rPr>
          <w:rFonts w:ascii="Times New Roman" w:hAnsi="Times New Roman" w:cs="Times New Roman"/>
          <w:sz w:val="24"/>
          <w:szCs w:val="24"/>
        </w:rPr>
        <w:t xml:space="preserve"> ciudades con más clientes (</w:t>
      </w:r>
      <w:r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T</w:t>
      </w:r>
      <w:r w:rsidR="001C67FD"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op</w:t>
      </w:r>
      <w:r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_10</w:t>
      </w:r>
      <w:r w:rsidRPr="00EE4D2C">
        <w:rPr>
          <w:rFonts w:ascii="Times New Roman" w:hAnsi="Times New Roman" w:cs="Times New Roman"/>
          <w:sz w:val="24"/>
          <w:szCs w:val="24"/>
        </w:rPr>
        <w:t xml:space="preserve">) y las </w:t>
      </w:r>
      <w:r w:rsidR="001C67FD">
        <w:rPr>
          <w:rFonts w:ascii="Times New Roman" w:hAnsi="Times New Roman" w:cs="Times New Roman"/>
          <w:sz w:val="24"/>
          <w:szCs w:val="24"/>
        </w:rPr>
        <w:t>diez</w:t>
      </w:r>
      <w:r w:rsidRPr="00EE4D2C">
        <w:rPr>
          <w:rFonts w:ascii="Times New Roman" w:hAnsi="Times New Roman" w:cs="Times New Roman"/>
          <w:sz w:val="24"/>
          <w:szCs w:val="24"/>
        </w:rPr>
        <w:t xml:space="preserve"> con menos clientes (</w:t>
      </w:r>
      <w:r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B</w:t>
      </w:r>
      <w:r w:rsidR="001C67FD"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ottom</w:t>
      </w:r>
      <w:r w:rsidRPr="001C67FD">
        <w:rPr>
          <w:rFonts w:ascii="Times New Roman" w:hAnsi="Times New Roman" w:cs="Times New Roman"/>
          <w:b/>
          <w:bCs/>
          <w:color w:val="002060"/>
          <w:sz w:val="24"/>
          <w:szCs w:val="24"/>
          <w:shd w:val="clear" w:color="auto" w:fill="CAEDFB" w:themeFill="accent4" w:themeFillTint="33"/>
        </w:rPr>
        <w:t>_10</w:t>
      </w:r>
      <w:r w:rsidRPr="00EE4D2C">
        <w:rPr>
          <w:rFonts w:ascii="Times New Roman" w:hAnsi="Times New Roman" w:cs="Times New Roman"/>
          <w:sz w:val="24"/>
          <w:szCs w:val="24"/>
        </w:rPr>
        <w:t>). El resultado es:</w:t>
      </w:r>
    </w:p>
    <w:p w14:paraId="5FFE2BC5" w14:textId="77777777" w:rsidR="001C67FD" w:rsidRDefault="001C67FD" w:rsidP="001C67FD">
      <w:pPr>
        <w:numPr>
          <w:ilvl w:val="0"/>
          <w:numId w:val="1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DC227B" w:rsidRPr="00EE4D2C">
        <w:rPr>
          <w:rFonts w:ascii="Times New Roman" w:hAnsi="Times New Roman" w:cs="Times New Roman"/>
          <w:sz w:val="24"/>
          <w:szCs w:val="24"/>
        </w:rPr>
        <w:t>p-</w:t>
      </w:r>
      <w:proofErr w:type="spellStart"/>
      <w:r w:rsidR="00DC227B" w:rsidRPr="00EE4D2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DC227B" w:rsidRPr="00EE4D2C">
        <w:rPr>
          <w:rFonts w:ascii="Times New Roman" w:hAnsi="Times New Roman" w:cs="Times New Roman"/>
          <w:sz w:val="24"/>
          <w:szCs w:val="24"/>
        </w:rPr>
        <w:t xml:space="preserve"> ~ 0.2676, superior a 0.05, por lo que no se rechaza la hipótesis nula de que ambas medias sean iguales en la población. </w:t>
      </w:r>
    </w:p>
    <w:p w14:paraId="1950088C" w14:textId="67422CC5" w:rsidR="00DC227B" w:rsidRPr="00EE4D2C" w:rsidRDefault="00DC227B" w:rsidP="001C67FD">
      <w:pPr>
        <w:numPr>
          <w:ilvl w:val="0"/>
          <w:numId w:val="17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El intervalo de confianza al 95% incluye el cero ([-970.3151, 273.7785]), reforzando la conclusión de que no </w:t>
      </w:r>
      <w:r w:rsidR="001C67FD">
        <w:rPr>
          <w:rFonts w:ascii="Times New Roman" w:hAnsi="Times New Roman" w:cs="Times New Roman"/>
          <w:sz w:val="24"/>
          <w:szCs w:val="24"/>
        </w:rPr>
        <w:t>existe</w:t>
      </w:r>
      <w:r w:rsidRPr="00EE4D2C">
        <w:rPr>
          <w:rFonts w:ascii="Times New Roman" w:hAnsi="Times New Roman" w:cs="Times New Roman"/>
          <w:sz w:val="24"/>
          <w:szCs w:val="24"/>
        </w:rPr>
        <w:t xml:space="preserve"> evidencia estadística de que difieran las medias de importe de compra en </w:t>
      </w:r>
      <w:r w:rsidR="001C67FD">
        <w:rPr>
          <w:rFonts w:ascii="Times New Roman" w:hAnsi="Times New Roman" w:cs="Times New Roman"/>
          <w:sz w:val="24"/>
          <w:szCs w:val="24"/>
        </w:rPr>
        <w:t>los</w:t>
      </w:r>
      <w:r w:rsidRPr="00EE4D2C">
        <w:rPr>
          <w:rFonts w:ascii="Times New Roman" w:hAnsi="Times New Roman" w:cs="Times New Roman"/>
          <w:sz w:val="24"/>
          <w:szCs w:val="24"/>
        </w:rPr>
        <w:t xml:space="preserve"> dos grupos.</w:t>
      </w:r>
    </w:p>
    <w:p w14:paraId="2E64986F" w14:textId="1ED3537B" w:rsidR="00DC227B" w:rsidRPr="001C67FD" w:rsidRDefault="00DC227B" w:rsidP="005918C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7FD">
        <w:rPr>
          <w:rFonts w:ascii="Times New Roman" w:hAnsi="Times New Roman" w:cs="Times New Roman"/>
          <w:b/>
          <w:bCs/>
          <w:sz w:val="24"/>
          <w:szCs w:val="24"/>
        </w:rPr>
        <w:t xml:space="preserve">3.2 Test de </w:t>
      </w:r>
      <w:r w:rsidR="001C67F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C67FD">
        <w:rPr>
          <w:rFonts w:ascii="Times New Roman" w:hAnsi="Times New Roman" w:cs="Times New Roman"/>
          <w:b/>
          <w:bCs/>
          <w:sz w:val="24"/>
          <w:szCs w:val="24"/>
        </w:rPr>
        <w:t xml:space="preserve">ormalidad (Shapiro-Wilk) de los </w:t>
      </w:r>
      <w:r w:rsidR="001C67F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C67FD">
        <w:rPr>
          <w:rFonts w:ascii="Times New Roman" w:hAnsi="Times New Roman" w:cs="Times New Roman"/>
          <w:b/>
          <w:bCs/>
          <w:sz w:val="24"/>
          <w:szCs w:val="24"/>
        </w:rPr>
        <w:t xml:space="preserve">esiduos de la </w:t>
      </w:r>
      <w:r w:rsidR="001C67F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C67FD">
        <w:rPr>
          <w:rFonts w:ascii="Times New Roman" w:hAnsi="Times New Roman" w:cs="Times New Roman"/>
          <w:b/>
          <w:bCs/>
          <w:sz w:val="24"/>
          <w:szCs w:val="24"/>
        </w:rPr>
        <w:t>egresión</w:t>
      </w:r>
    </w:p>
    <w:p w14:paraId="7902E546" w14:textId="77777777" w:rsidR="001C67FD" w:rsidRDefault="00DC227B" w:rsidP="001C67FD">
      <w:pPr>
        <w:numPr>
          <w:ilvl w:val="0"/>
          <w:numId w:val="1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Con un W = 0.94 y un p-value = 0.06305, no </w:t>
      </w:r>
      <w:r w:rsidR="001C67FD">
        <w:rPr>
          <w:rFonts w:ascii="Times New Roman" w:hAnsi="Times New Roman" w:cs="Times New Roman"/>
          <w:sz w:val="24"/>
          <w:szCs w:val="24"/>
        </w:rPr>
        <w:t>existe</w:t>
      </w:r>
      <w:r w:rsidRPr="00EE4D2C">
        <w:rPr>
          <w:rFonts w:ascii="Times New Roman" w:hAnsi="Times New Roman" w:cs="Times New Roman"/>
          <w:sz w:val="24"/>
          <w:szCs w:val="24"/>
        </w:rPr>
        <w:t xml:space="preserve"> suficiente evidencia para rechazar la normalidad de los residuos al nivel de significancia de 5%. </w:t>
      </w:r>
    </w:p>
    <w:p w14:paraId="6438AF4B" w14:textId="51CEDBEA" w:rsidR="00DC227B" w:rsidRPr="00EE4D2C" w:rsidRDefault="001C67FD" w:rsidP="001C67FD">
      <w:pPr>
        <w:numPr>
          <w:ilvl w:val="0"/>
          <w:numId w:val="18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C227B" w:rsidRPr="00EE4D2C">
        <w:rPr>
          <w:rFonts w:ascii="Times New Roman" w:hAnsi="Times New Roman" w:cs="Times New Roman"/>
          <w:sz w:val="24"/>
          <w:szCs w:val="24"/>
        </w:rPr>
        <w:t>os residuos se comportan aproximadamente de manera normal, cumpliendo uno de los supuestos centrales del modelo lineal.</w:t>
      </w:r>
    </w:p>
    <w:p w14:paraId="70648BC3" w14:textId="77777777" w:rsidR="001C67FD" w:rsidRPr="001C67FD" w:rsidRDefault="001C67FD" w:rsidP="001C67F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67FD">
        <w:rPr>
          <w:rFonts w:ascii="Times New Roman" w:hAnsi="Times New Roman" w:cs="Times New Roman"/>
          <w:sz w:val="24"/>
          <w:szCs w:val="24"/>
        </w:rPr>
        <w:t>A continuación, se realiza la siguiente interpretación:</w:t>
      </w:r>
    </w:p>
    <w:p w14:paraId="20D220F6" w14:textId="08EC55B0" w:rsidR="00DC227B" w:rsidRPr="00EE4D2C" w:rsidRDefault="00DC227B" w:rsidP="001C67FD">
      <w:pPr>
        <w:numPr>
          <w:ilvl w:val="0"/>
          <w:numId w:val="19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>El T-test no mostró diferencias significativas en el gasto promedio según “tipo de ciudad” (</w:t>
      </w:r>
      <w:r w:rsidR="001C67FD">
        <w:rPr>
          <w:rFonts w:ascii="Times New Roman" w:hAnsi="Times New Roman" w:cs="Times New Roman"/>
          <w:sz w:val="24"/>
          <w:szCs w:val="24"/>
        </w:rPr>
        <w:t>t</w:t>
      </w:r>
      <w:r w:rsidRPr="00EE4D2C">
        <w:rPr>
          <w:rFonts w:ascii="Times New Roman" w:hAnsi="Times New Roman" w:cs="Times New Roman"/>
          <w:sz w:val="24"/>
          <w:szCs w:val="24"/>
        </w:rPr>
        <w:t xml:space="preserve">op vs </w:t>
      </w:r>
      <w:r w:rsidR="001C67FD">
        <w:rPr>
          <w:rFonts w:ascii="Times New Roman" w:hAnsi="Times New Roman" w:cs="Times New Roman"/>
          <w:sz w:val="24"/>
          <w:szCs w:val="24"/>
        </w:rPr>
        <w:t>b</w:t>
      </w:r>
      <w:r w:rsidRPr="00EE4D2C">
        <w:rPr>
          <w:rFonts w:ascii="Times New Roman" w:hAnsi="Times New Roman" w:cs="Times New Roman"/>
          <w:sz w:val="24"/>
          <w:szCs w:val="24"/>
        </w:rPr>
        <w:t>ottom), lo que podría indicar que la localización no es un factor determinante en el valor de las compras, al menos en esta muestra.</w:t>
      </w:r>
    </w:p>
    <w:p w14:paraId="3BA4F4F2" w14:textId="381DADB0" w:rsidR="00AC7BF4" w:rsidRPr="001C67FD" w:rsidRDefault="00DC227B" w:rsidP="001C67FD">
      <w:pPr>
        <w:numPr>
          <w:ilvl w:val="0"/>
          <w:numId w:val="19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E4D2C">
        <w:rPr>
          <w:rFonts w:ascii="Times New Roman" w:hAnsi="Times New Roman" w:cs="Times New Roman"/>
          <w:sz w:val="24"/>
          <w:szCs w:val="24"/>
        </w:rPr>
        <w:t xml:space="preserve">La aproximada normalidad de los residuos es positiva para la validez general de la regresión, </w:t>
      </w:r>
      <w:r w:rsidR="001C67FD">
        <w:rPr>
          <w:rFonts w:ascii="Times New Roman" w:hAnsi="Times New Roman" w:cs="Times New Roman"/>
          <w:sz w:val="24"/>
          <w:szCs w:val="24"/>
        </w:rPr>
        <w:t xml:space="preserve">aunque se necesitan examinar </w:t>
      </w:r>
      <w:r w:rsidRPr="00EE4D2C">
        <w:rPr>
          <w:rFonts w:ascii="Times New Roman" w:hAnsi="Times New Roman" w:cs="Times New Roman"/>
          <w:sz w:val="24"/>
          <w:szCs w:val="24"/>
        </w:rPr>
        <w:t>otros supuestos (independencia, homocedasticidad, e</w:t>
      </w:r>
      <w:r w:rsidR="001C67FD">
        <w:rPr>
          <w:rFonts w:ascii="Times New Roman" w:hAnsi="Times New Roman" w:cs="Times New Roman"/>
          <w:sz w:val="24"/>
          <w:szCs w:val="24"/>
        </w:rPr>
        <w:t>ntre otros</w:t>
      </w:r>
      <w:r w:rsidRPr="00EE4D2C">
        <w:rPr>
          <w:rFonts w:ascii="Times New Roman" w:hAnsi="Times New Roman" w:cs="Times New Roman"/>
          <w:sz w:val="24"/>
          <w:szCs w:val="24"/>
        </w:rPr>
        <w:t>).</w:t>
      </w:r>
    </w:p>
    <w:sectPr w:rsidR="00AC7BF4" w:rsidRPr="001C67FD" w:rsidSect="00DC227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984"/>
    <w:multiLevelType w:val="multilevel"/>
    <w:tmpl w:val="623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73E9"/>
    <w:multiLevelType w:val="multilevel"/>
    <w:tmpl w:val="0AF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B3DD2"/>
    <w:multiLevelType w:val="multilevel"/>
    <w:tmpl w:val="B04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136C1"/>
    <w:multiLevelType w:val="multilevel"/>
    <w:tmpl w:val="6C8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254F3"/>
    <w:multiLevelType w:val="multilevel"/>
    <w:tmpl w:val="532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245"/>
    <w:multiLevelType w:val="multilevel"/>
    <w:tmpl w:val="04A8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37B3D"/>
    <w:multiLevelType w:val="multilevel"/>
    <w:tmpl w:val="69EE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C08A7"/>
    <w:multiLevelType w:val="multilevel"/>
    <w:tmpl w:val="22D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60BAF"/>
    <w:multiLevelType w:val="multilevel"/>
    <w:tmpl w:val="DED8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9090F"/>
    <w:multiLevelType w:val="multilevel"/>
    <w:tmpl w:val="80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54240"/>
    <w:multiLevelType w:val="multilevel"/>
    <w:tmpl w:val="91F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C6357"/>
    <w:multiLevelType w:val="multilevel"/>
    <w:tmpl w:val="903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8165A"/>
    <w:multiLevelType w:val="multilevel"/>
    <w:tmpl w:val="5782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A7CAA"/>
    <w:multiLevelType w:val="multilevel"/>
    <w:tmpl w:val="CCF2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86C13"/>
    <w:multiLevelType w:val="multilevel"/>
    <w:tmpl w:val="BACE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C763E"/>
    <w:multiLevelType w:val="multilevel"/>
    <w:tmpl w:val="E8A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F4678"/>
    <w:multiLevelType w:val="multilevel"/>
    <w:tmpl w:val="3BE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A58F6"/>
    <w:multiLevelType w:val="multilevel"/>
    <w:tmpl w:val="435A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32777"/>
    <w:multiLevelType w:val="multilevel"/>
    <w:tmpl w:val="5A52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65D55"/>
    <w:multiLevelType w:val="multilevel"/>
    <w:tmpl w:val="A2F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632B9"/>
    <w:multiLevelType w:val="multilevel"/>
    <w:tmpl w:val="480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028875">
    <w:abstractNumId w:val="0"/>
  </w:num>
  <w:num w:numId="2" w16cid:durableId="1829055988">
    <w:abstractNumId w:val="0"/>
    <w:lvlOverride w:ilvl="1">
      <w:lvl w:ilvl="1">
        <w:numFmt w:val="decimal"/>
        <w:lvlText w:val="%2."/>
        <w:lvlJc w:val="left"/>
      </w:lvl>
    </w:lvlOverride>
  </w:num>
  <w:num w:numId="3" w16cid:durableId="569076617">
    <w:abstractNumId w:val="16"/>
  </w:num>
  <w:num w:numId="4" w16cid:durableId="1733387250">
    <w:abstractNumId w:val="11"/>
  </w:num>
  <w:num w:numId="5" w16cid:durableId="1879774887">
    <w:abstractNumId w:val="20"/>
  </w:num>
  <w:num w:numId="6" w16cid:durableId="1039277004">
    <w:abstractNumId w:val="14"/>
  </w:num>
  <w:num w:numId="7" w16cid:durableId="648174605">
    <w:abstractNumId w:val="2"/>
  </w:num>
  <w:num w:numId="8" w16cid:durableId="1758282194">
    <w:abstractNumId w:val="6"/>
  </w:num>
  <w:num w:numId="9" w16cid:durableId="805706404">
    <w:abstractNumId w:val="15"/>
  </w:num>
  <w:num w:numId="10" w16cid:durableId="212887762">
    <w:abstractNumId w:val="8"/>
  </w:num>
  <w:num w:numId="11" w16cid:durableId="202637356">
    <w:abstractNumId w:val="1"/>
  </w:num>
  <w:num w:numId="12" w16cid:durableId="1349915333">
    <w:abstractNumId w:val="13"/>
  </w:num>
  <w:num w:numId="13" w16cid:durableId="20784938">
    <w:abstractNumId w:val="7"/>
  </w:num>
  <w:num w:numId="14" w16cid:durableId="2134443052">
    <w:abstractNumId w:val="4"/>
  </w:num>
  <w:num w:numId="15" w16cid:durableId="1691686139">
    <w:abstractNumId w:val="9"/>
  </w:num>
  <w:num w:numId="16" w16cid:durableId="1732121144">
    <w:abstractNumId w:val="5"/>
  </w:num>
  <w:num w:numId="17" w16cid:durableId="720634839">
    <w:abstractNumId w:val="3"/>
  </w:num>
  <w:num w:numId="18" w16cid:durableId="1616523683">
    <w:abstractNumId w:val="18"/>
  </w:num>
  <w:num w:numId="19" w16cid:durableId="1814132592">
    <w:abstractNumId w:val="19"/>
  </w:num>
  <w:num w:numId="20" w16cid:durableId="736391900">
    <w:abstractNumId w:val="17"/>
  </w:num>
  <w:num w:numId="21" w16cid:durableId="490483146">
    <w:abstractNumId w:val="10"/>
  </w:num>
  <w:num w:numId="22" w16cid:durableId="10326136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FA"/>
    <w:rsid w:val="0016616B"/>
    <w:rsid w:val="001C67FD"/>
    <w:rsid w:val="003672FA"/>
    <w:rsid w:val="003B190F"/>
    <w:rsid w:val="004D4F07"/>
    <w:rsid w:val="00587CDE"/>
    <w:rsid w:val="005918CC"/>
    <w:rsid w:val="005C5307"/>
    <w:rsid w:val="00A61566"/>
    <w:rsid w:val="00A83CB5"/>
    <w:rsid w:val="00AC7BF4"/>
    <w:rsid w:val="00AF088D"/>
    <w:rsid w:val="00AF7881"/>
    <w:rsid w:val="00B70B00"/>
    <w:rsid w:val="00CF68AF"/>
    <w:rsid w:val="00DC227B"/>
    <w:rsid w:val="00E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F297"/>
  <w15:chartTrackingRefBased/>
  <w15:docId w15:val="{63618E63-FAFB-4D34-86BA-148A47EF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2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2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2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2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2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2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2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2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2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2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2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72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2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7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10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 ROMERO  GUADARRAMA</dc:creator>
  <cp:keywords/>
  <dc:description/>
  <cp:lastModifiedBy>JESHUA  ROMERO  GUADARRAMA</cp:lastModifiedBy>
  <cp:revision>4</cp:revision>
  <dcterms:created xsi:type="dcterms:W3CDTF">2025-01-18T15:24:00Z</dcterms:created>
  <dcterms:modified xsi:type="dcterms:W3CDTF">2025-01-20T15:05:00Z</dcterms:modified>
</cp:coreProperties>
</file>